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  <Override PartName="/word/media/rId26.png" ContentType="image/png"/>
  <Override PartName="/word/media/rId28.jpg" ContentType="image/jpeg"/>
  <Override PartName="/word/media/rId31.png" ContentType="image/png"/>
  <Override PartName="/word/media/rId36.png" ContentType="image/png"/>
  <Override PartName="/word/media/rId41.png" ContentType="image/png"/>
  <Override PartName="/word/media/rId34.png" ContentType="image/pn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硬件模块"/>
      <w:r>
        <w:t xml:space="preserve">硬件模块</w:t>
      </w:r>
      <w:bookmarkEnd w:id="20"/>
    </w:p>
    <w:p>
      <w:pPr>
        <w:pStyle w:val="Heading2"/>
      </w:pPr>
      <w:bookmarkStart w:id="21" w:name="单片机最小系统的设计"/>
      <w:r>
        <w:t xml:space="preserve">单片机最小系统的设计</w:t>
      </w:r>
      <w:bookmarkEnd w:id="21"/>
    </w:p>
    <w:p>
      <w:pPr>
        <w:pStyle w:val="FirstParagraph"/>
      </w:pPr>
      <w:r>
        <w:t xml:space="preserve">作为无人驾驶车的心脏，单片机扮演了管理底层硬件的角色。谈及单片机的构成，我们可以将其抽象为最小系统，即能实现最基础的功能的最简化设计。以 STM32（F1 系列）单片机为例，最小系统包含以下几部分：</w:t>
      </w:r>
      <w:r>
        <w:rPr>
          <w:b/>
        </w:rPr>
        <w:t xml:space="preserve">电源、复位、时钟、启动模式、下载调试</w:t>
      </w:r>
      <w:r>
        <w:t xml:space="preserve">。</w:t>
      </w:r>
    </w:p>
    <w:p>
      <w:pPr>
        <w:pStyle w:val="BodyText"/>
      </w:pPr>
      <w:r>
        <w:drawing>
          <wp:inline>
            <wp:extent cx="5334000" cy="52861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23414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电源"/>
      <w:r>
        <w:t xml:space="preserve">电源</w:t>
      </w:r>
      <w:bookmarkEnd w:id="23"/>
    </w:p>
    <w:p>
      <w:pPr>
        <w:pStyle w:val="FirstParagraph"/>
      </w:pPr>
      <w:r>
        <w:t xml:space="preserve">STM32 的电源有以下几种类型：</w:t>
      </w:r>
    </w:p>
    <w:p>
      <w:pPr>
        <w:pStyle w:val="Heading4"/>
      </w:pPr>
      <w:bookmarkStart w:id="24" w:name="主电源vdd-vss"/>
      <w:r>
        <w:t xml:space="preserve">主电源（VDD / VSS）</w:t>
      </w:r>
      <w:bookmarkEnd w:id="24"/>
    </w:p>
    <w:p>
      <w:pPr>
        <w:pStyle w:val="FirstParagraph"/>
      </w:pPr>
      <w:r>
        <w:t xml:space="preserve">主电源指的是标记为 VDD1、VDD2… 的引脚。</w:t>
      </w:r>
      <w:r>
        <w:br/>
      </w:r>
      <w:r>
        <w:t xml:space="preserve">每个引脚必须加一个 100nF 的滤波电容，且尽量靠近引脚放置，此外需要一个 10uF 的钽电容公用。</w:t>
      </w:r>
    </w:p>
    <w:p>
      <w:pPr>
        <w:pStyle w:val="BodyText"/>
      </w:pPr>
      <w:r>
        <w:drawing>
          <wp:inline>
            <wp:extent cx="5334000" cy="1230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631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0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63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后备电源vbat"/>
      <w:r>
        <w:t xml:space="preserve">后备电源（VBAT）</w:t>
      </w:r>
      <w:bookmarkEnd w:id="27"/>
    </w:p>
    <w:p>
      <w:pPr>
        <w:pStyle w:val="FirstParagraph"/>
      </w:pPr>
      <w:r>
        <w:t xml:space="preserve">VBAT 引脚可用于电池供电。如果不用，可以与 VDD 连接在一起。VBAT 也需要一个 100nF 电容滤波。</w:t>
      </w:r>
      <w:r>
        <w:br/>
      </w:r>
      <w:r>
        <w:t xml:space="preserve">可参考以下的电源选择电路：</w:t>
      </w:r>
    </w:p>
    <w:p>
      <w:pPr>
        <w:pStyle w:val="BodyText"/>
      </w:pPr>
      <w:r>
        <w:drawing>
          <wp:inline>
            <wp:extent cx="5334000" cy="27048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6333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adc-电源vdda-vssa"/>
      <w:r>
        <w:t xml:space="preserve">ADC 电源（VDDA / VSSA）</w:t>
      </w:r>
      <w:bookmarkEnd w:id="29"/>
    </w:p>
    <w:p>
      <w:pPr>
        <w:pStyle w:val="FirstParagraph"/>
      </w:pPr>
      <w:r>
        <w:t xml:space="preserve">为了提高转换精度，ADC 设备可以从这里取电。一般将 VDDA 通过一个电感后， 与 VDD 相连接。</w:t>
      </w:r>
    </w:p>
    <w:p>
      <w:pPr>
        <w:pStyle w:val="BodyText"/>
      </w:pPr>
      <w:r>
        <w:t xml:space="preserve">若不用到 ADC，可将 VDD, VDDA, VREF+（如果有的话） 接在一起，并对地接 1uF 钽电容 + 10nF 陶瓷电容滤波。</w:t>
      </w:r>
    </w:p>
    <w:p>
      <w:pPr>
        <w:pStyle w:val="Heading3"/>
      </w:pPr>
      <w:bookmarkStart w:id="30" w:name="复位"/>
      <w:r>
        <w:t xml:space="preserve">复位</w:t>
      </w:r>
      <w:bookmarkEnd w:id="30"/>
    </w:p>
    <w:p>
      <w:pPr>
        <w:pStyle w:val="FirstParagraph"/>
      </w:pPr>
      <w:r>
        <w:t xml:space="preserve">因为 STM32 内部有上拉电阻，所以外部只接 100nF 电容 + 按键即可：</w:t>
      </w:r>
    </w:p>
    <w:p>
      <w:pPr>
        <w:pStyle w:val="BodyText"/>
      </w:pPr>
      <w:r>
        <w:drawing>
          <wp:inline>
            <wp:extent cx="5334000" cy="2736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634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上电时，CPU 处于复位状态，此时电容充电，NRST 引脚电位持续拉低，当电容充满电后，NRST 电位变为高电平，此时 CPU 退出复位模式，进入正常运行状态。当按钮被按下时，电容被短路清空电量，按钮松开后重新充电，触发复位。</w:t>
      </w:r>
    </w:p>
    <w:p>
      <w:pPr>
        <w:pStyle w:val="BodyText"/>
      </w:pPr>
      <w:r>
        <w:t xml:space="preserve">根据官方设计指南，电容选取 100nF 即可，以保证 NRST 低电平持续的时间满足 CPU 复位的最小脉宽要求，能正常触发复位。</w:t>
      </w:r>
    </w:p>
    <w:p>
      <w:pPr>
        <w:pStyle w:val="BodyText"/>
      </w:pPr>
      <w:r>
        <w:t xml:space="preserve">如果不需要手动复位功能，也可以略去按键。</w:t>
      </w:r>
    </w:p>
    <w:p>
      <w:pPr>
        <w:pStyle w:val="Heading3"/>
      </w:pPr>
      <w:bookmarkStart w:id="32" w:name="时钟"/>
      <w:r>
        <w:t xml:space="preserve">时钟</w:t>
      </w:r>
      <w:bookmarkEnd w:id="32"/>
    </w:p>
    <w:p>
      <w:pPr>
        <w:pStyle w:val="FirstParagraph"/>
      </w:pPr>
      <w:r>
        <w:drawing>
          <wp:inline>
            <wp:extent cx="5334000" cy="59786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557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如上图，STM32 的时钟分以下几种：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HSI</w:t>
      </w:r>
      <w:r>
        <w:t xml:space="preserve">：高速内部时钟，是内部的 RC 振荡器，频率为 8MHz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HSE</w:t>
      </w:r>
      <w:r>
        <w:t xml:space="preserve">：高速外部时钟，可接石英 / 陶瓷谐振器，或者接外部时钟源，频率范围为 4MHz~16MHz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LSI</w:t>
      </w:r>
      <w:r>
        <w:t xml:space="preserve">：低速内部时钟，RC 振荡器，频率为 40kHz. 独立看门狗的时钟源只能是它，同时它也可以作为 RTC 的时钟源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LSE</w:t>
      </w:r>
      <w:r>
        <w:t xml:space="preserve">：低速外部时钟，接频率为 32.768kHz 的石英晶体。LSE 是给 RTC 用的时钟源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PLL</w:t>
      </w:r>
      <w:r>
        <w:t xml:space="preserve">：锁相环倍频输出，其时钟输入源可选择为 HSI/2, HSE 或 HSE/2. 倍频可为 2~16 倍，但是输出频率最大不得超过 72MHz</w:t>
      </w:r>
    </w:p>
    <w:p>
      <w:pPr>
        <w:pStyle w:val="FirstParagraph"/>
      </w:pPr>
      <w:r>
        <w:t xml:space="preserve">从稳定性上考虑，我们在设计的时候一般使用外部晶振作为时钟源。</w:t>
      </w:r>
      <w:r>
        <w:rPr>
          <w:b/>
        </w:rPr>
        <w:t xml:space="preserve">一般选取 8MHz 晶振作为 HSE</w:t>
      </w:r>
      <w:r>
        <w:t xml:space="preserve">，便于倍频（一般倍频到 72MHz）；</w:t>
      </w:r>
      <w:r>
        <w:rPr>
          <w:b/>
        </w:rPr>
        <w:t xml:space="preserve">选取 32.768kHz 晶振作为 LSE</w:t>
      </w:r>
      <w:r>
        <w:t xml:space="preserve">，RTC 使用便于分频（32768 是 2 的 15 次方，可以得到精准的时间）。</w:t>
      </w:r>
    </w:p>
    <w:p>
      <w:pPr>
        <w:pStyle w:val="BodyText"/>
      </w:pPr>
      <w:r>
        <w:t xml:space="preserve">至于晶振的选用，有源的精度高，无源的成本低，一般无源就足够了。</w:t>
      </w:r>
      <w:r>
        <w:br/>
      </w:r>
      <w:r>
        <w:t xml:space="preserve">如果选用无源晶振，则需要在两端要加上起振电容，滤除晶振波形中的高频杂波。容值可选 10 ～ 40pF.</w:t>
      </w:r>
    </w:p>
    <w:p>
      <w:pPr>
        <w:pStyle w:val="BodyText"/>
      </w:pPr>
      <w:r>
        <w:t xml:space="preserve">晶振输入输出引脚之间可加一个 1M 的电阻，产生负反馈，保证放大器工作在高增益的线性区。同时还起到限流作用，防止反相器驱动过载损坏晶振。</w:t>
      </w:r>
    </w:p>
    <w:p>
      <w:pPr>
        <w:pStyle w:val="BodyText"/>
      </w:pPr>
      <w:r>
        <w:drawing>
          <wp:inline>
            <wp:extent cx="5334000" cy="1657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71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启动模式配置"/>
      <w:r>
        <w:t xml:space="preserve">启动模式配置</w:t>
      </w:r>
      <w:bookmarkEnd w:id="35"/>
    </w:p>
    <w:p>
      <w:pPr>
        <w:pStyle w:val="FirstParagraph"/>
      </w:pPr>
      <w:r>
        <w:rPr>
          <w:b/>
        </w:rPr>
        <w:t xml:space="preserve">一般来说，将 BOOT0 引脚下拉</w:t>
      </w:r>
      <w:r>
        <w:t xml:space="preserve">（串接 10K 电阻再接地），</w:t>
      </w:r>
      <w:r>
        <w:rPr>
          <w:b/>
        </w:rPr>
        <w:t xml:space="preserve">BOOT1 任意</w:t>
      </w:r>
      <w:r>
        <w:t xml:space="preserve"> </w:t>
      </w:r>
      <w:r>
        <w:t xml:space="preserve">即可，如果需要模式切换，也可以参照以下的设计：</w:t>
      </w:r>
    </w:p>
    <w:p>
      <w:pPr>
        <w:pStyle w:val="BodyText"/>
      </w:pPr>
      <w:r>
        <w:drawing>
          <wp:inline>
            <wp:extent cx="5334000" cy="22121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635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STM32 提供了 BOOT1 与 BOOT0 引脚，可以通过设置引脚的状态，以选择上电复位后的启动模式。</w:t>
      </w:r>
    </w:p>
    <w:p>
      <w:pPr>
        <w:pStyle w:val="BodyText"/>
      </w:pPr>
      <w:r>
        <w:t xml:space="preserve">以下为三种启动模式：</w:t>
      </w:r>
    </w:p>
    <w:p>
      <w:pPr>
        <w:pStyle w:val="Heading4"/>
      </w:pPr>
      <w:bookmarkStart w:id="37" w:name="从主闪存存储器启动"/>
      <w:r>
        <w:t xml:space="preserve">1. 从主闪存存储器启动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BOOT0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BOOT1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低</w:t>
            </w:r>
          </w:p>
        </w:tc>
        <w:tc>
          <w:p>
            <w:pPr>
              <w:pStyle w:val="Compact"/>
              <w:jc w:val="center"/>
            </w:pPr>
            <w:r>
              <w:t xml:space="preserve">任意</w:t>
            </w:r>
          </w:p>
        </w:tc>
      </w:tr>
    </w:tbl>
    <w:p>
      <w:pPr>
        <w:pStyle w:val="BodyText"/>
      </w:pPr>
      <w:r>
        <w:t xml:space="preserve">从片上 Flash 存储器启动（就是参数为 64K / 128K / 256K 的 Flash），一般正常情况下是这样配置的。</w:t>
      </w:r>
    </w:p>
    <w:p>
      <w:pPr>
        <w:pStyle w:val="Heading4"/>
      </w:pPr>
      <w:bookmarkStart w:id="38" w:name="从系统存储器启动"/>
      <w:r>
        <w:t xml:space="preserve">2. 从系统存储器启动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BOOT0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BOOT1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高</w:t>
            </w:r>
          </w:p>
        </w:tc>
        <w:tc>
          <w:p>
            <w:pPr>
              <w:pStyle w:val="Compact"/>
              <w:jc w:val="center"/>
            </w:pPr>
            <w:r>
              <w:t xml:space="preserve">低</w:t>
            </w:r>
          </w:p>
        </w:tc>
      </w:tr>
    </w:tbl>
    <w:p>
      <w:pPr>
        <w:pStyle w:val="BodyText"/>
      </w:pPr>
      <w:r>
        <w:t xml:space="preserve">使用串口 / ISP 下载程序时，需要配置这种模式。</w:t>
      </w:r>
    </w:p>
    <w:p>
      <w:pPr>
        <w:pStyle w:val="Heading4"/>
      </w:pPr>
      <w:bookmarkStart w:id="39" w:name="从内置-sram-启动"/>
      <w:r>
        <w:t xml:space="preserve">3. 从内置 SRAM 启动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BOOT0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BOOT1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高</w:t>
            </w:r>
          </w:p>
        </w:tc>
        <w:tc>
          <w:p>
            <w:pPr>
              <w:pStyle w:val="Compact"/>
              <w:jc w:val="center"/>
            </w:pPr>
            <w:r>
              <w:t xml:space="preserve">高</w:t>
            </w:r>
          </w:p>
        </w:tc>
      </w:tr>
    </w:tbl>
    <w:p>
      <w:pPr>
        <w:pStyle w:val="BodyText"/>
      </w:pPr>
      <w:r>
        <w:t xml:space="preserve">从内置 SRAM 启动，用途有两个：</w:t>
      </w:r>
    </w:p>
    <w:p>
      <w:pPr>
        <w:pStyle w:val="Compact"/>
        <w:numPr>
          <w:numId w:val="1002"/>
          <w:ilvl w:val="0"/>
        </w:numPr>
      </w:pPr>
      <w:r>
        <w:t xml:space="preserve">用于反复下载调试时，提高效率（因为下载到 Flash 相对慢）。需要注意的是，断电程序将丢失</w:t>
      </w:r>
    </w:p>
    <w:p>
      <w:pPr>
        <w:pStyle w:val="Compact"/>
        <w:numPr>
          <w:numId w:val="1002"/>
          <w:ilvl w:val="0"/>
        </w:numPr>
      </w:pPr>
      <w:r>
        <w:t xml:space="preserve">用于解除芯片的读保护功能 / 擦除 Flash 恢复出厂</w:t>
      </w:r>
    </w:p>
    <w:p>
      <w:pPr>
        <w:pStyle w:val="Heading3"/>
      </w:pPr>
      <w:bookmarkStart w:id="40" w:name="下载调试接口"/>
      <w:r>
        <w:t xml:space="preserve">下载调试接口</w:t>
      </w:r>
      <w:bookmarkEnd w:id="40"/>
    </w:p>
    <w:p>
      <w:pPr>
        <w:pStyle w:val="FirstParagraph"/>
      </w:pPr>
      <w:r>
        <w:t xml:space="preserve">一般我们用 SWD 接口（接线少，方便），</w:t>
      </w:r>
      <w:r>
        <w:rPr>
          <w:b/>
        </w:rPr>
        <w:t xml:space="preserve">直接引出 SWDIO, SWCLK, VCC, GND 即可</w:t>
      </w:r>
      <w:r>
        <w:t xml:space="preserve">。</w:t>
      </w:r>
      <w:r>
        <w:br/>
      </w:r>
      <w:r>
        <w:t xml:space="preserve">不需要添加外部上拉／下拉电阻，因为 STM32 内部已经有集成了。</w:t>
      </w:r>
    </w:p>
    <w:p>
      <w:pPr>
        <w:pStyle w:val="BodyText"/>
      </w:pPr>
      <w:r>
        <w:drawing>
          <wp:inline>
            <wp:extent cx="5334000" cy="3132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iki-media-1253965369.cos.ap-guangzhou.myqcloud.com/img/202006051707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单片机最小系统的编程与调试"/>
      <w:r>
        <w:t xml:space="preserve">单片机最小系统的编程与调试</w:t>
      </w:r>
      <w:bookmarkEnd w:id="42"/>
    </w:p>
    <w:p>
      <w:pPr>
        <w:pStyle w:val="FirstParagraph"/>
      </w:pPr>
      <w:r>
        <w:t xml:space="preserve">靖高写：拿到最小系统板之后，截个点灯代码，简单提一下原理就行</w:t>
      </w:r>
    </w:p>
    <w:p>
      <w:pPr>
        <w:pStyle w:val="Heading2"/>
      </w:pPr>
      <w:bookmarkStart w:id="43" w:name="实验效果或仿真效果"/>
      <w:r>
        <w:t xml:space="preserve">实验效果（或仿真效果）</w:t>
      </w:r>
      <w:bookmarkEnd w:id="43"/>
    </w:p>
    <w:p>
      <w:pPr>
        <w:pStyle w:val="FirstParagraph"/>
      </w:pPr>
      <w:r>
        <w:t xml:space="preserve">靖高写：最好有个板子亮灯的照片，如果没有我找找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jp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2020-07-14T10:03:32Z</dcterms:created>
  <dcterms:modified xsi:type="dcterms:W3CDTF">2020-07-14T10:03:32Z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