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黑体" w:hAnsi="黑体" w:eastAsia="黑体" w:cs="黑体"/>
          <w:i w:val="0"/>
          <w:caps w:val="0"/>
          <w:color w:val="333333"/>
          <w:spacing w:val="0"/>
          <w:sz w:val="32"/>
          <w:szCs w:val="32"/>
        </w:rPr>
      </w:pP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32"/>
          <w:szCs w:val="32"/>
          <w:shd w:val="clear" w:fill="FFFFFF"/>
        </w:rPr>
        <w:t>C语言结构体字节对齐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一、对齐方式</w:t>
      </w:r>
    </w:p>
    <w:p>
      <w:pPr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那么到底是怎么存储的呢？就是按字节对齐的方式存储的！</w:t>
      </w:r>
      <w:r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</w:rPr>
        <w:t>即以结构体成员中占内存最多的数据类型所占的字节数为标准，所有的成员在分配内存时都要与这个长度对齐。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numPr>
          <w:ilvl w:val="0"/>
          <w:numId w:val="1"/>
        </w:numP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Linux下各个数据类型的字节大小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3667760" cy="2030095"/>
            <wp:effectExtent l="0" t="0" r="8890" b="8255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67760" cy="203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三、常见例子</w:t>
      </w:r>
    </w:p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例子1：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5268595" cy="2748280"/>
            <wp:effectExtent l="0" t="0" r="825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4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5269230" cy="635635"/>
            <wp:effectExtent l="0" t="0" r="7620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3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D4D4D"/>
          <w:spacing w:val="0"/>
          <w:sz w:val="24"/>
          <w:szCs w:val="24"/>
          <w:shd w:val="clear" w:fill="FFFFFF"/>
        </w:rPr>
        <w:t xml:space="preserve">总共占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D4D4D"/>
          <w:spacing w:val="0"/>
          <w:sz w:val="24"/>
          <w:szCs w:val="24"/>
          <w:shd w:val="clear" w:fill="FFFFFF"/>
        </w:rPr>
        <w:t xml:space="preserve"> 字节。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例子2：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5181600" cy="1524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5274310" cy="673735"/>
            <wp:effectExtent l="0" t="0" r="2540" b="1206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D4D4D"/>
          <w:spacing w:val="0"/>
          <w:sz w:val="24"/>
          <w:szCs w:val="24"/>
          <w:shd w:val="clear" w:fill="FFFFFF"/>
        </w:rPr>
        <w:t xml:space="preserve">总共占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D4D4D"/>
          <w:spacing w:val="0"/>
          <w:sz w:val="24"/>
          <w:szCs w:val="24"/>
          <w:shd w:val="clear" w:fill="FFFFFF"/>
        </w:rPr>
        <w:t xml:space="preserve"> 字节。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例子3：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5274310" cy="2135505"/>
            <wp:effectExtent l="0" t="0" r="2540" b="171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5269230" cy="946785"/>
            <wp:effectExtent l="0" t="0" r="762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94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D4D4D"/>
          <w:spacing w:val="0"/>
          <w:sz w:val="24"/>
          <w:szCs w:val="24"/>
          <w:shd w:val="clear" w:fill="FFFFFF"/>
        </w:rPr>
        <w:t>总共占 12 字节。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黑体" w:hAnsi="黑体" w:eastAsia="黑体" w:cs="黑体"/>
          <w:b w:val="0"/>
          <w:i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例子4：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5269865" cy="1485900"/>
            <wp:effectExtent l="0" t="0" r="698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5269230" cy="900430"/>
            <wp:effectExtent l="0" t="0" r="7620" b="139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90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D4D4D"/>
          <w:spacing w:val="0"/>
          <w:sz w:val="24"/>
          <w:szCs w:val="24"/>
          <w:shd w:val="clear" w:fill="FFFFFF"/>
        </w:rPr>
        <w:t>总共占 12 字节。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例子5：（特殊）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5271135" cy="1635125"/>
            <wp:effectExtent l="0" t="0" r="5715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3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5273040" cy="1737995"/>
            <wp:effectExtent l="0" t="0" r="3810" b="146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73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D4D4D"/>
          <w:spacing w:val="0"/>
          <w:sz w:val="24"/>
          <w:szCs w:val="24"/>
          <w:shd w:val="clear" w:fill="FFFFFF"/>
        </w:rPr>
        <w:t xml:space="preserve">总共占 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24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D4D4D"/>
          <w:spacing w:val="0"/>
          <w:sz w:val="24"/>
          <w:szCs w:val="24"/>
          <w:shd w:val="clear" w:fill="FFFFFF"/>
        </w:rPr>
        <w:t xml:space="preserve"> 字节。</w:t>
      </w:r>
    </w:p>
    <w:p>
      <w:pPr>
        <w:rPr>
          <w:rFonts w:hint="eastAsia" w:asciiTheme="minorEastAsia" w:hAnsiTheme="minorEastAsia" w:cstheme="minorEastAsia"/>
          <w:b/>
          <w:bCs/>
          <w:i/>
          <w:iCs/>
          <w:color w:val="FF000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i/>
          <w:iCs/>
          <w:color w:val="FF000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/>
          <w:iCs/>
          <w:color w:val="FF0000"/>
          <w:sz w:val="24"/>
          <w:szCs w:val="24"/>
          <w:lang w:val="en-US" w:eastAsia="zh-CN"/>
        </w:rPr>
        <w:t>特殊的：</w:t>
      </w:r>
    </w:p>
    <w:p>
      <w:pP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olor w:val="FF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上面这个结构体变量 data 中有成员 char name[10]，长度最长，是 10，那是不是要以 10 对齐？不是，char a[10] 的本质是 10 个 char 变量，所以就把它当成 10 个 char 变量看就行了。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olor w:val="FF0000"/>
          <w:sz w:val="24"/>
          <w:szCs w:val="24"/>
        </w:rPr>
        <w:t>所以结构体变量 data 中成员最长类型占 4 字节，还是以 4 对齐。</w:t>
      </w:r>
    </w:p>
    <w:p>
      <w:pP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olor w:val="FF0000"/>
          <w:sz w:val="24"/>
          <w:szCs w:val="24"/>
        </w:rPr>
      </w:pPr>
    </w:p>
    <w:p>
      <w:pPr>
        <w:rPr>
          <w:rFonts w:hint="eastAsia" w:ascii="黑体" w:hAnsi="黑体" w:eastAsia="黑体" w:cs="黑体"/>
          <w:b w:val="0"/>
          <w:bCs w:val="0"/>
          <w:i w:val="0"/>
          <w:iCs w:val="0"/>
          <w:color w:val="auto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olor w:val="auto"/>
          <w:sz w:val="28"/>
          <w:szCs w:val="28"/>
          <w:lang w:val="en-US" w:eastAsia="zh-CN"/>
        </w:rPr>
        <w:t>例子6：（内嵌结构体）</w:t>
      </w:r>
    </w:p>
    <w:p>
      <w:r>
        <w:drawing>
          <wp:inline distT="0" distB="0" distL="114300" distR="114300">
            <wp:extent cx="3067050" cy="2543175"/>
            <wp:effectExtent l="0" t="0" r="0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1546225"/>
            <wp:effectExtent l="0" t="0" r="5080" b="1587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54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例子7：</w:t>
      </w:r>
    </w:p>
    <w:p>
      <w:r>
        <w:drawing>
          <wp:inline distT="0" distB="0" distL="114300" distR="114300">
            <wp:extent cx="3609975" cy="1695450"/>
            <wp:effectExtent l="0" t="0" r="9525" b="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D4D4D"/>
          <w:spacing w:val="0"/>
          <w:sz w:val="24"/>
          <w:szCs w:val="24"/>
          <w:shd w:val="clear" w:fill="FFFFFF"/>
        </w:rPr>
        <w:t xml:space="preserve">总共占 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16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D4D4D"/>
          <w:spacing w:val="0"/>
          <w:sz w:val="24"/>
          <w:szCs w:val="24"/>
          <w:shd w:val="clear" w:fill="FFFFFF"/>
        </w:rPr>
        <w:t>字节。</w:t>
      </w:r>
    </w:p>
    <w:p>
      <w:pPr>
        <w:rPr>
          <w:rFonts w:hint="eastAsia"/>
          <w:b/>
          <w:bCs/>
          <w:color w:val="FF0000"/>
          <w:sz w:val="24"/>
          <w:szCs w:val="32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32"/>
          <w:lang w:val="en-US" w:eastAsia="zh-CN"/>
        </w:rPr>
        <w:t>Linux中指针为8字节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黑体" w:hAnsi="黑体" w:eastAsia="黑体" w:cs="黑体"/>
          <w:sz w:val="28"/>
          <w:szCs w:val="36"/>
          <w:lang w:val="en-US" w:eastAsia="zh-CN"/>
        </w:rPr>
      </w:pPr>
      <w:r>
        <w:rPr>
          <w:rFonts w:hint="eastAsia" w:ascii="黑体" w:hAnsi="黑体" w:eastAsia="黑体" w:cs="黑体"/>
          <w:sz w:val="28"/>
          <w:szCs w:val="36"/>
          <w:lang w:val="en-US" w:eastAsia="zh-CN"/>
        </w:rPr>
        <w:t>例子8：</w:t>
      </w:r>
    </w:p>
    <w:p>
      <w:r>
        <w:drawing>
          <wp:inline distT="0" distB="0" distL="114300" distR="114300">
            <wp:extent cx="3619500" cy="2124075"/>
            <wp:effectExtent l="0" t="0" r="0" b="9525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295775" cy="657225"/>
            <wp:effectExtent l="0" t="0" r="9525" b="9525"/>
            <wp:docPr id="1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总共占用16字节。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结构体nums的最大成员int d占8个字节，故实际对齐字节是8字节。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en-US" w:eastAsia="zh-CN"/>
        </w:rPr>
        <w:t>char a放在结构体的起始地址;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en-US" w:eastAsia="zh-CN"/>
        </w:rPr>
        <w:t>short b占2个字节，2小于实际对齐字节8，故b的起始地址相对于a的起始地址的偏移量须为2的整数倍个字节;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en-US" w:eastAsia="zh-CN"/>
        </w:rPr>
        <w:t>int c占4个字节，4小于实际对齐字节8，故c 起始地址相对于a的起始地址的偏移量须为4的整数倍个字节；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所以T_Test所占空间如下: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shd w:val="clear" w:color="auto" w:fill="C5E0B3" w:themeFill="accent6" w:themeFillTint="66"/>
          </w:tcPr>
          <w:p>
            <w:pPr>
              <w:ind w:firstLine="720" w:firstLineChars="300"/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a</w:t>
            </w:r>
          </w:p>
        </w:tc>
        <w:tc>
          <w:tcPr>
            <w:tcW w:w="2130" w:type="dxa"/>
            <w:shd w:val="clear" w:color="auto" w:fill="C5E0B3" w:themeFill="accent6" w:themeFillTint="66"/>
          </w:tcPr>
          <w:p>
            <w:pPr>
              <w:ind w:firstLine="720" w:firstLineChars="300"/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空</w:t>
            </w:r>
          </w:p>
        </w:tc>
        <w:tc>
          <w:tcPr>
            <w:tcW w:w="4262" w:type="dxa"/>
            <w:gridSpan w:val="2"/>
            <w:shd w:val="clear" w:color="auto" w:fill="FEF2CC" w:themeFill="accent4" w:themeFillTint="32"/>
          </w:tcPr>
          <w:p>
            <w:pPr>
              <w:ind w:firstLine="720" w:firstLineChars="300"/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shd w:val="clear" w:color="auto" w:fill="C5E0B3" w:themeFill="accent6" w:themeFillTint="66"/>
          </w:tcPr>
          <w:p>
            <w:pPr>
              <w:ind w:firstLine="720" w:firstLineChars="300"/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</w:t>
            </w:r>
          </w:p>
        </w:tc>
        <w:tc>
          <w:tcPr>
            <w:tcW w:w="2130" w:type="dxa"/>
            <w:shd w:val="clear" w:color="auto" w:fill="C5E0B3" w:themeFill="accent6" w:themeFillTint="66"/>
            <w:vAlign w:val="top"/>
          </w:tcPr>
          <w:p>
            <w:pPr>
              <w:ind w:firstLine="720" w:firstLineChars="300"/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空</w:t>
            </w:r>
          </w:p>
        </w:tc>
        <w:tc>
          <w:tcPr>
            <w:tcW w:w="2131" w:type="dxa"/>
            <w:shd w:val="clear" w:color="auto" w:fill="C5E0B3" w:themeFill="accent6" w:themeFillTint="66"/>
            <w:vAlign w:val="top"/>
          </w:tcPr>
          <w:p>
            <w:pPr>
              <w:ind w:firstLine="720" w:firstLineChars="300"/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空</w:t>
            </w:r>
          </w:p>
        </w:tc>
        <w:tc>
          <w:tcPr>
            <w:tcW w:w="2131" w:type="dxa"/>
            <w:shd w:val="clear" w:color="auto" w:fill="C5E0B3" w:themeFill="accent6" w:themeFillTint="66"/>
            <w:vAlign w:val="top"/>
          </w:tcPr>
          <w:p>
            <w:pPr>
              <w:ind w:firstLine="720" w:firstLineChars="300"/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FEF2CC" w:themeFill="accent4" w:themeFillTint="32"/>
          </w:tcPr>
          <w:p>
            <w:pPr>
              <w:ind w:firstLine="720" w:firstLineChars="300"/>
              <w:jc w:val="left"/>
              <w:rPr>
                <w:rFonts w:hint="default"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highlight w:val="none"/>
                <w:vertAlign w:val="baseline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shd w:val="clear" w:color="auto" w:fill="C5E0B3" w:themeFill="accent6" w:themeFillTint="66"/>
          </w:tcPr>
          <w:p>
            <w:pPr>
              <w:ind w:firstLine="720" w:firstLineChars="300"/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e[1]</w:t>
            </w:r>
          </w:p>
        </w:tc>
        <w:tc>
          <w:tcPr>
            <w:tcW w:w="2130" w:type="dxa"/>
            <w:shd w:val="clear" w:color="auto" w:fill="C5E0B3" w:themeFill="accent6" w:themeFillTint="66"/>
          </w:tcPr>
          <w:p>
            <w:pPr>
              <w:ind w:firstLine="720" w:firstLineChars="300"/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e[1]</w:t>
            </w:r>
          </w:p>
        </w:tc>
        <w:tc>
          <w:tcPr>
            <w:tcW w:w="2131" w:type="dxa"/>
            <w:shd w:val="clear" w:color="auto" w:fill="C5E0B3" w:themeFill="accent6" w:themeFillTint="66"/>
          </w:tcPr>
          <w:p>
            <w:pPr>
              <w:ind w:firstLine="720" w:firstLineChars="300"/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e[1]</w:t>
            </w:r>
          </w:p>
        </w:tc>
        <w:tc>
          <w:tcPr>
            <w:tcW w:w="2131" w:type="dxa"/>
            <w:shd w:val="clear" w:color="auto" w:fill="C5E0B3" w:themeFill="accent6" w:themeFillTint="66"/>
            <w:vAlign w:val="top"/>
          </w:tcPr>
          <w:p>
            <w:pPr>
              <w:ind w:firstLine="720" w:firstLineChars="300"/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空</w:t>
            </w:r>
          </w:p>
        </w:tc>
      </w:tr>
    </w:tbl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小内存也要符合字节存储规则。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在Linux中2字节数据类型(例如short)的</w:t>
      </w:r>
      <w:r>
        <w:rPr>
          <w:rFonts w:hint="eastAsia" w:asciiTheme="minorEastAsia" w:hAnsiTheme="minorEastAsia" w:eastAsiaTheme="minorEastAsia" w:cstheme="minorEastAsia"/>
          <w:b/>
          <w:bCs/>
          <w:color w:val="FF0000"/>
          <w:sz w:val="28"/>
          <w:szCs w:val="28"/>
          <w:lang w:val="en-US" w:eastAsia="zh-CN"/>
        </w:rPr>
        <w:t>地址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必须是2的倍数，而较大的数据类型(例如int，int *，float和double)的</w:t>
      </w:r>
      <w:r>
        <w:rPr>
          <w:rFonts w:hint="eastAsia" w:asciiTheme="minorEastAsia" w:hAnsiTheme="minorEastAsia" w:eastAsiaTheme="minorEastAsia" w:cstheme="minorEastAsia"/>
          <w:b/>
          <w:bCs/>
          <w:color w:val="FF0000"/>
          <w:sz w:val="28"/>
          <w:szCs w:val="28"/>
          <w:lang w:val="en-US" w:eastAsia="zh-CN"/>
        </w:rPr>
        <w:t>地址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必须是4的倍数。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AD17ED2"/>
    <w:multiLevelType w:val="singleLevel"/>
    <w:tmpl w:val="DAD17ED2"/>
    <w:lvl w:ilvl="0" w:tentative="0">
      <w:start w:val="2"/>
      <w:numFmt w:val="chineseCounting"/>
      <w:suff w:val="space"/>
      <w:lvlText w:val="%1、"/>
      <w:lvlJc w:val="left"/>
      <w:rPr>
        <w:rFonts w:hint="eastAsia"/>
      </w:rPr>
    </w:lvl>
  </w:abstractNum>
  <w:abstractNum w:abstractNumId="1">
    <w:nsid w:val="065A5219"/>
    <w:multiLevelType w:val="singleLevel"/>
    <w:tmpl w:val="065A521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E8C"/>
    <w:rsid w:val="001E3E8C"/>
    <w:rsid w:val="109228B2"/>
    <w:rsid w:val="15311D05"/>
    <w:rsid w:val="22D361A6"/>
    <w:rsid w:val="38376F7A"/>
    <w:rsid w:val="49576DA8"/>
    <w:rsid w:val="4A075A3E"/>
    <w:rsid w:val="59170EF8"/>
    <w:rsid w:val="6298106C"/>
    <w:rsid w:val="7BD63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Office_11.1.0.8986_F1E327BC-269C-435d-A152-05C5408002CA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2019-10-03T03:10:00Z</dcterms:created>
  <dc:creator>风鸣月银～颖</dc:creator>
  <cp:lastModifiedBy>风鸣月银～颖</cp:lastModifiedBy>
  <dcterms:modified xsi:type="dcterms:W3CDTF">2019-10-03T05:12:54Z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2052-11.1.0.8986</vt:lpwstr>
  </property>
</Properties>
</file>