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1658B" w14:textId="1A8A521A" w:rsidR="00807D34" w:rsidRDefault="00807D34" w:rsidP="006D6751">
      <w:pPr>
        <w:jc w:val="center"/>
        <w:rPr>
          <w:b/>
          <w:bCs/>
          <w:sz w:val="28"/>
          <w:szCs w:val="28"/>
        </w:rPr>
      </w:pPr>
      <w:r w:rsidRPr="00807D34">
        <w:rPr>
          <w:b/>
          <w:bCs/>
          <w:sz w:val="28"/>
          <w:szCs w:val="28"/>
        </w:rPr>
        <w:t xml:space="preserve">Market Basket Analysis for </w:t>
      </w:r>
      <w:proofErr w:type="spellStart"/>
      <w:r w:rsidRPr="00807D34">
        <w:rPr>
          <w:b/>
          <w:bCs/>
          <w:sz w:val="28"/>
          <w:szCs w:val="28"/>
        </w:rPr>
        <w:t>Electronidex</w:t>
      </w:r>
      <w:proofErr w:type="spellEnd"/>
    </w:p>
    <w:p w14:paraId="7C3C040A" w14:textId="229B123C" w:rsidR="00807D34" w:rsidRPr="00BA67AC" w:rsidRDefault="008B4B89" w:rsidP="00807D34">
      <w:pPr>
        <w:pStyle w:val="Heading3"/>
        <w:spacing w:line="240" w:lineRule="auto"/>
      </w:pPr>
      <w:r w:rsidRPr="00D83721">
        <w:rPr>
          <w:b/>
          <w:bCs/>
          <w:u w:val="single"/>
        </w:rPr>
        <w:t>Objective</w:t>
      </w:r>
    </w:p>
    <w:p w14:paraId="21ECB56F" w14:textId="77777777" w:rsidR="00BA67AC" w:rsidRPr="006D6751" w:rsidRDefault="00BA67AC" w:rsidP="00807D34"/>
    <w:p w14:paraId="6B9EFC6C" w14:textId="2CDBA8A6" w:rsidR="00807D34" w:rsidRDefault="008B4B89" w:rsidP="00807D34">
      <w:pPr>
        <w:rPr>
          <w:shd w:val="clear" w:color="auto" w:fill="FFFFFF"/>
        </w:rPr>
      </w:pPr>
      <w:r>
        <w:rPr>
          <w:shd w:val="clear" w:color="auto" w:fill="FFFFFF"/>
        </w:rPr>
        <w:t>By a</w:t>
      </w:r>
      <w:r w:rsidR="00807D34">
        <w:rPr>
          <w:shd w:val="clear" w:color="auto" w:fill="FFFFFF"/>
        </w:rPr>
        <w:t>nalyz</w:t>
      </w:r>
      <w:r>
        <w:rPr>
          <w:shd w:val="clear" w:color="auto" w:fill="FFFFFF"/>
        </w:rPr>
        <w:t>ing</w:t>
      </w:r>
      <w:r w:rsidR="00807D34">
        <w:rPr>
          <w:shd w:val="clear" w:color="auto" w:fill="FFFFFF"/>
        </w:rPr>
        <w:t xml:space="preserve"> one</w:t>
      </w:r>
      <w:r>
        <w:rPr>
          <w:shd w:val="clear" w:color="auto" w:fill="FFFFFF"/>
        </w:rPr>
        <w:t>-</w:t>
      </w:r>
      <w:r w:rsidR="00807D34">
        <w:rPr>
          <w:shd w:val="clear" w:color="auto" w:fill="FFFFFF"/>
        </w:rPr>
        <w:t>month online transaction</w:t>
      </w:r>
      <w:r>
        <w:rPr>
          <w:shd w:val="clear" w:color="auto" w:fill="FFFFFF"/>
        </w:rPr>
        <w:t xml:space="preserve"> record for </w:t>
      </w:r>
      <w:proofErr w:type="spellStart"/>
      <w:r>
        <w:rPr>
          <w:shd w:val="clear" w:color="auto" w:fill="FFFFFF"/>
        </w:rPr>
        <w:t>Electronidex</w:t>
      </w:r>
      <w:proofErr w:type="spellEnd"/>
      <w:r>
        <w:rPr>
          <w:shd w:val="clear" w:color="auto" w:fill="FFFFFF"/>
        </w:rPr>
        <w:t xml:space="preserve"> </w:t>
      </w:r>
      <w:r w:rsidR="00807D34">
        <w:rPr>
          <w:shd w:val="clear" w:color="auto" w:fill="FFFFFF"/>
        </w:rPr>
        <w:t xml:space="preserve">to discover the insights into their customers’ purchasing </w:t>
      </w:r>
      <w:r w:rsidR="000B7579">
        <w:rPr>
          <w:shd w:val="clear" w:color="auto" w:fill="FFFFFF"/>
        </w:rPr>
        <w:t>pattern</w:t>
      </w:r>
      <w:r>
        <w:rPr>
          <w:shd w:val="clear" w:color="auto" w:fill="FFFFFF"/>
        </w:rPr>
        <w:t>, in order to make suggestions to Blackwell Electronics.</w:t>
      </w:r>
    </w:p>
    <w:p w14:paraId="69B120E1" w14:textId="77777777" w:rsidR="006D6751" w:rsidRDefault="006D6751" w:rsidP="00807D34">
      <w:pPr>
        <w:rPr>
          <w:shd w:val="clear" w:color="auto" w:fill="FFFFFF"/>
        </w:rPr>
      </w:pPr>
    </w:p>
    <w:p w14:paraId="393C55E2" w14:textId="42AE028E" w:rsidR="008B4B89" w:rsidRDefault="008B4B89" w:rsidP="008B4B89">
      <w:pPr>
        <w:pStyle w:val="Heading3"/>
        <w:spacing w:line="240" w:lineRule="auto"/>
      </w:pPr>
      <w:r w:rsidRPr="00D83721">
        <w:rPr>
          <w:b/>
          <w:bCs/>
          <w:u w:val="single"/>
        </w:rPr>
        <w:t>Observations and Findings</w:t>
      </w:r>
    </w:p>
    <w:p w14:paraId="4302D912" w14:textId="77777777" w:rsidR="004237B6" w:rsidRDefault="004237B6" w:rsidP="004237B6"/>
    <w:p w14:paraId="747457C9" w14:textId="358CEC54" w:rsidR="004237B6" w:rsidRDefault="004237B6" w:rsidP="004237B6">
      <w:r>
        <w:t>Total Transaction#: 9,835</w:t>
      </w:r>
    </w:p>
    <w:p w14:paraId="4AC61403" w14:textId="4DB7589A" w:rsidR="004237B6" w:rsidRDefault="004237B6" w:rsidP="004237B6">
      <w:r>
        <w:t>Total Product#: 125</w:t>
      </w:r>
    </w:p>
    <w:p w14:paraId="0DCEDE4B" w14:textId="1BF171F1" w:rsidR="004237B6" w:rsidRDefault="004237B6" w:rsidP="004237B6">
      <w:r>
        <w:t>Total Product Category#: 17</w:t>
      </w:r>
    </w:p>
    <w:p w14:paraId="0A30D3CC" w14:textId="55CB0925" w:rsidR="004237B6" w:rsidRDefault="004237B6" w:rsidP="004237B6">
      <w:r>
        <w:t>Average</w:t>
      </w:r>
      <w:r w:rsidR="00D3136B">
        <w:t xml:space="preserve"> Product Count</w:t>
      </w:r>
      <w:r w:rsidR="00F84F15">
        <w:t xml:space="preserve"> per </w:t>
      </w:r>
      <w:r w:rsidR="007278CA">
        <w:t>t</w:t>
      </w:r>
      <w:r>
        <w:t xml:space="preserve">ransaction: </w:t>
      </w:r>
      <w:r w:rsidR="00252D51">
        <w:t xml:space="preserve">6 </w:t>
      </w:r>
      <w:r>
        <w:t>products</w:t>
      </w:r>
    </w:p>
    <w:p w14:paraId="692AA58F" w14:textId="77777777" w:rsidR="00112375" w:rsidRDefault="00112375" w:rsidP="004237B6"/>
    <w:p w14:paraId="06BF8440" w14:textId="47665C4A" w:rsidR="00D83721" w:rsidRPr="00D83721" w:rsidRDefault="00D83721" w:rsidP="00D83721">
      <w:pPr>
        <w:pStyle w:val="Heading3"/>
        <w:rPr>
          <w:b/>
          <w:bCs/>
          <w:u w:val="single"/>
        </w:rPr>
      </w:pPr>
      <w:r w:rsidRPr="00D83721">
        <w:rPr>
          <w:b/>
          <w:bCs/>
          <w:u w:val="single"/>
        </w:rPr>
        <w:t>Top Products</w:t>
      </w:r>
    </w:p>
    <w:p w14:paraId="6A0E2688" w14:textId="46B0D0AB" w:rsidR="00D83721" w:rsidRDefault="00D83721" w:rsidP="00D83721">
      <w:r>
        <w:t xml:space="preserve">Best-selling products for </w:t>
      </w:r>
      <w:proofErr w:type="spellStart"/>
      <w:r>
        <w:t>Electronidex</w:t>
      </w:r>
      <w:proofErr w:type="spellEnd"/>
      <w:r>
        <w:t xml:space="preserve"> are computers</w:t>
      </w:r>
      <w:r w:rsidR="00F52C0A">
        <w:t xml:space="preserve">. As shown below in the top 10 products by their frequency </w:t>
      </w:r>
      <w:r w:rsidR="007B218B">
        <w:t>among</w:t>
      </w:r>
      <w:r w:rsidR="00F52C0A">
        <w:t xml:space="preserve"> all transactions, </w:t>
      </w:r>
      <w:r>
        <w:t xml:space="preserve">8 out of 10 </w:t>
      </w:r>
      <w:r w:rsidR="00F52C0A">
        <w:t>are computers.</w:t>
      </w:r>
    </w:p>
    <w:p w14:paraId="29B813DC" w14:textId="08420ADD" w:rsidR="000F617E" w:rsidRDefault="000F617E" w:rsidP="00D83721">
      <w:r>
        <w:rPr>
          <w:noProof/>
        </w:rPr>
        <w:lastRenderedPageBreak/>
        <w:drawing>
          <wp:inline distT="0" distB="0" distL="0" distR="0" wp14:anchorId="4547D551" wp14:editId="40A43B33">
            <wp:extent cx="5991225" cy="3981450"/>
            <wp:effectExtent l="38100" t="38100" r="85725" b="9525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571594C5-4F7C-41D9-B629-C9FCAB5B0AF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8A7727C" w14:textId="77777777" w:rsidR="007B218B" w:rsidRPr="00D83721" w:rsidRDefault="007B218B" w:rsidP="00D83721"/>
    <w:p w14:paraId="109208FC" w14:textId="7DB80E70" w:rsidR="0056217A" w:rsidRDefault="001460AC" w:rsidP="001460AC">
      <w:pPr>
        <w:pStyle w:val="Heading3"/>
        <w:spacing w:line="240" w:lineRule="auto"/>
      </w:pPr>
      <w:r>
        <w:rPr>
          <w:b/>
          <w:bCs/>
          <w:u w:val="single"/>
        </w:rPr>
        <w:t>Associat</w:t>
      </w:r>
      <w:r w:rsidR="00CE0F29">
        <w:rPr>
          <w:b/>
          <w:bCs/>
          <w:u w:val="single"/>
        </w:rPr>
        <w:t>ion Rule</w:t>
      </w:r>
      <w:r w:rsidR="00112375">
        <w:rPr>
          <w:b/>
          <w:bCs/>
          <w:u w:val="single"/>
        </w:rPr>
        <w:t>s</w:t>
      </w:r>
    </w:p>
    <w:p w14:paraId="53DC85C9" w14:textId="77777777" w:rsidR="00AE7E70" w:rsidRPr="00AE7E70" w:rsidRDefault="00AE7E70" w:rsidP="00AE7E70"/>
    <w:p w14:paraId="2B82DA42" w14:textId="190EE7E2" w:rsidR="005F0368" w:rsidRDefault="0056217A" w:rsidP="0056217A">
      <w:pPr>
        <w:pStyle w:val="Heading3"/>
      </w:pPr>
      <w:r>
        <w:rPr>
          <w:rFonts w:hint="eastAsia"/>
        </w:rPr>
        <w:t>Desk</w:t>
      </w:r>
      <w:r>
        <w:t>tops and Laptops</w:t>
      </w:r>
    </w:p>
    <w:p w14:paraId="3DA79109" w14:textId="758A69CB" w:rsidR="005F0368" w:rsidRDefault="004607F4" w:rsidP="001A13E2">
      <w:r>
        <w:t>C</w:t>
      </w:r>
      <w:r w:rsidR="00A670E0">
        <w:t xml:space="preserve">omputers </w:t>
      </w:r>
      <w:r w:rsidR="001460AC">
        <w:t xml:space="preserve">are frequently purchased </w:t>
      </w:r>
      <w:r w:rsidR="00A670E0">
        <w:t>with monitors</w:t>
      </w:r>
      <w:r>
        <w:t xml:space="preserve"> and they are frequently purchased together</w:t>
      </w:r>
      <w:r w:rsidR="001460AC">
        <w:t xml:space="preserve">. A high percentage of transactions include multiple computers: desktops, </w:t>
      </w:r>
      <w:r w:rsidR="00BD0435">
        <w:t>i</w:t>
      </w:r>
      <w:r w:rsidR="001460AC">
        <w:t>Macs, and HP Laptop in the same transaction.</w:t>
      </w:r>
      <w:r w:rsidR="00A670E0">
        <w:t xml:space="preserve"> </w:t>
      </w:r>
    </w:p>
    <w:p w14:paraId="0C98BF4C" w14:textId="2133F844" w:rsidR="005F0368" w:rsidRDefault="0056217A" w:rsidP="001A13E2">
      <w:r>
        <w:t>Recommendation: No</w:t>
      </w:r>
      <w:r w:rsidR="002E6980">
        <w:t xml:space="preserve"> cross-selling items or sales promotions </w:t>
      </w:r>
      <w:r>
        <w:t>recommendation</w:t>
      </w:r>
      <w:r w:rsidR="002E6980">
        <w:t xml:space="preserve"> need to be addressed on</w:t>
      </w:r>
      <w:r>
        <w:t xml:space="preserve"> </w:t>
      </w:r>
      <w:r w:rsidR="002E6980">
        <w:t xml:space="preserve">the desktops and laptops. As I do not see the strong relationship of cross-selling other items will be more profitable for </w:t>
      </w:r>
      <w:proofErr w:type="spellStart"/>
      <w:r w:rsidR="002E6980">
        <w:t>Electronidex</w:t>
      </w:r>
      <w:proofErr w:type="spellEnd"/>
      <w:r w:rsidR="002E6980">
        <w:t xml:space="preserve"> as a whole. </w:t>
      </w:r>
    </w:p>
    <w:p w14:paraId="61C800E6" w14:textId="50D75A3C" w:rsidR="002E6980" w:rsidRDefault="002E6980" w:rsidP="001A13E2"/>
    <w:p w14:paraId="7D2F3873" w14:textId="094F5AAD" w:rsidR="002E6980" w:rsidRDefault="002E6980" w:rsidP="002E6980">
      <w:pPr>
        <w:pStyle w:val="Heading3"/>
      </w:pPr>
      <w:r>
        <w:rPr>
          <w:rFonts w:hint="eastAsia"/>
        </w:rPr>
        <w:t>Moni</w:t>
      </w:r>
      <w:r>
        <w:t>tors</w:t>
      </w:r>
      <w:bookmarkStart w:id="0" w:name="_GoBack"/>
      <w:bookmarkEnd w:id="0"/>
    </w:p>
    <w:p w14:paraId="1A044898" w14:textId="0C36FECD" w:rsidR="00CE0F29" w:rsidRDefault="00CE0F29" w:rsidP="002E6980">
      <w:r>
        <w:t xml:space="preserve">Monitors are frequently purchased with various computer types, including Dell Desktops, </w:t>
      </w:r>
      <w:r w:rsidR="00BD0435">
        <w:t>i</w:t>
      </w:r>
      <w:r>
        <w:t xml:space="preserve">Mac, Lenovo Desktop Computer, etc. </w:t>
      </w:r>
    </w:p>
    <w:p w14:paraId="129DC728" w14:textId="1D6E5233" w:rsidR="00CE0F29" w:rsidRDefault="00CE0F29" w:rsidP="002E6980">
      <w:r>
        <w:lastRenderedPageBreak/>
        <w:t xml:space="preserve">Recommendation: I would suggest to cross-sell monitors with </w:t>
      </w:r>
      <w:r w:rsidR="005A2708">
        <w:t xml:space="preserve">some </w:t>
      </w:r>
      <w:r w:rsidR="007B6544">
        <w:t>popular</w:t>
      </w:r>
      <w:r w:rsidR="005A2708">
        <w:t xml:space="preserve"> </w:t>
      </w:r>
      <w:r>
        <w:t xml:space="preserve">computer </w:t>
      </w:r>
      <w:r w:rsidR="005A2708">
        <w:t>brands</w:t>
      </w:r>
      <w:r>
        <w:t xml:space="preserve"> in the Market Basket, which is not limited to desktops, laptops, </w:t>
      </w:r>
      <w:r w:rsidR="00BD0435">
        <w:t>i</w:t>
      </w:r>
      <w:r>
        <w:t>Mac</w:t>
      </w:r>
      <w:r w:rsidR="00DB30C8">
        <w:t>s, Apple Mac</w:t>
      </w:r>
      <w:r w:rsidR="00BD0435">
        <w:t>B</w:t>
      </w:r>
      <w:r w:rsidR="00DB30C8">
        <w:t xml:space="preserve">ook Pro, etc. </w:t>
      </w:r>
      <w:r w:rsidR="00DB30C8">
        <w:rPr>
          <w:rFonts w:hint="eastAsia"/>
        </w:rPr>
        <w:t>Pro</w:t>
      </w:r>
      <w:r w:rsidR="00DB30C8">
        <w:t xml:space="preserve">motions can offer buy one full priced of computer to get a monitor at a discounted price. </w:t>
      </w:r>
    </w:p>
    <w:p w14:paraId="2C543928" w14:textId="77777777" w:rsidR="005A1FA4" w:rsidRDefault="005A1FA4" w:rsidP="002E6980"/>
    <w:p w14:paraId="320B7D3C" w14:textId="57CEDE9B" w:rsidR="00C230F7" w:rsidRDefault="008138EF" w:rsidP="00163454">
      <w:pPr>
        <w:pStyle w:val="Heading3"/>
      </w:pPr>
      <w:r>
        <w:t xml:space="preserve">Computer Game, </w:t>
      </w:r>
      <w:r w:rsidR="00B24E6A">
        <w:t>Keyboards</w:t>
      </w:r>
      <w:r w:rsidR="002C46BC">
        <w:t>,</w:t>
      </w:r>
      <w:r>
        <w:t xml:space="preserve"> a</w:t>
      </w:r>
      <w:r w:rsidR="00DB30C8">
        <w:t xml:space="preserve">nd Accessories: </w:t>
      </w:r>
    </w:p>
    <w:p w14:paraId="74970FB3" w14:textId="77777777" w:rsidR="00237032" w:rsidRPr="00237032" w:rsidRDefault="00237032" w:rsidP="00237032"/>
    <w:p w14:paraId="0DB7C814" w14:textId="10ADB2E0" w:rsidR="00DB30C8" w:rsidRDefault="004E69B3" w:rsidP="00032F32">
      <w:r>
        <w:t xml:space="preserve">Below sheet </w:t>
      </w:r>
      <w:r w:rsidR="008138EF">
        <w:t>shows</w:t>
      </w:r>
      <w:r>
        <w:t xml:space="preserve"> the result</w:t>
      </w:r>
      <w:r w:rsidR="00F6355F">
        <w:t xml:space="preserve">s of Top 10 </w:t>
      </w:r>
      <w:r w:rsidR="008B73E9">
        <w:t>Market basket</w:t>
      </w:r>
      <w:r w:rsidR="00F6355F">
        <w:t xml:space="preserve"> and</w:t>
      </w:r>
      <w:r w:rsidR="00E1694E">
        <w:t xml:space="preserve"> items </w:t>
      </w:r>
      <w:r w:rsidR="00347D47">
        <w:t>inclined to</w:t>
      </w:r>
      <w:r w:rsidR="00701B1B">
        <w:t xml:space="preserve"> purchase together.</w:t>
      </w:r>
      <w:r w:rsidR="004607F4">
        <w:t xml:space="preserve"> 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4860"/>
        <w:gridCol w:w="1440"/>
        <w:gridCol w:w="2700"/>
      </w:tblGrid>
      <w:tr w:rsidR="005A1FA4" w:rsidRPr="00345193" w14:paraId="43227999" w14:textId="77777777" w:rsidTr="00345193">
        <w:trPr>
          <w:trHeight w:val="521"/>
        </w:trPr>
        <w:tc>
          <w:tcPr>
            <w:tcW w:w="4860" w:type="dxa"/>
            <w:vAlign w:val="center"/>
          </w:tcPr>
          <w:p w14:paraId="5A593F89" w14:textId="1394C348" w:rsidR="005A1FA4" w:rsidRPr="00345193" w:rsidRDefault="005A1FA4" w:rsidP="00345193">
            <w:pPr>
              <w:jc w:val="center"/>
              <w:rPr>
                <w:b/>
                <w:bCs/>
              </w:rPr>
            </w:pPr>
            <w:r w:rsidRPr="00345193">
              <w:rPr>
                <w:b/>
                <w:bCs/>
              </w:rPr>
              <w:t>Market Basket (Frequently Bought Together)</w:t>
            </w:r>
          </w:p>
        </w:tc>
        <w:tc>
          <w:tcPr>
            <w:tcW w:w="1440" w:type="dxa"/>
            <w:vAlign w:val="center"/>
          </w:tcPr>
          <w:p w14:paraId="2F02B28F" w14:textId="77777777" w:rsidR="005A1FA4" w:rsidRPr="00345193" w:rsidRDefault="005A1FA4" w:rsidP="00345193">
            <w:pPr>
              <w:jc w:val="center"/>
              <w:rPr>
                <w:b/>
                <w:bCs/>
              </w:rPr>
            </w:pPr>
          </w:p>
        </w:tc>
        <w:tc>
          <w:tcPr>
            <w:tcW w:w="2700" w:type="dxa"/>
            <w:vAlign w:val="center"/>
          </w:tcPr>
          <w:p w14:paraId="2CE75E89" w14:textId="34795D72" w:rsidR="005A1FA4" w:rsidRPr="00345193" w:rsidRDefault="005A1FA4" w:rsidP="00345193">
            <w:pPr>
              <w:jc w:val="center"/>
              <w:rPr>
                <w:b/>
                <w:bCs/>
              </w:rPr>
            </w:pPr>
            <w:r w:rsidRPr="00345193">
              <w:rPr>
                <w:b/>
                <w:bCs/>
              </w:rPr>
              <w:t>Cross-Selling Items</w:t>
            </w:r>
          </w:p>
        </w:tc>
      </w:tr>
      <w:tr w:rsidR="005A1FA4" w:rsidRPr="00C20FBD" w14:paraId="4CA12BBB" w14:textId="77777777" w:rsidTr="004F4854">
        <w:tc>
          <w:tcPr>
            <w:tcW w:w="4860" w:type="dxa"/>
          </w:tcPr>
          <w:p w14:paraId="1AA3F3E5" w14:textId="651E7AD1" w:rsidR="005A1FA4" w:rsidRPr="00C20FBD" w:rsidRDefault="005A1FA4" w:rsidP="00032F32">
            <w:pPr>
              <w:rPr>
                <w:sz w:val="20"/>
                <w:szCs w:val="20"/>
              </w:rPr>
            </w:pPr>
            <w:r w:rsidRPr="00C20FBD">
              <w:rPr>
                <w:sz w:val="20"/>
                <w:szCs w:val="20"/>
              </w:rPr>
              <w:t>Apple EarPods</w:t>
            </w:r>
          </w:p>
          <w:p w14:paraId="1C9FB588" w14:textId="6DECB34D" w:rsidR="005A1FA4" w:rsidRPr="00C20FBD" w:rsidRDefault="005A1FA4" w:rsidP="001642CF">
            <w:pPr>
              <w:rPr>
                <w:sz w:val="20"/>
                <w:szCs w:val="20"/>
              </w:rPr>
            </w:pPr>
            <w:r w:rsidRPr="00C20FBD">
              <w:rPr>
                <w:sz w:val="20"/>
                <w:szCs w:val="20"/>
              </w:rPr>
              <w:t>Logitech MK360 Wireless Keyboard and Mouse Combo</w:t>
            </w:r>
          </w:p>
        </w:tc>
        <w:tc>
          <w:tcPr>
            <w:tcW w:w="1440" w:type="dxa"/>
            <w:vAlign w:val="center"/>
          </w:tcPr>
          <w:p w14:paraId="607361B5" w14:textId="486A0C4B" w:rsidR="005A1FA4" w:rsidRPr="00B56A49" w:rsidRDefault="00B56A49" w:rsidP="004F4854">
            <w:pPr>
              <w:jc w:val="center"/>
              <w:rPr>
                <w:b/>
                <w:bCs/>
                <w:sz w:val="32"/>
                <w:szCs w:val="32"/>
              </w:rPr>
            </w:pPr>
            <w:r w:rsidRPr="00B56A49">
              <w:rPr>
                <w:rFonts w:cstheme="minorHAnsi"/>
                <w:b/>
                <w:bCs/>
                <w:color w:val="548DD4" w:themeColor="text2" w:themeTint="99"/>
                <w:sz w:val="32"/>
                <w:szCs w:val="32"/>
              </w:rPr>
              <w:t>→</w:t>
            </w:r>
          </w:p>
        </w:tc>
        <w:tc>
          <w:tcPr>
            <w:tcW w:w="2700" w:type="dxa"/>
          </w:tcPr>
          <w:p w14:paraId="3603D8CE" w14:textId="748DB29A" w:rsidR="005A1FA4" w:rsidRPr="00C20FBD" w:rsidRDefault="005A1FA4" w:rsidP="00032F32">
            <w:pPr>
              <w:rPr>
                <w:sz w:val="20"/>
                <w:szCs w:val="20"/>
              </w:rPr>
            </w:pPr>
            <w:proofErr w:type="spellStart"/>
            <w:r w:rsidRPr="00C20FBD">
              <w:rPr>
                <w:sz w:val="20"/>
                <w:szCs w:val="20"/>
              </w:rPr>
              <w:t>Eluktronics</w:t>
            </w:r>
            <w:proofErr w:type="spellEnd"/>
            <w:r w:rsidRPr="00C20FBD">
              <w:rPr>
                <w:sz w:val="20"/>
                <w:szCs w:val="20"/>
              </w:rPr>
              <w:t xml:space="preserve"> Pro Gaming Laptop</w:t>
            </w:r>
          </w:p>
        </w:tc>
      </w:tr>
      <w:tr w:rsidR="005A1FA4" w:rsidRPr="00C20FBD" w14:paraId="2444A999" w14:textId="77777777" w:rsidTr="004F4854">
        <w:tc>
          <w:tcPr>
            <w:tcW w:w="4860" w:type="dxa"/>
          </w:tcPr>
          <w:p w14:paraId="14646DBD" w14:textId="62098D9F" w:rsidR="005A1FA4" w:rsidRPr="00C20FBD" w:rsidRDefault="005A1FA4" w:rsidP="00032F32">
            <w:pPr>
              <w:rPr>
                <w:sz w:val="20"/>
                <w:szCs w:val="20"/>
              </w:rPr>
            </w:pPr>
            <w:r w:rsidRPr="00C20FBD">
              <w:rPr>
                <w:sz w:val="20"/>
                <w:szCs w:val="20"/>
              </w:rPr>
              <w:t>Apple EarPods</w:t>
            </w:r>
          </w:p>
          <w:p w14:paraId="5E17770E" w14:textId="7A3908A5" w:rsidR="005A1FA4" w:rsidRPr="00C20FBD" w:rsidRDefault="005A1FA4" w:rsidP="00032F32">
            <w:pPr>
              <w:rPr>
                <w:sz w:val="20"/>
                <w:szCs w:val="20"/>
              </w:rPr>
            </w:pPr>
            <w:r w:rsidRPr="00C20FBD">
              <w:rPr>
                <w:sz w:val="20"/>
                <w:szCs w:val="20"/>
              </w:rPr>
              <w:t>Microsoft Wireless Comfort Keyboard and Mouse</w:t>
            </w:r>
          </w:p>
        </w:tc>
        <w:tc>
          <w:tcPr>
            <w:tcW w:w="1440" w:type="dxa"/>
            <w:vAlign w:val="center"/>
          </w:tcPr>
          <w:p w14:paraId="5DB09E69" w14:textId="13DE9404" w:rsidR="005A1FA4" w:rsidRPr="00C20FBD" w:rsidRDefault="00B56A49" w:rsidP="004F4854">
            <w:pPr>
              <w:jc w:val="center"/>
              <w:rPr>
                <w:sz w:val="20"/>
                <w:szCs w:val="20"/>
              </w:rPr>
            </w:pPr>
            <w:r w:rsidRPr="00B56A49">
              <w:rPr>
                <w:rFonts w:cstheme="minorHAnsi"/>
                <w:b/>
                <w:bCs/>
                <w:color w:val="548DD4" w:themeColor="text2" w:themeTint="99"/>
                <w:sz w:val="32"/>
                <w:szCs w:val="32"/>
              </w:rPr>
              <w:t>→</w:t>
            </w:r>
          </w:p>
        </w:tc>
        <w:tc>
          <w:tcPr>
            <w:tcW w:w="2700" w:type="dxa"/>
          </w:tcPr>
          <w:p w14:paraId="453F30EC" w14:textId="07F28FD5" w:rsidR="005A1FA4" w:rsidRPr="00C20FBD" w:rsidRDefault="005A1FA4" w:rsidP="00032F32">
            <w:pPr>
              <w:rPr>
                <w:sz w:val="20"/>
                <w:szCs w:val="20"/>
              </w:rPr>
            </w:pPr>
            <w:r w:rsidRPr="00C20FBD">
              <w:rPr>
                <w:sz w:val="20"/>
                <w:szCs w:val="20"/>
              </w:rPr>
              <w:t>Slim Wireless Mouse</w:t>
            </w:r>
          </w:p>
        </w:tc>
      </w:tr>
      <w:tr w:rsidR="005A1FA4" w:rsidRPr="00C20FBD" w14:paraId="09A4CEF3" w14:textId="77777777" w:rsidTr="004F4854">
        <w:tc>
          <w:tcPr>
            <w:tcW w:w="4860" w:type="dxa"/>
          </w:tcPr>
          <w:p w14:paraId="78D229A8" w14:textId="77777777" w:rsidR="005A1FA4" w:rsidRPr="00C20FBD" w:rsidRDefault="005A1FA4" w:rsidP="00032F32">
            <w:pPr>
              <w:rPr>
                <w:sz w:val="20"/>
                <w:szCs w:val="20"/>
              </w:rPr>
            </w:pPr>
            <w:r w:rsidRPr="00C20FBD">
              <w:rPr>
                <w:sz w:val="20"/>
                <w:szCs w:val="20"/>
              </w:rPr>
              <w:t>Dell Wired Keyboard,</w:t>
            </w:r>
          </w:p>
          <w:p w14:paraId="792B2094" w14:textId="4BECA45D" w:rsidR="005A1FA4" w:rsidRPr="00C20FBD" w:rsidRDefault="005A1FA4" w:rsidP="00032F32">
            <w:pPr>
              <w:rPr>
                <w:sz w:val="20"/>
                <w:szCs w:val="20"/>
              </w:rPr>
            </w:pPr>
            <w:r w:rsidRPr="00C20FBD">
              <w:rPr>
                <w:sz w:val="20"/>
                <w:szCs w:val="20"/>
              </w:rPr>
              <w:t>HDMI Cable 6ft</w:t>
            </w:r>
          </w:p>
        </w:tc>
        <w:tc>
          <w:tcPr>
            <w:tcW w:w="1440" w:type="dxa"/>
            <w:vAlign w:val="center"/>
          </w:tcPr>
          <w:p w14:paraId="1709011C" w14:textId="5CE1107A" w:rsidR="005A1FA4" w:rsidRPr="00C20FBD" w:rsidRDefault="00B56A49" w:rsidP="004F4854">
            <w:pPr>
              <w:jc w:val="center"/>
              <w:rPr>
                <w:sz w:val="20"/>
                <w:szCs w:val="20"/>
              </w:rPr>
            </w:pPr>
            <w:r w:rsidRPr="00B56A49">
              <w:rPr>
                <w:rFonts w:cstheme="minorHAnsi"/>
                <w:b/>
                <w:bCs/>
                <w:color w:val="548DD4" w:themeColor="text2" w:themeTint="99"/>
                <w:sz w:val="32"/>
                <w:szCs w:val="32"/>
              </w:rPr>
              <w:t>→</w:t>
            </w:r>
          </w:p>
        </w:tc>
        <w:tc>
          <w:tcPr>
            <w:tcW w:w="2700" w:type="dxa"/>
          </w:tcPr>
          <w:p w14:paraId="068DD158" w14:textId="2FF9CF29" w:rsidR="005A1FA4" w:rsidRPr="00C20FBD" w:rsidRDefault="005A1FA4" w:rsidP="00032F32">
            <w:pPr>
              <w:rPr>
                <w:sz w:val="20"/>
                <w:szCs w:val="20"/>
              </w:rPr>
            </w:pPr>
            <w:r w:rsidRPr="00C20FBD">
              <w:rPr>
                <w:sz w:val="20"/>
                <w:szCs w:val="20"/>
              </w:rPr>
              <w:t>AOC Monitor</w:t>
            </w:r>
          </w:p>
        </w:tc>
      </w:tr>
      <w:tr w:rsidR="005A1FA4" w:rsidRPr="00C20FBD" w14:paraId="2D3E19C6" w14:textId="77777777" w:rsidTr="004F4854">
        <w:tc>
          <w:tcPr>
            <w:tcW w:w="4860" w:type="dxa"/>
          </w:tcPr>
          <w:p w14:paraId="3C1E8220" w14:textId="77777777" w:rsidR="005A1FA4" w:rsidRPr="00C20FBD" w:rsidRDefault="005A1FA4" w:rsidP="00032F32">
            <w:pPr>
              <w:rPr>
                <w:sz w:val="20"/>
                <w:szCs w:val="20"/>
              </w:rPr>
            </w:pPr>
            <w:r w:rsidRPr="00C20FBD">
              <w:rPr>
                <w:sz w:val="20"/>
                <w:szCs w:val="20"/>
              </w:rPr>
              <w:t>Dell Desktop</w:t>
            </w:r>
          </w:p>
          <w:p w14:paraId="6363C9D5" w14:textId="77777777" w:rsidR="005A1FA4" w:rsidRPr="00C20FBD" w:rsidRDefault="005A1FA4" w:rsidP="00032F32">
            <w:pPr>
              <w:rPr>
                <w:sz w:val="20"/>
                <w:szCs w:val="20"/>
              </w:rPr>
            </w:pPr>
            <w:r w:rsidRPr="00C20FBD">
              <w:rPr>
                <w:sz w:val="20"/>
                <w:szCs w:val="20"/>
              </w:rPr>
              <w:t>HDMI Cable 6ft</w:t>
            </w:r>
          </w:p>
          <w:p w14:paraId="12A3F9AD" w14:textId="4AAAD7DD" w:rsidR="005A1FA4" w:rsidRPr="00C20FBD" w:rsidRDefault="005A1FA4" w:rsidP="00032F32">
            <w:pPr>
              <w:rPr>
                <w:sz w:val="20"/>
                <w:szCs w:val="20"/>
              </w:rPr>
            </w:pPr>
            <w:r w:rsidRPr="00C20FBD">
              <w:rPr>
                <w:sz w:val="20"/>
                <w:szCs w:val="20"/>
              </w:rPr>
              <w:t>HP Monitor</w:t>
            </w:r>
          </w:p>
        </w:tc>
        <w:tc>
          <w:tcPr>
            <w:tcW w:w="1440" w:type="dxa"/>
            <w:vAlign w:val="center"/>
          </w:tcPr>
          <w:p w14:paraId="64587350" w14:textId="41420CE9" w:rsidR="005A1FA4" w:rsidRPr="00C20FBD" w:rsidRDefault="00B56A49" w:rsidP="004F4854">
            <w:pPr>
              <w:jc w:val="center"/>
              <w:rPr>
                <w:sz w:val="20"/>
                <w:szCs w:val="20"/>
              </w:rPr>
            </w:pPr>
            <w:r w:rsidRPr="00B56A49">
              <w:rPr>
                <w:rFonts w:cstheme="minorHAnsi"/>
                <w:b/>
                <w:bCs/>
                <w:color w:val="548DD4" w:themeColor="text2" w:themeTint="99"/>
                <w:sz w:val="32"/>
                <w:szCs w:val="32"/>
              </w:rPr>
              <w:t>→</w:t>
            </w:r>
          </w:p>
        </w:tc>
        <w:tc>
          <w:tcPr>
            <w:tcW w:w="2700" w:type="dxa"/>
          </w:tcPr>
          <w:p w14:paraId="37AE1A92" w14:textId="02AA8FBA" w:rsidR="005A1FA4" w:rsidRPr="00C20FBD" w:rsidRDefault="005A1FA4" w:rsidP="00032F32">
            <w:pPr>
              <w:rPr>
                <w:sz w:val="20"/>
                <w:szCs w:val="20"/>
              </w:rPr>
            </w:pPr>
            <w:r w:rsidRPr="00C20FBD">
              <w:rPr>
                <w:sz w:val="20"/>
                <w:szCs w:val="20"/>
              </w:rPr>
              <w:t>AOC Monitor</w:t>
            </w:r>
          </w:p>
        </w:tc>
      </w:tr>
      <w:tr w:rsidR="005A1FA4" w:rsidRPr="00C20FBD" w14:paraId="0BE3004B" w14:textId="77777777" w:rsidTr="004F4854">
        <w:tc>
          <w:tcPr>
            <w:tcW w:w="4860" w:type="dxa"/>
          </w:tcPr>
          <w:p w14:paraId="1840549B" w14:textId="77777777" w:rsidR="005A1FA4" w:rsidRPr="00C20FBD" w:rsidRDefault="005A1FA4" w:rsidP="00032F32">
            <w:pPr>
              <w:rPr>
                <w:sz w:val="20"/>
                <w:szCs w:val="20"/>
              </w:rPr>
            </w:pPr>
            <w:r w:rsidRPr="00C20FBD">
              <w:rPr>
                <w:sz w:val="20"/>
                <w:szCs w:val="20"/>
              </w:rPr>
              <w:t>Computer Game</w:t>
            </w:r>
          </w:p>
          <w:p w14:paraId="6E61E4A3" w14:textId="0DF71684" w:rsidR="005A1FA4" w:rsidRPr="00C20FBD" w:rsidRDefault="005A1FA4" w:rsidP="00032F32">
            <w:pPr>
              <w:rPr>
                <w:sz w:val="20"/>
                <w:szCs w:val="20"/>
              </w:rPr>
            </w:pPr>
            <w:r w:rsidRPr="00C20FBD">
              <w:rPr>
                <w:sz w:val="20"/>
                <w:szCs w:val="20"/>
              </w:rPr>
              <w:t>iMac</w:t>
            </w:r>
          </w:p>
          <w:p w14:paraId="389FE615" w14:textId="77777777" w:rsidR="005A1FA4" w:rsidRPr="00C20FBD" w:rsidRDefault="005A1FA4" w:rsidP="00032F32">
            <w:pPr>
              <w:rPr>
                <w:sz w:val="20"/>
                <w:szCs w:val="20"/>
              </w:rPr>
            </w:pPr>
            <w:r w:rsidRPr="00C20FBD">
              <w:rPr>
                <w:sz w:val="20"/>
                <w:szCs w:val="20"/>
              </w:rPr>
              <w:t>Microsoft Office home and Student 2016</w:t>
            </w:r>
          </w:p>
          <w:p w14:paraId="426F8663" w14:textId="3B8DD338" w:rsidR="005A1FA4" w:rsidRPr="00C20FBD" w:rsidRDefault="005A1FA4" w:rsidP="00032F32">
            <w:pPr>
              <w:rPr>
                <w:sz w:val="20"/>
                <w:szCs w:val="20"/>
              </w:rPr>
            </w:pPr>
            <w:r w:rsidRPr="00C20FBD">
              <w:rPr>
                <w:sz w:val="20"/>
                <w:szCs w:val="20"/>
              </w:rPr>
              <w:t>ViewSonic Monitor</w:t>
            </w:r>
          </w:p>
        </w:tc>
        <w:tc>
          <w:tcPr>
            <w:tcW w:w="1440" w:type="dxa"/>
            <w:vAlign w:val="center"/>
          </w:tcPr>
          <w:p w14:paraId="57673CAE" w14:textId="1DF61266" w:rsidR="005A1FA4" w:rsidRPr="00C20FBD" w:rsidRDefault="00B56A49" w:rsidP="004F4854">
            <w:pPr>
              <w:jc w:val="center"/>
              <w:rPr>
                <w:sz w:val="20"/>
                <w:szCs w:val="20"/>
              </w:rPr>
            </w:pPr>
            <w:r w:rsidRPr="00B56A49">
              <w:rPr>
                <w:rFonts w:cstheme="minorHAnsi"/>
                <w:b/>
                <w:bCs/>
                <w:color w:val="548DD4" w:themeColor="text2" w:themeTint="99"/>
                <w:sz w:val="32"/>
                <w:szCs w:val="32"/>
              </w:rPr>
              <w:t>→</w:t>
            </w:r>
          </w:p>
        </w:tc>
        <w:tc>
          <w:tcPr>
            <w:tcW w:w="2700" w:type="dxa"/>
          </w:tcPr>
          <w:p w14:paraId="4B836C6A" w14:textId="56D8440C" w:rsidR="005A1FA4" w:rsidRPr="00C20FBD" w:rsidRDefault="005A1FA4" w:rsidP="00032F32">
            <w:pPr>
              <w:rPr>
                <w:sz w:val="20"/>
                <w:szCs w:val="20"/>
              </w:rPr>
            </w:pPr>
            <w:r w:rsidRPr="00C20FBD">
              <w:rPr>
                <w:sz w:val="20"/>
                <w:szCs w:val="20"/>
              </w:rPr>
              <w:t>ASUS Monitor</w:t>
            </w:r>
          </w:p>
        </w:tc>
      </w:tr>
      <w:tr w:rsidR="005A1FA4" w:rsidRPr="00C20FBD" w14:paraId="1E95D2D6" w14:textId="77777777" w:rsidTr="004F4854">
        <w:tc>
          <w:tcPr>
            <w:tcW w:w="4860" w:type="dxa"/>
          </w:tcPr>
          <w:p w14:paraId="24972F01" w14:textId="77777777" w:rsidR="005A1FA4" w:rsidRPr="00C20FBD" w:rsidRDefault="005A1FA4" w:rsidP="00E26ADD">
            <w:pPr>
              <w:rPr>
                <w:sz w:val="20"/>
                <w:szCs w:val="20"/>
              </w:rPr>
            </w:pPr>
            <w:r w:rsidRPr="00C20FBD">
              <w:rPr>
                <w:sz w:val="20"/>
                <w:szCs w:val="20"/>
              </w:rPr>
              <w:t>Computer Game</w:t>
            </w:r>
          </w:p>
          <w:p w14:paraId="610DD4EA" w14:textId="77777777" w:rsidR="005A1FA4" w:rsidRPr="00C20FBD" w:rsidRDefault="005A1FA4" w:rsidP="00453260">
            <w:pPr>
              <w:rPr>
                <w:sz w:val="20"/>
                <w:szCs w:val="20"/>
              </w:rPr>
            </w:pPr>
            <w:r w:rsidRPr="00C20FBD">
              <w:rPr>
                <w:sz w:val="20"/>
                <w:szCs w:val="20"/>
              </w:rPr>
              <w:t>Dell Desktop</w:t>
            </w:r>
          </w:p>
          <w:p w14:paraId="214094A5" w14:textId="101827A3" w:rsidR="005A1FA4" w:rsidRPr="00C20FBD" w:rsidRDefault="005A1FA4" w:rsidP="00453260">
            <w:pPr>
              <w:rPr>
                <w:sz w:val="20"/>
                <w:szCs w:val="20"/>
              </w:rPr>
            </w:pPr>
            <w:r w:rsidRPr="00C20FBD">
              <w:rPr>
                <w:sz w:val="20"/>
                <w:szCs w:val="20"/>
              </w:rPr>
              <w:t>iMac</w:t>
            </w:r>
          </w:p>
          <w:p w14:paraId="1E8EF24C" w14:textId="26E9CA56" w:rsidR="005A1FA4" w:rsidRPr="00C20FBD" w:rsidRDefault="005A1FA4" w:rsidP="00453260">
            <w:pPr>
              <w:rPr>
                <w:sz w:val="20"/>
                <w:szCs w:val="20"/>
              </w:rPr>
            </w:pPr>
            <w:r w:rsidRPr="00C20FBD">
              <w:rPr>
                <w:sz w:val="20"/>
                <w:szCs w:val="20"/>
              </w:rPr>
              <w:t>Lenovo Desktop Computer</w:t>
            </w:r>
          </w:p>
        </w:tc>
        <w:tc>
          <w:tcPr>
            <w:tcW w:w="1440" w:type="dxa"/>
            <w:vAlign w:val="center"/>
          </w:tcPr>
          <w:p w14:paraId="182737EF" w14:textId="042C9F09" w:rsidR="005A1FA4" w:rsidRPr="00C20FBD" w:rsidRDefault="00B56A49" w:rsidP="004F4854">
            <w:pPr>
              <w:jc w:val="center"/>
              <w:rPr>
                <w:sz w:val="20"/>
                <w:szCs w:val="20"/>
              </w:rPr>
            </w:pPr>
            <w:r w:rsidRPr="00B56A49">
              <w:rPr>
                <w:rFonts w:cstheme="minorHAnsi"/>
                <w:b/>
                <w:bCs/>
                <w:color w:val="548DD4" w:themeColor="text2" w:themeTint="99"/>
                <w:sz w:val="32"/>
                <w:szCs w:val="32"/>
              </w:rPr>
              <w:t>→</w:t>
            </w:r>
          </w:p>
        </w:tc>
        <w:tc>
          <w:tcPr>
            <w:tcW w:w="2700" w:type="dxa"/>
          </w:tcPr>
          <w:p w14:paraId="6CF21829" w14:textId="437BF1FF" w:rsidR="00B56A49" w:rsidRPr="00B56A49" w:rsidRDefault="00095401" w:rsidP="00B56A49">
            <w:pPr>
              <w:rPr>
                <w:sz w:val="20"/>
                <w:szCs w:val="20"/>
              </w:rPr>
            </w:pPr>
            <w:r w:rsidRPr="00C20FBD">
              <w:rPr>
                <w:sz w:val="20"/>
                <w:szCs w:val="20"/>
              </w:rPr>
              <w:t>ASUS Monitor</w:t>
            </w:r>
          </w:p>
        </w:tc>
      </w:tr>
      <w:tr w:rsidR="005A1FA4" w:rsidRPr="00C20FBD" w14:paraId="0426FD3F" w14:textId="77777777" w:rsidTr="004F4854">
        <w:tc>
          <w:tcPr>
            <w:tcW w:w="4860" w:type="dxa"/>
          </w:tcPr>
          <w:p w14:paraId="23A3B840" w14:textId="77777777" w:rsidR="005A1FA4" w:rsidRPr="00C20FBD" w:rsidRDefault="005A1FA4" w:rsidP="00453260">
            <w:pPr>
              <w:rPr>
                <w:sz w:val="20"/>
                <w:szCs w:val="20"/>
              </w:rPr>
            </w:pPr>
            <w:r w:rsidRPr="00C20FBD">
              <w:rPr>
                <w:sz w:val="20"/>
                <w:szCs w:val="20"/>
              </w:rPr>
              <w:t>AOC Monitor</w:t>
            </w:r>
          </w:p>
          <w:p w14:paraId="285F9524" w14:textId="77777777" w:rsidR="005A1FA4" w:rsidRPr="00C20FBD" w:rsidRDefault="005A1FA4" w:rsidP="00453260">
            <w:pPr>
              <w:rPr>
                <w:sz w:val="20"/>
                <w:szCs w:val="20"/>
              </w:rPr>
            </w:pPr>
            <w:r w:rsidRPr="00C20FBD">
              <w:rPr>
                <w:sz w:val="20"/>
                <w:szCs w:val="20"/>
              </w:rPr>
              <w:t>Dell Desktop</w:t>
            </w:r>
          </w:p>
          <w:p w14:paraId="28FAFCA5" w14:textId="77777777" w:rsidR="005A1FA4" w:rsidRPr="00C20FBD" w:rsidRDefault="005A1FA4" w:rsidP="00453260">
            <w:pPr>
              <w:rPr>
                <w:sz w:val="20"/>
                <w:szCs w:val="20"/>
              </w:rPr>
            </w:pPr>
            <w:r w:rsidRPr="00C20FBD">
              <w:rPr>
                <w:sz w:val="20"/>
                <w:szCs w:val="20"/>
              </w:rPr>
              <w:t>HP Laptop</w:t>
            </w:r>
          </w:p>
          <w:p w14:paraId="74C60B9E" w14:textId="048EDD92" w:rsidR="005A1FA4" w:rsidRPr="00C20FBD" w:rsidRDefault="005A1FA4" w:rsidP="00453260">
            <w:pPr>
              <w:rPr>
                <w:sz w:val="20"/>
                <w:szCs w:val="20"/>
              </w:rPr>
            </w:pPr>
            <w:r w:rsidRPr="00C20FBD">
              <w:rPr>
                <w:sz w:val="20"/>
                <w:szCs w:val="20"/>
              </w:rPr>
              <w:t>Lenovo Desktop Computer</w:t>
            </w:r>
          </w:p>
        </w:tc>
        <w:tc>
          <w:tcPr>
            <w:tcW w:w="1440" w:type="dxa"/>
            <w:vAlign w:val="center"/>
          </w:tcPr>
          <w:p w14:paraId="3AA3A5DB" w14:textId="3EDDD6CA" w:rsidR="005A1FA4" w:rsidRPr="00C20FBD" w:rsidRDefault="00B56A49" w:rsidP="004F4854">
            <w:pPr>
              <w:jc w:val="center"/>
              <w:rPr>
                <w:sz w:val="20"/>
                <w:szCs w:val="20"/>
              </w:rPr>
            </w:pPr>
            <w:r w:rsidRPr="00B56A49">
              <w:rPr>
                <w:rFonts w:cstheme="minorHAnsi"/>
                <w:b/>
                <w:bCs/>
                <w:color w:val="548DD4" w:themeColor="text2" w:themeTint="99"/>
                <w:sz w:val="32"/>
                <w:szCs w:val="32"/>
              </w:rPr>
              <w:t>→</w:t>
            </w:r>
          </w:p>
        </w:tc>
        <w:tc>
          <w:tcPr>
            <w:tcW w:w="2700" w:type="dxa"/>
          </w:tcPr>
          <w:p w14:paraId="6CB8AF39" w14:textId="5666A3B8" w:rsidR="005A1FA4" w:rsidRPr="00C20FBD" w:rsidRDefault="005A1FA4" w:rsidP="00453260">
            <w:pPr>
              <w:rPr>
                <w:sz w:val="20"/>
                <w:szCs w:val="20"/>
              </w:rPr>
            </w:pPr>
            <w:r w:rsidRPr="00C20FBD">
              <w:rPr>
                <w:sz w:val="20"/>
                <w:szCs w:val="20"/>
              </w:rPr>
              <w:t>ASUS Monitor</w:t>
            </w:r>
          </w:p>
        </w:tc>
      </w:tr>
      <w:tr w:rsidR="005A1FA4" w:rsidRPr="00C20FBD" w14:paraId="5DA7AAA2" w14:textId="77777777" w:rsidTr="004F4854">
        <w:tc>
          <w:tcPr>
            <w:tcW w:w="4860" w:type="dxa"/>
          </w:tcPr>
          <w:p w14:paraId="437A02FD" w14:textId="77777777" w:rsidR="005A1FA4" w:rsidRPr="00C20FBD" w:rsidRDefault="005A1FA4" w:rsidP="00E26ADD">
            <w:pPr>
              <w:rPr>
                <w:sz w:val="20"/>
                <w:szCs w:val="20"/>
              </w:rPr>
            </w:pPr>
            <w:r w:rsidRPr="00C20FBD">
              <w:rPr>
                <w:sz w:val="20"/>
                <w:szCs w:val="20"/>
              </w:rPr>
              <w:t>Computer Game</w:t>
            </w:r>
          </w:p>
          <w:p w14:paraId="12591A59" w14:textId="22DBD701" w:rsidR="005A1FA4" w:rsidRPr="00C20FBD" w:rsidRDefault="005A1FA4" w:rsidP="00E26ADD">
            <w:pPr>
              <w:rPr>
                <w:sz w:val="20"/>
                <w:szCs w:val="20"/>
              </w:rPr>
            </w:pPr>
            <w:r w:rsidRPr="00C20FBD">
              <w:rPr>
                <w:sz w:val="20"/>
                <w:szCs w:val="20"/>
              </w:rPr>
              <w:t>iMac</w:t>
            </w:r>
          </w:p>
          <w:p w14:paraId="66CDFDC6" w14:textId="3C74AE8C" w:rsidR="005A1FA4" w:rsidRPr="00C20FBD" w:rsidRDefault="005A1FA4" w:rsidP="00453260">
            <w:pPr>
              <w:rPr>
                <w:sz w:val="20"/>
                <w:szCs w:val="20"/>
              </w:rPr>
            </w:pPr>
            <w:r w:rsidRPr="00C20FBD">
              <w:rPr>
                <w:sz w:val="20"/>
                <w:szCs w:val="20"/>
              </w:rPr>
              <w:t>Intel Desktop</w:t>
            </w:r>
          </w:p>
        </w:tc>
        <w:tc>
          <w:tcPr>
            <w:tcW w:w="1440" w:type="dxa"/>
            <w:vAlign w:val="center"/>
          </w:tcPr>
          <w:p w14:paraId="4C60BF45" w14:textId="5F85D7E6" w:rsidR="005A1FA4" w:rsidRPr="00C20FBD" w:rsidRDefault="00B56A49" w:rsidP="004F4854">
            <w:pPr>
              <w:jc w:val="center"/>
              <w:rPr>
                <w:sz w:val="20"/>
                <w:szCs w:val="20"/>
              </w:rPr>
            </w:pPr>
            <w:r w:rsidRPr="00B56A49">
              <w:rPr>
                <w:rFonts w:cstheme="minorHAnsi"/>
                <w:b/>
                <w:bCs/>
                <w:color w:val="548DD4" w:themeColor="text2" w:themeTint="99"/>
                <w:sz w:val="32"/>
                <w:szCs w:val="32"/>
              </w:rPr>
              <w:t>→</w:t>
            </w:r>
          </w:p>
        </w:tc>
        <w:tc>
          <w:tcPr>
            <w:tcW w:w="2700" w:type="dxa"/>
          </w:tcPr>
          <w:p w14:paraId="078D955C" w14:textId="50223BE6" w:rsidR="005A1FA4" w:rsidRPr="00C20FBD" w:rsidRDefault="005A1FA4" w:rsidP="00453260">
            <w:pPr>
              <w:rPr>
                <w:sz w:val="20"/>
                <w:szCs w:val="20"/>
              </w:rPr>
            </w:pPr>
            <w:r w:rsidRPr="00C20FBD">
              <w:rPr>
                <w:sz w:val="20"/>
                <w:szCs w:val="20"/>
              </w:rPr>
              <w:t>Apple Magic Keyboard</w:t>
            </w:r>
          </w:p>
        </w:tc>
      </w:tr>
      <w:tr w:rsidR="005A1FA4" w:rsidRPr="00C20FBD" w14:paraId="3B0E4390" w14:textId="77777777" w:rsidTr="004F4854">
        <w:tc>
          <w:tcPr>
            <w:tcW w:w="4860" w:type="dxa"/>
          </w:tcPr>
          <w:p w14:paraId="32FA89F1" w14:textId="77777777" w:rsidR="005A1FA4" w:rsidRPr="00C20FBD" w:rsidRDefault="005A1FA4" w:rsidP="00453260">
            <w:pPr>
              <w:rPr>
                <w:sz w:val="20"/>
                <w:szCs w:val="20"/>
              </w:rPr>
            </w:pPr>
            <w:r w:rsidRPr="00C20FBD">
              <w:rPr>
                <w:sz w:val="20"/>
                <w:szCs w:val="20"/>
              </w:rPr>
              <w:t>ASUS 2 Monitor</w:t>
            </w:r>
          </w:p>
          <w:p w14:paraId="022D896B" w14:textId="77777777" w:rsidR="005A1FA4" w:rsidRPr="00C20FBD" w:rsidRDefault="005A1FA4" w:rsidP="00453260">
            <w:pPr>
              <w:rPr>
                <w:sz w:val="20"/>
                <w:szCs w:val="20"/>
              </w:rPr>
            </w:pPr>
            <w:r w:rsidRPr="00C20FBD">
              <w:rPr>
                <w:sz w:val="20"/>
                <w:szCs w:val="20"/>
              </w:rPr>
              <w:t>Dell Desktop</w:t>
            </w:r>
          </w:p>
          <w:p w14:paraId="0449FC3F" w14:textId="3214B42D" w:rsidR="005A1FA4" w:rsidRPr="00C20FBD" w:rsidRDefault="005A1FA4" w:rsidP="00453260">
            <w:pPr>
              <w:rPr>
                <w:sz w:val="20"/>
                <w:szCs w:val="20"/>
              </w:rPr>
            </w:pPr>
            <w:r w:rsidRPr="00C20FBD">
              <w:rPr>
                <w:sz w:val="20"/>
                <w:szCs w:val="20"/>
              </w:rPr>
              <w:t>Intl Desktop</w:t>
            </w:r>
          </w:p>
        </w:tc>
        <w:tc>
          <w:tcPr>
            <w:tcW w:w="1440" w:type="dxa"/>
            <w:vAlign w:val="center"/>
          </w:tcPr>
          <w:p w14:paraId="3C6D659F" w14:textId="2CB88E90" w:rsidR="005A1FA4" w:rsidRPr="00C20FBD" w:rsidRDefault="00B56A49" w:rsidP="004F4854">
            <w:pPr>
              <w:jc w:val="center"/>
              <w:rPr>
                <w:sz w:val="20"/>
                <w:szCs w:val="20"/>
              </w:rPr>
            </w:pPr>
            <w:r w:rsidRPr="00B56A49">
              <w:rPr>
                <w:rFonts w:cstheme="minorHAnsi"/>
                <w:b/>
                <w:bCs/>
                <w:color w:val="548DD4" w:themeColor="text2" w:themeTint="99"/>
                <w:sz w:val="32"/>
                <w:szCs w:val="32"/>
              </w:rPr>
              <w:t>→</w:t>
            </w:r>
          </w:p>
        </w:tc>
        <w:tc>
          <w:tcPr>
            <w:tcW w:w="2700" w:type="dxa"/>
          </w:tcPr>
          <w:p w14:paraId="255EA5E0" w14:textId="08263289" w:rsidR="005A1FA4" w:rsidRPr="00C20FBD" w:rsidRDefault="005A1FA4" w:rsidP="00453260">
            <w:pPr>
              <w:rPr>
                <w:sz w:val="20"/>
                <w:szCs w:val="20"/>
              </w:rPr>
            </w:pPr>
            <w:r w:rsidRPr="00C20FBD">
              <w:rPr>
                <w:sz w:val="20"/>
                <w:szCs w:val="20"/>
              </w:rPr>
              <w:t>Apple Magic Keyboard</w:t>
            </w:r>
          </w:p>
        </w:tc>
      </w:tr>
      <w:tr w:rsidR="005A1FA4" w:rsidRPr="00C20FBD" w14:paraId="0DC1EDF8" w14:textId="77777777" w:rsidTr="004F4854">
        <w:tc>
          <w:tcPr>
            <w:tcW w:w="4860" w:type="dxa"/>
          </w:tcPr>
          <w:p w14:paraId="04C66484" w14:textId="64B9F98D" w:rsidR="005A1FA4" w:rsidRPr="00C20FBD" w:rsidRDefault="005A1FA4" w:rsidP="00453260">
            <w:pPr>
              <w:rPr>
                <w:sz w:val="20"/>
                <w:szCs w:val="20"/>
              </w:rPr>
            </w:pPr>
            <w:r w:rsidRPr="00C20FBD">
              <w:rPr>
                <w:sz w:val="20"/>
                <w:szCs w:val="20"/>
              </w:rPr>
              <w:t>Apple MacBook Pro</w:t>
            </w:r>
          </w:p>
          <w:p w14:paraId="64BE4E47" w14:textId="77777777" w:rsidR="005A1FA4" w:rsidRPr="00C20FBD" w:rsidRDefault="005A1FA4" w:rsidP="00453260">
            <w:pPr>
              <w:rPr>
                <w:sz w:val="20"/>
                <w:szCs w:val="20"/>
              </w:rPr>
            </w:pPr>
            <w:r w:rsidRPr="00C20FBD">
              <w:rPr>
                <w:sz w:val="20"/>
                <w:szCs w:val="20"/>
              </w:rPr>
              <w:t xml:space="preserve">HP Black &amp; Tri-color Ink </w:t>
            </w:r>
          </w:p>
          <w:p w14:paraId="755B673C" w14:textId="77777777" w:rsidR="005A1FA4" w:rsidRPr="00C20FBD" w:rsidRDefault="005A1FA4" w:rsidP="00453260">
            <w:pPr>
              <w:rPr>
                <w:sz w:val="20"/>
                <w:szCs w:val="20"/>
              </w:rPr>
            </w:pPr>
            <w:r w:rsidRPr="00C20FBD">
              <w:rPr>
                <w:sz w:val="20"/>
                <w:szCs w:val="20"/>
              </w:rPr>
              <w:t>HP Laptop</w:t>
            </w:r>
          </w:p>
          <w:p w14:paraId="2D42C634" w14:textId="198DA215" w:rsidR="005A1FA4" w:rsidRPr="00C20FBD" w:rsidRDefault="005A1FA4" w:rsidP="00453260">
            <w:pPr>
              <w:rPr>
                <w:sz w:val="20"/>
                <w:szCs w:val="20"/>
              </w:rPr>
            </w:pPr>
            <w:r w:rsidRPr="00C20FBD">
              <w:rPr>
                <w:sz w:val="20"/>
                <w:szCs w:val="20"/>
              </w:rPr>
              <w:t>iMac</w:t>
            </w:r>
          </w:p>
        </w:tc>
        <w:tc>
          <w:tcPr>
            <w:tcW w:w="1440" w:type="dxa"/>
            <w:vAlign w:val="center"/>
          </w:tcPr>
          <w:p w14:paraId="49E4850D" w14:textId="3F41F564" w:rsidR="005A1FA4" w:rsidRPr="00C20FBD" w:rsidRDefault="00B56A49" w:rsidP="004F4854">
            <w:pPr>
              <w:jc w:val="center"/>
              <w:rPr>
                <w:sz w:val="20"/>
                <w:szCs w:val="20"/>
              </w:rPr>
            </w:pPr>
            <w:r w:rsidRPr="00B56A49">
              <w:rPr>
                <w:rFonts w:cstheme="minorHAnsi"/>
                <w:b/>
                <w:bCs/>
                <w:color w:val="548DD4" w:themeColor="text2" w:themeTint="99"/>
                <w:sz w:val="32"/>
                <w:szCs w:val="32"/>
              </w:rPr>
              <w:t>→</w:t>
            </w:r>
          </w:p>
        </w:tc>
        <w:tc>
          <w:tcPr>
            <w:tcW w:w="2700" w:type="dxa"/>
          </w:tcPr>
          <w:p w14:paraId="75BA7907" w14:textId="72D3FED7" w:rsidR="005A1FA4" w:rsidRPr="00C20FBD" w:rsidRDefault="005A1FA4" w:rsidP="00453260">
            <w:pPr>
              <w:rPr>
                <w:sz w:val="20"/>
                <w:szCs w:val="20"/>
              </w:rPr>
            </w:pPr>
            <w:r w:rsidRPr="00C20FBD">
              <w:rPr>
                <w:sz w:val="20"/>
                <w:szCs w:val="20"/>
              </w:rPr>
              <w:t>Acer Aspire</w:t>
            </w:r>
          </w:p>
        </w:tc>
      </w:tr>
    </w:tbl>
    <w:p w14:paraId="1C1A4AC5" w14:textId="77777777" w:rsidR="00473B36" w:rsidRDefault="00473B36" w:rsidP="00BF76D4"/>
    <w:p w14:paraId="25E81800" w14:textId="4B7583B5" w:rsidR="00B337E9" w:rsidRDefault="00CB1917" w:rsidP="00BF76D4">
      <w:r>
        <w:t>I’ve identified two layers of</w:t>
      </w:r>
      <w:r w:rsidR="005079FE">
        <w:t xml:space="preserve"> </w:t>
      </w:r>
      <w:r w:rsidR="002A7CF4">
        <w:t xml:space="preserve">general </w:t>
      </w:r>
      <w:r w:rsidR="00C17D87">
        <w:t>recommendations</w:t>
      </w:r>
      <w:r w:rsidR="004B329C">
        <w:t xml:space="preserve"> here: </w:t>
      </w:r>
    </w:p>
    <w:p w14:paraId="033B9D4A" w14:textId="3816833A" w:rsidR="00C17D87" w:rsidRDefault="00C17D87" w:rsidP="00DA5C96">
      <w:pPr>
        <w:pStyle w:val="ListParagraph"/>
        <w:numPr>
          <w:ilvl w:val="0"/>
          <w:numId w:val="4"/>
        </w:numPr>
        <w:jc w:val="both"/>
      </w:pPr>
      <w:r>
        <w:t>When customer bought any</w:t>
      </w:r>
      <w:r w:rsidR="00F32C15">
        <w:t xml:space="preserve"> </w:t>
      </w:r>
      <w:r w:rsidR="00EE5766">
        <w:t xml:space="preserve">random </w:t>
      </w:r>
      <w:r>
        <w:t>item</w:t>
      </w:r>
      <w:r w:rsidR="001E2B68">
        <w:t xml:space="preserve"> </w:t>
      </w:r>
      <w:r>
        <w:t>from the Market Basket</w:t>
      </w:r>
      <w:r w:rsidR="00B808C2">
        <w:t xml:space="preserve"> (the left </w:t>
      </w:r>
      <w:r w:rsidR="00784ADC">
        <w:t xml:space="preserve">hand side </w:t>
      </w:r>
      <w:r w:rsidR="00B808C2">
        <w:t>column in the above table)</w:t>
      </w:r>
      <w:r w:rsidR="00F32C15">
        <w:t>, the</w:t>
      </w:r>
      <w:r w:rsidR="009D6C1B">
        <w:t xml:space="preserve"> system can pop up the </w:t>
      </w:r>
      <w:r w:rsidR="009D6C1B" w:rsidRPr="008D1510">
        <w:rPr>
          <w:b/>
          <w:bCs/>
        </w:rPr>
        <w:t>frequently bought together</w:t>
      </w:r>
      <w:r w:rsidR="009D6C1B">
        <w:t xml:space="preserve"> </w:t>
      </w:r>
      <w:r w:rsidR="00B808C2">
        <w:t>reco</w:t>
      </w:r>
      <w:r w:rsidR="008D1510">
        <w:t>mmendation</w:t>
      </w:r>
      <w:r w:rsidR="00071C5C">
        <w:t xml:space="preserve"> and </w:t>
      </w:r>
      <w:r w:rsidR="00071C5C">
        <w:lastRenderedPageBreak/>
        <w:t xml:space="preserve">try to </w:t>
      </w:r>
      <w:r w:rsidR="00627397">
        <w:t>sell</w:t>
      </w:r>
      <w:r w:rsidR="00071C5C">
        <w:t xml:space="preserve"> other items in the</w:t>
      </w:r>
      <w:r w:rsidR="008D1510">
        <w:t xml:space="preserve"> same</w:t>
      </w:r>
      <w:r w:rsidR="00071C5C">
        <w:t xml:space="preserve"> </w:t>
      </w:r>
      <w:r w:rsidR="008D1510">
        <w:t>Market B</w:t>
      </w:r>
      <w:r w:rsidR="00071C5C">
        <w:t>asket</w:t>
      </w:r>
      <w:r w:rsidR="00F21AFD">
        <w:t>, maybe even</w:t>
      </w:r>
      <w:r w:rsidR="00B347E3">
        <w:t xml:space="preserve"> provid</w:t>
      </w:r>
      <w:r w:rsidR="00F21AFD">
        <w:t>e</w:t>
      </w:r>
      <w:r w:rsidR="00B347E3">
        <w:t xml:space="preserve"> a </w:t>
      </w:r>
      <w:r w:rsidR="00627397">
        <w:t xml:space="preserve">bundle discount as an incentive. </w:t>
      </w:r>
      <w:r w:rsidR="00930A30">
        <w:t xml:space="preserve"> </w:t>
      </w:r>
    </w:p>
    <w:p w14:paraId="12840814" w14:textId="32F35ABC" w:rsidR="00A17C31" w:rsidRDefault="00833DF4" w:rsidP="00A17C31">
      <w:pPr>
        <w:pStyle w:val="ListParagraph"/>
        <w:numPr>
          <w:ilvl w:val="0"/>
          <w:numId w:val="4"/>
        </w:numPr>
        <w:jc w:val="both"/>
      </w:pPr>
      <w:r>
        <w:t>Once a</w:t>
      </w:r>
      <w:r w:rsidR="007C07AD">
        <w:t xml:space="preserve"> customer</w:t>
      </w:r>
      <w:r w:rsidR="00FB7448">
        <w:t xml:space="preserve"> </w:t>
      </w:r>
      <w:r w:rsidR="00F96D41">
        <w:t>add</w:t>
      </w:r>
      <w:r w:rsidR="00D66423">
        <w:t>s</w:t>
      </w:r>
      <w:r w:rsidR="00FB7448">
        <w:t xml:space="preserve"> all or </w:t>
      </w:r>
      <w:r w:rsidR="00F96D41">
        <w:t xml:space="preserve">majority of </w:t>
      </w:r>
      <w:r w:rsidR="00FB7448">
        <w:t xml:space="preserve">items </w:t>
      </w:r>
      <w:r w:rsidR="00F96D41">
        <w:t xml:space="preserve">in </w:t>
      </w:r>
      <w:r w:rsidR="00D66423">
        <w:t xml:space="preserve">a </w:t>
      </w:r>
      <w:r w:rsidR="00F96D41">
        <w:t xml:space="preserve">Market Basket </w:t>
      </w:r>
      <w:r w:rsidR="00D66423">
        <w:t xml:space="preserve">to her </w:t>
      </w:r>
      <w:r w:rsidR="00F07D25">
        <w:t>shopping cart</w:t>
      </w:r>
      <w:r w:rsidR="00FB7448">
        <w:t xml:space="preserve">, the system can pop up </w:t>
      </w:r>
      <w:r w:rsidR="001A50E4">
        <w:t>the</w:t>
      </w:r>
      <w:r w:rsidR="00973EB3">
        <w:t xml:space="preserve"> </w:t>
      </w:r>
      <w:r w:rsidR="00973EB3" w:rsidRPr="00784ADC">
        <w:rPr>
          <w:b/>
          <w:bCs/>
        </w:rPr>
        <w:t>cross selling</w:t>
      </w:r>
      <w:r w:rsidR="00973EB3">
        <w:t xml:space="preserve"> </w:t>
      </w:r>
      <w:r w:rsidR="00D66423">
        <w:t xml:space="preserve">recommendation (the right </w:t>
      </w:r>
      <w:r w:rsidR="00784ADC">
        <w:t xml:space="preserve">hand side column in the above table), </w:t>
      </w:r>
      <w:r w:rsidR="00B65604">
        <w:t xml:space="preserve">encourage the customer to also buy the </w:t>
      </w:r>
      <w:r w:rsidR="005E0D28">
        <w:t xml:space="preserve">cross selling product, something similar to </w:t>
      </w:r>
      <w:r w:rsidR="00762D3A">
        <w:t xml:space="preserve">“Do you also </w:t>
      </w:r>
      <w:r w:rsidR="005E0D28">
        <w:t xml:space="preserve">need this </w:t>
      </w:r>
      <w:r w:rsidR="00B41F44">
        <w:t>item?”</w:t>
      </w:r>
      <w:r w:rsidR="0002775D">
        <w:t xml:space="preserve">. </w:t>
      </w:r>
    </w:p>
    <w:p w14:paraId="3CECB703" w14:textId="77777777" w:rsidR="005E0D28" w:rsidRPr="00A17C31" w:rsidRDefault="005E0D28" w:rsidP="005E0D28">
      <w:pPr>
        <w:jc w:val="both"/>
      </w:pPr>
    </w:p>
    <w:p w14:paraId="79FD2488" w14:textId="241E45FA" w:rsidR="002E5B93" w:rsidRPr="002E5B93" w:rsidRDefault="002E5B93" w:rsidP="002E5B93">
      <w:pPr>
        <w:pStyle w:val="Heading3"/>
        <w:spacing w:line="240" w:lineRule="auto"/>
        <w:rPr>
          <w:b/>
          <w:bCs/>
          <w:u w:val="single"/>
        </w:rPr>
      </w:pPr>
      <w:r w:rsidRPr="002E5B93">
        <w:rPr>
          <w:b/>
          <w:bCs/>
          <w:u w:val="single"/>
        </w:rPr>
        <w:t>Summary</w:t>
      </w:r>
    </w:p>
    <w:p w14:paraId="7F9979D2" w14:textId="77777777" w:rsidR="002E5B93" w:rsidRDefault="002E5B93" w:rsidP="0056217A">
      <w:pPr>
        <w:rPr>
          <w:highlight w:val="yellow"/>
        </w:rPr>
      </w:pPr>
    </w:p>
    <w:p w14:paraId="045D56AE" w14:textId="44D8FBD9" w:rsidR="00C90CC6" w:rsidRDefault="00F543C8" w:rsidP="00C90CC6">
      <w:pPr>
        <w:jc w:val="both"/>
      </w:pPr>
      <w:proofErr w:type="spellStart"/>
      <w:r>
        <w:t>Electronidex</w:t>
      </w:r>
      <w:proofErr w:type="spellEnd"/>
      <w:r>
        <w:t xml:space="preserve"> </w:t>
      </w:r>
      <w:r w:rsidR="00190828">
        <w:rPr>
          <w:rFonts w:hint="eastAsia"/>
        </w:rPr>
        <w:t>seem</w:t>
      </w:r>
      <w:r w:rsidR="00190828">
        <w:t xml:space="preserve">s to be a </w:t>
      </w:r>
      <w:r>
        <w:t>good acquisition for Blackwell</w:t>
      </w:r>
      <w:r w:rsidR="00190828">
        <w:t xml:space="preserve">. It has </w:t>
      </w:r>
      <w:r>
        <w:t xml:space="preserve">high frequency of transactions involving all computer types, which will bring </w:t>
      </w:r>
      <w:r w:rsidR="00625009">
        <w:t xml:space="preserve">in </w:t>
      </w:r>
      <w:r>
        <w:t xml:space="preserve">high revenue </w:t>
      </w:r>
      <w:r w:rsidR="00625009">
        <w:t>to Blackwell</w:t>
      </w:r>
      <w:r>
        <w:t xml:space="preserve">. </w:t>
      </w:r>
      <w:r w:rsidR="00983A68">
        <w:t>Furthermore</w:t>
      </w:r>
      <w:r w:rsidR="00C90CC6">
        <w:t>, the</w:t>
      </w:r>
      <w:r w:rsidR="00331C9E">
        <w:t xml:space="preserve"> products carried by </w:t>
      </w:r>
      <w:proofErr w:type="spellStart"/>
      <w:r w:rsidR="00331C9E">
        <w:t>Electronidex</w:t>
      </w:r>
      <w:proofErr w:type="spellEnd"/>
      <w:r w:rsidR="00331C9E">
        <w:t xml:space="preserve"> are closely related to Blackwell</w:t>
      </w:r>
      <w:r w:rsidR="006B2D75">
        <w:t>’s product line, and there is abundant of</w:t>
      </w:r>
      <w:r w:rsidR="00C90CC6">
        <w:t xml:space="preserve"> cross-selling </w:t>
      </w:r>
      <w:r w:rsidR="006B2D75">
        <w:t xml:space="preserve">opportunities to </w:t>
      </w:r>
      <w:r w:rsidR="000469F1">
        <w:t>increase the sales for both companies</w:t>
      </w:r>
      <w:r w:rsidR="00C90CC6">
        <w:t xml:space="preserve">. </w:t>
      </w:r>
    </w:p>
    <w:p w14:paraId="095BB444" w14:textId="0B1FAF45" w:rsidR="00FF4CA0" w:rsidRDefault="00565823" w:rsidP="00BD6EA1">
      <w:pPr>
        <w:jc w:val="both"/>
      </w:pPr>
      <w:r>
        <w:t xml:space="preserve">However, </w:t>
      </w:r>
      <w:r w:rsidR="0041023F">
        <w:t>due</w:t>
      </w:r>
      <w:r>
        <w:t xml:space="preserve"> to </w:t>
      </w:r>
      <w:r w:rsidR="00BF7495">
        <w:t xml:space="preserve">the lack of </w:t>
      </w:r>
      <w:r w:rsidR="00DE6215">
        <w:t xml:space="preserve">information on </w:t>
      </w:r>
      <w:r w:rsidR="00BF7495">
        <w:t>Blackwell existing product lines</w:t>
      </w:r>
      <w:r w:rsidR="009D3840">
        <w:t xml:space="preserve">, I </w:t>
      </w:r>
      <w:r w:rsidR="00977605">
        <w:t xml:space="preserve">do not know if </w:t>
      </w:r>
      <w:r w:rsidR="009B21F5">
        <w:t xml:space="preserve">the two </w:t>
      </w:r>
      <w:r w:rsidR="00977605">
        <w:t>companies carr</w:t>
      </w:r>
      <w:r w:rsidR="009B21F5">
        <w:t>y</w:t>
      </w:r>
      <w:r w:rsidR="00977605">
        <w:t xml:space="preserve"> any overlapping products</w:t>
      </w:r>
      <w:r w:rsidR="009B21F5">
        <w:t xml:space="preserve">. And if </w:t>
      </w:r>
      <w:r w:rsidR="00D53AA6">
        <w:t xml:space="preserve">yes, </w:t>
      </w:r>
      <w:r w:rsidR="009B21F5">
        <w:t xml:space="preserve">they need to be consolidated </w:t>
      </w:r>
      <w:r w:rsidR="00FC450E">
        <w:t xml:space="preserve">after conducting a </w:t>
      </w:r>
      <w:r w:rsidR="00B266FF">
        <w:t>cost and benefit</w:t>
      </w:r>
      <w:r w:rsidR="005C2378">
        <w:t xml:space="preserve"> analysis. </w:t>
      </w:r>
    </w:p>
    <w:p w14:paraId="7E9495A8" w14:textId="4B9512B7" w:rsidR="00EA5DD7" w:rsidRPr="00312EFC" w:rsidRDefault="006145DF" w:rsidP="00BD6EA1">
      <w:pPr>
        <w:jc w:val="both"/>
      </w:pPr>
      <w:r>
        <w:t xml:space="preserve">Additionally, </w:t>
      </w:r>
      <w:r w:rsidR="00A92A7F">
        <w:t xml:space="preserve">we are still missing some </w:t>
      </w:r>
      <w:r w:rsidR="006B1632">
        <w:t xml:space="preserve">crucial </w:t>
      </w:r>
      <w:r w:rsidR="00AF4B17">
        <w:t>financial data</w:t>
      </w:r>
      <w:r w:rsidR="00BE7D08">
        <w:t xml:space="preserve"> </w:t>
      </w:r>
      <w:r w:rsidR="006B1632">
        <w:t xml:space="preserve">from </w:t>
      </w:r>
      <w:r w:rsidR="00BE7D08">
        <w:t>each company</w:t>
      </w:r>
      <w:r w:rsidR="00DC1AD5">
        <w:t xml:space="preserve"> </w:t>
      </w:r>
      <w:r w:rsidR="00AD4CFF">
        <w:t xml:space="preserve">before </w:t>
      </w:r>
      <w:r w:rsidR="00255E90">
        <w:t xml:space="preserve">making </w:t>
      </w:r>
      <w:r w:rsidR="009B21F5">
        <w:t xml:space="preserve">a </w:t>
      </w:r>
      <w:r w:rsidR="00255E90">
        <w:t>final acquisition decision. These</w:t>
      </w:r>
      <w:r w:rsidR="005C3CC2">
        <w:t xml:space="preserve"> missing data</w:t>
      </w:r>
      <w:r w:rsidR="00DC1AD5">
        <w:t xml:space="preserve"> include</w:t>
      </w:r>
      <w:r w:rsidR="00125074">
        <w:t xml:space="preserve"> bal</w:t>
      </w:r>
      <w:r w:rsidR="00785D17">
        <w:t xml:space="preserve">ance sheets, profit and loss statements, </w:t>
      </w:r>
      <w:r w:rsidR="00AB213F">
        <w:t>cash flow statement, debt and equity ratio,</w:t>
      </w:r>
      <w:r w:rsidR="00005A91">
        <w:t xml:space="preserve"> gross margin ratio, </w:t>
      </w:r>
      <w:r w:rsidR="00FE400E">
        <w:t xml:space="preserve">and </w:t>
      </w:r>
      <w:r w:rsidR="00005A91">
        <w:t>return on asset ratio,</w:t>
      </w:r>
      <w:r w:rsidR="00AB213F">
        <w:t xml:space="preserve"> etc</w:t>
      </w:r>
      <w:r w:rsidR="003E5AE1">
        <w:t xml:space="preserve">. </w:t>
      </w:r>
    </w:p>
    <w:p w14:paraId="0CC75E80" w14:textId="77777777" w:rsidR="001A13E2" w:rsidRPr="001A13E2" w:rsidRDefault="001A13E2" w:rsidP="001A13E2"/>
    <w:p w14:paraId="0471FFCB" w14:textId="77777777" w:rsidR="008B4B89" w:rsidRPr="00807D34" w:rsidRDefault="008B4B89" w:rsidP="00807D34">
      <w:pPr>
        <w:rPr>
          <w:b/>
          <w:bCs/>
          <w:sz w:val="24"/>
          <w:szCs w:val="24"/>
        </w:rPr>
      </w:pPr>
    </w:p>
    <w:p w14:paraId="1D5E8606" w14:textId="77777777" w:rsidR="008B4B89" w:rsidRDefault="008B4B89" w:rsidP="00807D34"/>
    <w:sectPr w:rsidR="008B4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5302C5"/>
    <w:multiLevelType w:val="hybridMultilevel"/>
    <w:tmpl w:val="2D384CD0"/>
    <w:lvl w:ilvl="0" w:tplc="CAA6EF1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B2712"/>
    <w:multiLevelType w:val="hybridMultilevel"/>
    <w:tmpl w:val="F64A1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18205A"/>
    <w:multiLevelType w:val="hybridMultilevel"/>
    <w:tmpl w:val="6BE21438"/>
    <w:lvl w:ilvl="0" w:tplc="8C16AB4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AD41EB"/>
    <w:multiLevelType w:val="hybridMultilevel"/>
    <w:tmpl w:val="3F4ED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07D34"/>
    <w:rsid w:val="00005A91"/>
    <w:rsid w:val="00010CE5"/>
    <w:rsid w:val="0002775D"/>
    <w:rsid w:val="00030DA8"/>
    <w:rsid w:val="00032F32"/>
    <w:rsid w:val="00044B7C"/>
    <w:rsid w:val="000469F1"/>
    <w:rsid w:val="00046AC1"/>
    <w:rsid w:val="000511F5"/>
    <w:rsid w:val="00054835"/>
    <w:rsid w:val="00057968"/>
    <w:rsid w:val="00057D4E"/>
    <w:rsid w:val="0006307F"/>
    <w:rsid w:val="00071C5C"/>
    <w:rsid w:val="0008369B"/>
    <w:rsid w:val="00095401"/>
    <w:rsid w:val="000B1019"/>
    <w:rsid w:val="000B2E35"/>
    <w:rsid w:val="000B36B7"/>
    <w:rsid w:val="000B392E"/>
    <w:rsid w:val="000B3BD9"/>
    <w:rsid w:val="000B3DA7"/>
    <w:rsid w:val="000B7579"/>
    <w:rsid w:val="000D10C9"/>
    <w:rsid w:val="000D5222"/>
    <w:rsid w:val="000E3CC4"/>
    <w:rsid w:val="000F617E"/>
    <w:rsid w:val="00101CD9"/>
    <w:rsid w:val="00103CC5"/>
    <w:rsid w:val="001073CA"/>
    <w:rsid w:val="001113D7"/>
    <w:rsid w:val="00112375"/>
    <w:rsid w:val="00113641"/>
    <w:rsid w:val="001164BB"/>
    <w:rsid w:val="00125074"/>
    <w:rsid w:val="00126CD9"/>
    <w:rsid w:val="0013252A"/>
    <w:rsid w:val="00136EBD"/>
    <w:rsid w:val="001460AC"/>
    <w:rsid w:val="00156E41"/>
    <w:rsid w:val="00157BF2"/>
    <w:rsid w:val="00163454"/>
    <w:rsid w:val="001642CF"/>
    <w:rsid w:val="00180B9E"/>
    <w:rsid w:val="00187887"/>
    <w:rsid w:val="00190828"/>
    <w:rsid w:val="00191A02"/>
    <w:rsid w:val="00195BB7"/>
    <w:rsid w:val="001A13E2"/>
    <w:rsid w:val="001A50E4"/>
    <w:rsid w:val="001B167D"/>
    <w:rsid w:val="001C1674"/>
    <w:rsid w:val="001C50D7"/>
    <w:rsid w:val="001C5137"/>
    <w:rsid w:val="001C6B3E"/>
    <w:rsid w:val="001E1ABA"/>
    <w:rsid w:val="001E2B68"/>
    <w:rsid w:val="001F59AB"/>
    <w:rsid w:val="002137E9"/>
    <w:rsid w:val="00215139"/>
    <w:rsid w:val="00215234"/>
    <w:rsid w:val="002160EE"/>
    <w:rsid w:val="00220443"/>
    <w:rsid w:val="0022139D"/>
    <w:rsid w:val="002315CE"/>
    <w:rsid w:val="00232064"/>
    <w:rsid w:val="00234CEB"/>
    <w:rsid w:val="00237032"/>
    <w:rsid w:val="00237208"/>
    <w:rsid w:val="00246328"/>
    <w:rsid w:val="00252D51"/>
    <w:rsid w:val="00255E90"/>
    <w:rsid w:val="002603A2"/>
    <w:rsid w:val="0026313F"/>
    <w:rsid w:val="00281535"/>
    <w:rsid w:val="00283A0C"/>
    <w:rsid w:val="00291A08"/>
    <w:rsid w:val="002A7CF4"/>
    <w:rsid w:val="002B7831"/>
    <w:rsid w:val="002C46BC"/>
    <w:rsid w:val="002C4731"/>
    <w:rsid w:val="002D0539"/>
    <w:rsid w:val="002D6266"/>
    <w:rsid w:val="002D70C9"/>
    <w:rsid w:val="002D7A71"/>
    <w:rsid w:val="002E3B58"/>
    <w:rsid w:val="002E5B93"/>
    <w:rsid w:val="002E6980"/>
    <w:rsid w:val="002F7574"/>
    <w:rsid w:val="00301F67"/>
    <w:rsid w:val="00316BA4"/>
    <w:rsid w:val="00321EE0"/>
    <w:rsid w:val="003223EA"/>
    <w:rsid w:val="003272B1"/>
    <w:rsid w:val="00331C9E"/>
    <w:rsid w:val="00345193"/>
    <w:rsid w:val="00347393"/>
    <w:rsid w:val="00347D47"/>
    <w:rsid w:val="0036026A"/>
    <w:rsid w:val="003643E8"/>
    <w:rsid w:val="003715A8"/>
    <w:rsid w:val="00373BB9"/>
    <w:rsid w:val="003743E1"/>
    <w:rsid w:val="00391F3D"/>
    <w:rsid w:val="00397547"/>
    <w:rsid w:val="003A63ED"/>
    <w:rsid w:val="003B7110"/>
    <w:rsid w:val="003C085F"/>
    <w:rsid w:val="003C10E8"/>
    <w:rsid w:val="003C7860"/>
    <w:rsid w:val="003D6FC2"/>
    <w:rsid w:val="003E5AE1"/>
    <w:rsid w:val="003E62AF"/>
    <w:rsid w:val="003F5905"/>
    <w:rsid w:val="00406037"/>
    <w:rsid w:val="00407F8F"/>
    <w:rsid w:val="0041023F"/>
    <w:rsid w:val="00410CD8"/>
    <w:rsid w:val="004237B6"/>
    <w:rsid w:val="00434BC1"/>
    <w:rsid w:val="00437EFA"/>
    <w:rsid w:val="00453260"/>
    <w:rsid w:val="004607F4"/>
    <w:rsid w:val="00461F0E"/>
    <w:rsid w:val="00464AFF"/>
    <w:rsid w:val="00464F99"/>
    <w:rsid w:val="00473B36"/>
    <w:rsid w:val="004871FA"/>
    <w:rsid w:val="00494FEE"/>
    <w:rsid w:val="004B0141"/>
    <w:rsid w:val="004B329C"/>
    <w:rsid w:val="004C6C83"/>
    <w:rsid w:val="004E69B3"/>
    <w:rsid w:val="004F4854"/>
    <w:rsid w:val="0050490C"/>
    <w:rsid w:val="005079FE"/>
    <w:rsid w:val="00510032"/>
    <w:rsid w:val="0051421A"/>
    <w:rsid w:val="005150AF"/>
    <w:rsid w:val="00516011"/>
    <w:rsid w:val="005172AA"/>
    <w:rsid w:val="005251DD"/>
    <w:rsid w:val="005324F3"/>
    <w:rsid w:val="00533DA4"/>
    <w:rsid w:val="005426DD"/>
    <w:rsid w:val="00552BA8"/>
    <w:rsid w:val="005569F9"/>
    <w:rsid w:val="00560057"/>
    <w:rsid w:val="0056217A"/>
    <w:rsid w:val="00565823"/>
    <w:rsid w:val="0057491A"/>
    <w:rsid w:val="005769C5"/>
    <w:rsid w:val="0059364C"/>
    <w:rsid w:val="005A1FA4"/>
    <w:rsid w:val="005A2708"/>
    <w:rsid w:val="005A520A"/>
    <w:rsid w:val="005C2378"/>
    <w:rsid w:val="005C3CC2"/>
    <w:rsid w:val="005E0D28"/>
    <w:rsid w:val="005E707B"/>
    <w:rsid w:val="005F0368"/>
    <w:rsid w:val="0060051A"/>
    <w:rsid w:val="0060472C"/>
    <w:rsid w:val="0061375A"/>
    <w:rsid w:val="006145DF"/>
    <w:rsid w:val="00625009"/>
    <w:rsid w:val="00627397"/>
    <w:rsid w:val="00643311"/>
    <w:rsid w:val="00662086"/>
    <w:rsid w:val="00683EC0"/>
    <w:rsid w:val="006A4AD3"/>
    <w:rsid w:val="006A635F"/>
    <w:rsid w:val="006B1632"/>
    <w:rsid w:val="006B2D75"/>
    <w:rsid w:val="006B4502"/>
    <w:rsid w:val="006B69DA"/>
    <w:rsid w:val="006C6791"/>
    <w:rsid w:val="006D17AA"/>
    <w:rsid w:val="006D1D2C"/>
    <w:rsid w:val="006D5CF7"/>
    <w:rsid w:val="006D6751"/>
    <w:rsid w:val="006D6FD9"/>
    <w:rsid w:val="006E1E7D"/>
    <w:rsid w:val="006E6459"/>
    <w:rsid w:val="00701B1B"/>
    <w:rsid w:val="00710933"/>
    <w:rsid w:val="00711D1C"/>
    <w:rsid w:val="0071774A"/>
    <w:rsid w:val="007278CA"/>
    <w:rsid w:val="00730B10"/>
    <w:rsid w:val="00736D4F"/>
    <w:rsid w:val="00741E98"/>
    <w:rsid w:val="00744406"/>
    <w:rsid w:val="00751A8F"/>
    <w:rsid w:val="00752444"/>
    <w:rsid w:val="00756459"/>
    <w:rsid w:val="00762D3A"/>
    <w:rsid w:val="00772AC3"/>
    <w:rsid w:val="007829D0"/>
    <w:rsid w:val="00784ADC"/>
    <w:rsid w:val="00785D17"/>
    <w:rsid w:val="007862B2"/>
    <w:rsid w:val="007A7910"/>
    <w:rsid w:val="007B218B"/>
    <w:rsid w:val="007B6544"/>
    <w:rsid w:val="007C07AD"/>
    <w:rsid w:val="007C53B4"/>
    <w:rsid w:val="007C5FE1"/>
    <w:rsid w:val="007E03CF"/>
    <w:rsid w:val="007F03E7"/>
    <w:rsid w:val="007F3626"/>
    <w:rsid w:val="00801A71"/>
    <w:rsid w:val="008043A6"/>
    <w:rsid w:val="00805A18"/>
    <w:rsid w:val="00807D34"/>
    <w:rsid w:val="00812CB4"/>
    <w:rsid w:val="008138EF"/>
    <w:rsid w:val="008257A9"/>
    <w:rsid w:val="00826E41"/>
    <w:rsid w:val="00833952"/>
    <w:rsid w:val="00833DF4"/>
    <w:rsid w:val="008512A0"/>
    <w:rsid w:val="00852C8A"/>
    <w:rsid w:val="008552DB"/>
    <w:rsid w:val="00870A81"/>
    <w:rsid w:val="00881B57"/>
    <w:rsid w:val="008911DD"/>
    <w:rsid w:val="008B4B89"/>
    <w:rsid w:val="008B73E9"/>
    <w:rsid w:val="008C032E"/>
    <w:rsid w:val="008C303A"/>
    <w:rsid w:val="008D1510"/>
    <w:rsid w:val="008E24C5"/>
    <w:rsid w:val="008E3E2D"/>
    <w:rsid w:val="008E50FF"/>
    <w:rsid w:val="008F0AC8"/>
    <w:rsid w:val="00900402"/>
    <w:rsid w:val="009039A1"/>
    <w:rsid w:val="00904979"/>
    <w:rsid w:val="009100B5"/>
    <w:rsid w:val="00915E58"/>
    <w:rsid w:val="00915F9E"/>
    <w:rsid w:val="00921635"/>
    <w:rsid w:val="00930A30"/>
    <w:rsid w:val="0093523D"/>
    <w:rsid w:val="00944E3A"/>
    <w:rsid w:val="00946047"/>
    <w:rsid w:val="0095334D"/>
    <w:rsid w:val="009605C5"/>
    <w:rsid w:val="009640CA"/>
    <w:rsid w:val="00973EB3"/>
    <w:rsid w:val="00975D1F"/>
    <w:rsid w:val="00977605"/>
    <w:rsid w:val="00983A68"/>
    <w:rsid w:val="009A30CF"/>
    <w:rsid w:val="009B21F5"/>
    <w:rsid w:val="009C1CAC"/>
    <w:rsid w:val="009D0CFF"/>
    <w:rsid w:val="009D3840"/>
    <w:rsid w:val="009D6C1B"/>
    <w:rsid w:val="009E731F"/>
    <w:rsid w:val="009F1572"/>
    <w:rsid w:val="009F1CAB"/>
    <w:rsid w:val="00A12816"/>
    <w:rsid w:val="00A13C4A"/>
    <w:rsid w:val="00A17C31"/>
    <w:rsid w:val="00A17FEB"/>
    <w:rsid w:val="00A23470"/>
    <w:rsid w:val="00A324BA"/>
    <w:rsid w:val="00A43595"/>
    <w:rsid w:val="00A57157"/>
    <w:rsid w:val="00A670E0"/>
    <w:rsid w:val="00A7517C"/>
    <w:rsid w:val="00A81801"/>
    <w:rsid w:val="00A92A7F"/>
    <w:rsid w:val="00A9302F"/>
    <w:rsid w:val="00A944B0"/>
    <w:rsid w:val="00A96F26"/>
    <w:rsid w:val="00AA4412"/>
    <w:rsid w:val="00AB099F"/>
    <w:rsid w:val="00AB213F"/>
    <w:rsid w:val="00AB3DF5"/>
    <w:rsid w:val="00AC30F3"/>
    <w:rsid w:val="00AD4CFF"/>
    <w:rsid w:val="00AD7819"/>
    <w:rsid w:val="00AE7E70"/>
    <w:rsid w:val="00AF4B17"/>
    <w:rsid w:val="00AF52C6"/>
    <w:rsid w:val="00B067EA"/>
    <w:rsid w:val="00B06974"/>
    <w:rsid w:val="00B06AA8"/>
    <w:rsid w:val="00B10E36"/>
    <w:rsid w:val="00B125C6"/>
    <w:rsid w:val="00B1326D"/>
    <w:rsid w:val="00B24E6A"/>
    <w:rsid w:val="00B25366"/>
    <w:rsid w:val="00B266FF"/>
    <w:rsid w:val="00B26C6E"/>
    <w:rsid w:val="00B337E9"/>
    <w:rsid w:val="00B347E3"/>
    <w:rsid w:val="00B41818"/>
    <w:rsid w:val="00B41F44"/>
    <w:rsid w:val="00B454C8"/>
    <w:rsid w:val="00B54AD1"/>
    <w:rsid w:val="00B56845"/>
    <w:rsid w:val="00B56A49"/>
    <w:rsid w:val="00B61F62"/>
    <w:rsid w:val="00B65604"/>
    <w:rsid w:val="00B808C2"/>
    <w:rsid w:val="00BA67AC"/>
    <w:rsid w:val="00BD0435"/>
    <w:rsid w:val="00BD6EA1"/>
    <w:rsid w:val="00BE7D08"/>
    <w:rsid w:val="00BF7495"/>
    <w:rsid w:val="00BF76D4"/>
    <w:rsid w:val="00C01086"/>
    <w:rsid w:val="00C05948"/>
    <w:rsid w:val="00C05FCC"/>
    <w:rsid w:val="00C07175"/>
    <w:rsid w:val="00C17A57"/>
    <w:rsid w:val="00C17D35"/>
    <w:rsid w:val="00C17D87"/>
    <w:rsid w:val="00C20FBD"/>
    <w:rsid w:val="00C230F7"/>
    <w:rsid w:val="00C2553C"/>
    <w:rsid w:val="00C342F7"/>
    <w:rsid w:val="00C4718C"/>
    <w:rsid w:val="00C506F5"/>
    <w:rsid w:val="00C557EE"/>
    <w:rsid w:val="00C62253"/>
    <w:rsid w:val="00C70FA3"/>
    <w:rsid w:val="00C75A9C"/>
    <w:rsid w:val="00C90CC6"/>
    <w:rsid w:val="00CB1917"/>
    <w:rsid w:val="00CC40C1"/>
    <w:rsid w:val="00CC57DC"/>
    <w:rsid w:val="00CC588E"/>
    <w:rsid w:val="00CD6FAD"/>
    <w:rsid w:val="00CE0F29"/>
    <w:rsid w:val="00CE73FB"/>
    <w:rsid w:val="00CF4C45"/>
    <w:rsid w:val="00D3136B"/>
    <w:rsid w:val="00D4665E"/>
    <w:rsid w:val="00D53AA6"/>
    <w:rsid w:val="00D54B2D"/>
    <w:rsid w:val="00D66423"/>
    <w:rsid w:val="00D75636"/>
    <w:rsid w:val="00D76DC9"/>
    <w:rsid w:val="00D826DF"/>
    <w:rsid w:val="00D83721"/>
    <w:rsid w:val="00D91078"/>
    <w:rsid w:val="00D93F6D"/>
    <w:rsid w:val="00DA5C96"/>
    <w:rsid w:val="00DB022C"/>
    <w:rsid w:val="00DB23CD"/>
    <w:rsid w:val="00DB30C8"/>
    <w:rsid w:val="00DB329D"/>
    <w:rsid w:val="00DB74C9"/>
    <w:rsid w:val="00DC12F2"/>
    <w:rsid w:val="00DC1AD5"/>
    <w:rsid w:val="00DC7920"/>
    <w:rsid w:val="00DD25CB"/>
    <w:rsid w:val="00DE0AEB"/>
    <w:rsid w:val="00DE0B8F"/>
    <w:rsid w:val="00DE6215"/>
    <w:rsid w:val="00DE75C7"/>
    <w:rsid w:val="00DF1004"/>
    <w:rsid w:val="00E00125"/>
    <w:rsid w:val="00E04D4A"/>
    <w:rsid w:val="00E050EE"/>
    <w:rsid w:val="00E1694E"/>
    <w:rsid w:val="00E169D7"/>
    <w:rsid w:val="00E26ADD"/>
    <w:rsid w:val="00E35982"/>
    <w:rsid w:val="00E42F8C"/>
    <w:rsid w:val="00E44784"/>
    <w:rsid w:val="00E45A11"/>
    <w:rsid w:val="00E557F8"/>
    <w:rsid w:val="00E57F53"/>
    <w:rsid w:val="00E6096D"/>
    <w:rsid w:val="00E61BD7"/>
    <w:rsid w:val="00E6774A"/>
    <w:rsid w:val="00E70150"/>
    <w:rsid w:val="00E846B0"/>
    <w:rsid w:val="00EA5DD7"/>
    <w:rsid w:val="00EC0217"/>
    <w:rsid w:val="00EE5766"/>
    <w:rsid w:val="00EE641A"/>
    <w:rsid w:val="00EE67A2"/>
    <w:rsid w:val="00F07BDE"/>
    <w:rsid w:val="00F07D25"/>
    <w:rsid w:val="00F14354"/>
    <w:rsid w:val="00F148AB"/>
    <w:rsid w:val="00F21AFD"/>
    <w:rsid w:val="00F22C0F"/>
    <w:rsid w:val="00F2749B"/>
    <w:rsid w:val="00F32C15"/>
    <w:rsid w:val="00F335B5"/>
    <w:rsid w:val="00F50F34"/>
    <w:rsid w:val="00F52C0A"/>
    <w:rsid w:val="00F543C8"/>
    <w:rsid w:val="00F54732"/>
    <w:rsid w:val="00F6355F"/>
    <w:rsid w:val="00F84F15"/>
    <w:rsid w:val="00F96D41"/>
    <w:rsid w:val="00FA0CA0"/>
    <w:rsid w:val="00FA7C35"/>
    <w:rsid w:val="00FB2295"/>
    <w:rsid w:val="00FB7448"/>
    <w:rsid w:val="00FC450E"/>
    <w:rsid w:val="00FE400E"/>
    <w:rsid w:val="00FF4CA0"/>
    <w:rsid w:val="00FF780B"/>
    <w:rsid w:val="6243C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C980239"/>
  <w15:chartTrackingRefBased/>
  <w15:docId w15:val="{0CA97ED0-3C2F-4F41-AC34-3E1F95B5F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7D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7D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62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07D3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7D3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D626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2D62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62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62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62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626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6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26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D6266"/>
    <w:pPr>
      <w:ind w:left="720"/>
      <w:contextualSpacing/>
    </w:pPr>
  </w:style>
  <w:style w:type="table" w:styleId="TableGrid">
    <w:name w:val="Table Grid"/>
    <w:basedOn w:val="TableNormal"/>
    <w:uiPriority w:val="59"/>
    <w:rsid w:val="00514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2000" b="1"/>
              <a:t>Top</a:t>
            </a:r>
            <a:r>
              <a:rPr lang="en-US" sz="2000" b="1" baseline="0"/>
              <a:t> 10 Product Frequency</a:t>
            </a:r>
            <a:endParaRPr lang="en-US" sz="20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5293572678415199"/>
          <c:y val="0.17455713197140676"/>
          <c:w val="0.71380530558680166"/>
          <c:h val="0.72713257616991422"/>
        </c:manualLayout>
      </c:layout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3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2-489C-408B-91DE-EF614523A037}"/>
              </c:ext>
            </c:extLst>
          </c:dPt>
          <c:dPt>
            <c:idx val="8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489C-408B-91DE-EF614523A037}"/>
              </c:ext>
            </c:extLst>
          </c:dPt>
          <c:cat>
            <c:strRef>
              <c:f>Sheet1!$B$19:$B$28</c:f>
              <c:strCache>
                <c:ptCount val="10"/>
                <c:pt idx="0">
                  <c:v>iMac</c:v>
                </c:pt>
                <c:pt idx="1">
                  <c:v>HP Laptop</c:v>
                </c:pt>
                <c:pt idx="2">
                  <c:v>CYBERPOWER Gamer Desktop</c:v>
                </c:pt>
                <c:pt idx="3">
                  <c:v>Apple Earpods</c:v>
                </c:pt>
                <c:pt idx="4">
                  <c:v>Apple MacBook Air</c:v>
                </c:pt>
                <c:pt idx="5">
                  <c:v>Lenovo Desktop Computer</c:v>
                </c:pt>
                <c:pt idx="6">
                  <c:v>Dell Desktop</c:v>
                </c:pt>
                <c:pt idx="7">
                  <c:v>Apple MacBook Pro</c:v>
                </c:pt>
                <c:pt idx="8">
                  <c:v>ViewSonic Monitor</c:v>
                </c:pt>
                <c:pt idx="9">
                  <c:v>Acer Desktop</c:v>
                </c:pt>
              </c:strCache>
            </c:strRef>
          </c:cat>
          <c:val>
            <c:numRef>
              <c:f>Sheet1!$C$19:$C$28</c:f>
              <c:numCache>
                <c:formatCode>General</c:formatCode>
                <c:ptCount val="10"/>
                <c:pt idx="0">
                  <c:v>0.25612610000000002</c:v>
                </c:pt>
                <c:pt idx="1">
                  <c:v>0.19410269999999999</c:v>
                </c:pt>
                <c:pt idx="2">
                  <c:v>0.18393490000000001</c:v>
                </c:pt>
                <c:pt idx="3">
                  <c:v>0.17437720000000001</c:v>
                </c:pt>
                <c:pt idx="4">
                  <c:v>0.15556690000000001</c:v>
                </c:pt>
                <c:pt idx="5">
                  <c:v>0.1480427</c:v>
                </c:pt>
                <c:pt idx="6">
                  <c:v>0.1340112</c:v>
                </c:pt>
                <c:pt idx="7">
                  <c:v>0.1105236</c:v>
                </c:pt>
                <c:pt idx="8">
                  <c:v>0.1103203</c:v>
                </c:pt>
                <c:pt idx="9">
                  <c:v>0.101881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89C-408B-91DE-EF614523A0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496392968"/>
        <c:axId val="496391656"/>
      </c:barChart>
      <c:catAx>
        <c:axId val="496392968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6391656"/>
        <c:crosses val="autoZero"/>
        <c:auto val="1"/>
        <c:lblAlgn val="ctr"/>
        <c:lblOffset val="100"/>
        <c:noMultiLvlLbl val="0"/>
      </c:catAx>
      <c:valAx>
        <c:axId val="496391656"/>
        <c:scaling>
          <c:orientation val="minMax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   Computers</a:t>
                </a:r>
              </a:p>
            </c:rich>
          </c:tx>
          <c:layout>
            <c:manualLayout>
              <c:xMode val="edge"/>
              <c:yMode val="edge"/>
              <c:x val="0.51532808398950136"/>
              <c:y val="0.9466474641531434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63929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50800" dist="38100" dir="2700000" algn="tl" rotWithShape="0">
        <a:prstClr val="black">
          <a:alpha val="40000"/>
        </a:prstClr>
      </a:outerShdw>
    </a:effectLst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0.52083</cdr:x>
      <cdr:y>0.96229</cdr:y>
    </cdr:from>
    <cdr:to>
      <cdr:x>0.53233</cdr:x>
      <cdr:y>0.98157</cdr:y>
    </cdr:to>
    <cdr:sp macro="" textlink="">
      <cdr:nvSpPr>
        <cdr:cNvPr id="2" name="Rectangle 1"/>
        <cdr:cNvSpPr/>
      </cdr:nvSpPr>
      <cdr:spPr>
        <a:xfrm xmlns:a="http://schemas.openxmlformats.org/drawingml/2006/main">
          <a:off x="3333749" y="3977944"/>
          <a:ext cx="73609" cy="79705"/>
        </a:xfrm>
        <a:prstGeom xmlns:a="http://schemas.openxmlformats.org/drawingml/2006/main" prst="rect">
          <a:avLst/>
        </a:prstGeom>
        <a:ln xmlns:a="http://schemas.openxmlformats.org/drawingml/2006/main">
          <a:noFill/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n-US"/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D2A37-CBDE-46DA-BA3B-277D6BDA9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Mingji Lou</dc:creator>
  <cp:keywords/>
  <dc:description/>
  <cp:lastModifiedBy>Mingji Lou</cp:lastModifiedBy>
  <cp:revision>2</cp:revision>
  <dcterms:created xsi:type="dcterms:W3CDTF">2019-09-04T04:09:00Z</dcterms:created>
  <dcterms:modified xsi:type="dcterms:W3CDTF">2019-09-04T04:09:00Z</dcterms:modified>
</cp:coreProperties>
</file>