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农时窗口项目说明</w:t>
      </w:r>
    </w:p>
    <w:p>
      <w:pPr>
        <w:pStyle w:val="Subtitle"/>
      </w:pPr>
      <w:r>
        <w:t>油菜苗期农事规划助手   2026年10月16日</w:t>
      </w:r>
    </w:p>
    <w:p>
      <w:r>
        <w:rPr>
          <w:b w:val="0"/>
        </w:rPr>
        <w:t>选题和分工已确定，当前进入规则验证与工程启动阶段。本文统一产品范围、实现约束和验收口径；每日进度按保留的任务清单推进。环境配置与运行命令见项目根目录 README.md。</w:t>
      </w:r>
    </w:p>
    <w:p>
      <w:pPr>
        <w:pStyle w:val="Heading1"/>
      </w:pPr>
      <w:r>
        <w:t>一 产品范围</w:t>
      </w:r>
    </w:p>
    <w:p>
      <w:r>
        <w:rPr>
          <w:b w:val="0"/>
        </w:rPr>
        <w:t>面向自行管理少量地块的种植户或小型合作社管理者，回答“这几块油菜田未来七天先做什么，在什么条件下能安排，人员或田间情况变化后怎么调整”。需求依据采用政策、已发表研究与公开统计数据的文献研究路径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cantSplit/>
          <w:tblHeader/>
        </w:trPr>
        <w:tc>
          <w:tcPr>
            <w:tcW w:type="dxa" w:w="1728"/>
            <w:vAlign w:val="center"/>
            <w:shd w:fill="E4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8208"/>
            <w:vAlign w:val="center"/>
            <w:shd w:fill="E4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首版口径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参赛方向</w:t>
            </w:r>
          </w:p>
        </w:tc>
        <w:tc>
          <w:tcPr>
            <w:tcW w:type="dxa" w:w="820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AIC 算法主题赛 AI加农业，赛题五 农业智能体与大模型决策服务赛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服务范围</w:t>
            </w:r>
          </w:p>
        </w:tc>
        <w:tc>
          <w:tcPr>
            <w:tcW w:type="dxa" w:w="8208"/>
            <w:vAlign w:val="center"/>
            <w:shd w:fill="F5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湖北已进入苗期的油菜田，三块示范地；实际生育期由用户确认，不按日历推定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核心任务</w:t>
            </w:r>
          </w:p>
        </w:tc>
        <w:tc>
          <w:tcPr>
            <w:tcW w:type="dxa" w:w="820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巡田苗情检查、沟渠检查维护；用户已确认的其他待办须核对适用条件后再排程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范围边界</w:t>
            </w:r>
          </w:p>
        </w:tc>
        <w:tc>
          <w:tcPr>
            <w:tcW w:type="dxa" w:w="8208"/>
            <w:vAlign w:val="center"/>
            <w:shd w:fill="F5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不做精确施肥用量、药剂处方、复杂机械调度、多作物、硬件接入、模型训练或大规模遥感处理</w:t>
            </w:r>
          </w:p>
        </w:tc>
      </w:tr>
    </w:tbl>
    <w:p>
      <w:pPr>
        <w:spacing w:after="0"/>
      </w:pPr>
    </w:p>
    <w:p>
      <w:pPr>
        <w:pStyle w:val="Heading1"/>
      </w:pPr>
      <w:r>
        <w:t>二 分工与协作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cantSplit/>
          <w:tblHeader/>
        </w:trPr>
        <w:tc>
          <w:tcPr>
            <w:tcW w:type="dxa" w:w="1728"/>
            <w:vAlign w:val="center"/>
            <w:shd w:fill="E4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成员</w:t>
            </w:r>
          </w:p>
        </w:tc>
        <w:tc>
          <w:tcPr>
            <w:tcW w:type="dxa" w:w="8208"/>
            <w:vAlign w:val="center"/>
            <w:shd w:fill="E4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已确定职责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金麟哲</w:t>
            </w:r>
          </w:p>
        </w:tc>
        <w:tc>
          <w:tcPr>
            <w:tcW w:type="dxa" w:w="820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负责 Agent，并组织工程任务在三人之间的分配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许继哲</w:t>
            </w:r>
          </w:p>
        </w:tc>
        <w:tc>
          <w:tcPr>
            <w:tcW w:type="dxa" w:w="8208"/>
            <w:vAlign w:val="center"/>
            <w:shd w:fill="F5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搜集 Agent 所需资料；Agent 完成后撰写报告和 PPT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李思默</w:t>
            </w:r>
          </w:p>
        </w:tc>
        <w:tc>
          <w:tcPr>
            <w:tcW w:type="dxa" w:w="820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负责需求分析章节及对应的需求研究</w:t>
            </w:r>
          </w:p>
        </w:tc>
      </w:tr>
    </w:tbl>
    <w:p>
      <w:pPr>
        <w:spacing w:after="0"/>
      </w:pPr>
    </w:p>
    <w:p>
      <w:r>
        <w:rPr>
          <w:b w:val="0"/>
        </w:rPr>
        <w:t>工程子任务和界面具体归属由 Agent 负责人落实。农业条件、来源适用性和最终结果由队员核对；普通体验者测试只证明操作体验，不等同于农学专业验证。</w:t>
      </w:r>
    </w:p>
    <w:p>
      <w:pPr>
        <w:pStyle w:val="Heading1"/>
      </w:pPr>
      <w:r>
        <w:t>三 技术路线</w:t>
      </w:r>
    </w:p>
    <w:p>
      <w:r>
        <w:rPr>
          <w:b w:val="0"/>
        </w:rPr>
        <w:t>Python＋Streamlit＋SQLite，天气拟接 Open-Meteo；一个主智能体调用天气、资料检索、排程三个工具。先用关键词和条件筛选检索，效果不足再评估向量检索。模型服务商暂未决定，先保留配置入口。</w:t>
      </w:r>
    </w:p>
    <w:p>
      <w:r>
        <w:rPr>
          <w:b w:val="0"/>
        </w:rPr>
        <w:t>大模型负责理解输入、追问、调用工具和解释；程序负责结构校验、工时与前置约束、状态更新和计划版本。先跑通最简流程，业务代码与规则验证同步推进。</w:t>
      </w:r>
    </w:p>
    <w:p>
      <w:pPr>
        <w:pStyle w:val="Heading1"/>
        <w:pageBreakBefore/>
      </w:pPr>
      <w:r>
        <w:t>四 资料准备与规则验证</w:t>
      </w:r>
    </w:p>
    <w:p>
      <w:r>
        <w:rPr>
          <w:b w:val="0"/>
        </w:rPr>
        <w:t>先筛选 6—10 份直接相关的官方资料。每条规则至少记录来源、发布日期、原文定位、地区、生育期、任务条件、前置关系与不适用情况。资料数量服务于规则质量，泛泛背景不能替代可执行依据。</w:t>
      </w:r>
    </w:p>
    <w:p>
      <w:r>
        <w:rPr>
          <w:b w:val="0"/>
        </w:rPr>
        <w:t>规则卡片同时支持条件检查、引用解释和测试预期。是否让卡片直接承担知识库，可在接口设计时确定。对往年资料保留年份和适用范围，不把旧指导意见当成所有当前地块的规则。</w:t>
      </w:r>
    </w:p>
    <w:p>
      <w:r>
        <w:rPr>
          <w:b/>
        </w:rPr>
        <w:t>10月18日的判定条件</w:t>
      </w:r>
    </w:p>
    <w:p>
      <w:r>
        <w:rPr>
          <w:b w:val="0"/>
        </w:rPr>
        <w:t>① 两类核心任务各有可追溯的适用依据；② 三块示范地有一份可检查工时、前置条件和未知信息的手工七天计划；③ 人力减少或现场反馈变化后，有调整版本并能说明原因。</w:t>
      </w:r>
    </w:p>
    <w:p>
      <w:r>
        <w:rPr>
          <w:b w:val="0"/>
        </w:rPr>
        <w:t>全部成立则冻结范围；部分成立先减少任务；核心规则仍难成立时再切换到水稻花期高温风险助手。两个产品不同时开发。</w:t>
      </w:r>
    </w:p>
    <w:p>
      <w:pPr>
        <w:pStyle w:val="Heading1"/>
      </w:pPr>
      <w:r>
        <w:t>五 排程与交互约束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cantSplit/>
          <w:tblHeader/>
        </w:trPr>
        <w:tc>
          <w:tcPr>
            <w:tcW w:type="dxa" w:w="1728"/>
            <w:vAlign w:val="center"/>
            <w:shd w:fill="E4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环节</w:t>
            </w:r>
          </w:p>
        </w:tc>
        <w:tc>
          <w:tcPr>
            <w:tcW w:type="dxa" w:w="8208"/>
            <w:vAlign w:val="center"/>
            <w:shd w:fill="E4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实现要求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条件判定</w:t>
            </w:r>
          </w:p>
        </w:tc>
        <w:tc>
          <w:tcPr>
            <w:tcW w:type="dxa" w:w="820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按生育期、现场情况、天气和前置任务给出可安排、暂不可安排、待确认。缺项先追问，未知保持未知。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资源分配</w:t>
            </w:r>
          </w:p>
        </w:tc>
        <w:tc>
          <w:tcPr>
            <w:tcW w:type="dxa" w:w="8208"/>
            <w:vAlign w:val="center"/>
            <w:shd w:fill="F5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再按人员、工时、期限分配日期。工时由用户估计并可修改，不凭面积推算未经验证的标准工时。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解释与引用</w:t>
            </w:r>
          </w:p>
        </w:tc>
        <w:tc>
          <w:tcPr>
            <w:tcW w:type="dxa" w:w="820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农业建议须携带支持它的原文与适用条件；无依据不输出确定建议。排序规则公开，允许用户修改。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失败与冲突</w:t>
            </w:r>
          </w:p>
        </w:tc>
        <w:tc>
          <w:tcPr>
            <w:tcW w:type="dxa" w:w="8208"/>
            <w:vAlign w:val="center"/>
            <w:shd w:fill="F5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天气失败显示缓存时间或不可用；排不进去的任务保留并解释冲突，不强行填满七天。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反馈重排</w:t>
            </w:r>
          </w:p>
        </w:tc>
        <w:tc>
          <w:tcPr>
            <w:tcW w:type="dxa" w:w="820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保留计划历史并锁定已完成记录；尽量保留原有可行安排，说明移动及未排入原因。</w:t>
            </w:r>
          </w:p>
        </w:tc>
      </w:tr>
    </w:tbl>
    <w:p>
      <w:pPr>
        <w:spacing w:after="0"/>
      </w:pPr>
    </w:p>
    <w:p>
      <w:r>
        <w:rPr>
          <w:b w:val="0"/>
        </w:rPr>
        <w:t>人员减少只影响资源安排，不自动改变农业适宜条件；天气预报不能替代积水、墒情和可进入性的现场观察。首版不宣称找到“最佳农时”，窗口采用三态标记。</w:t>
      </w:r>
    </w:p>
    <w:p>
      <w:r>
        <w:rPr>
          <w:b w:val="0"/>
        </w:rPr>
        <w:t>结果至少显示地块、任务、日期、工时、窗口状态、依据、待确认项和调整原因。页面围绕地块档案、对话与结果组织，优先用结构化选项补齐缺项。</w:t>
      </w:r>
    </w:p>
    <w:p>
      <w:r>
        <w:rPr>
          <w:b/>
        </w:rPr>
        <w:t>连续演示案例</w:t>
      </w:r>
    </w:p>
    <w:p>
      <w:r>
        <w:rPr>
          <w:b w:val="0"/>
        </w:rPr>
        <w:t>输入三块苗期地块与七天可用时间 → 二号田沟渠情况未知，先追问或检查 → 反馈堵塞，核对规则后增加维护待办 → 次日人力减少，只调整受影响的未完成任务，展示新旧计划差异。模拟地块、工时和固定天气须明确标注。</w:t>
      </w:r>
    </w:p>
    <w:p>
      <w:pPr>
        <w:pStyle w:val="Heading1"/>
        <w:pageBreakBefore/>
      </w:pPr>
      <w:r>
        <w:t>六 验证设计与验收目标</w:t>
      </w:r>
    </w:p>
    <w:p>
      <w:r>
        <w:rPr>
          <w:b w:val="0"/>
        </w:rPr>
        <w:t>先固定测试输入、参考依据和预期行为，再调整系统。准备 12 个开发案例、30 个留出测试案例，另选 6 个边界案例各运行 3 次。以下均为待验证的目标。</w:t>
      </w:r>
    </w:p>
    <w:p>
      <w:r>
        <w:rPr>
          <w:b w:val="0"/>
        </w:rPr>
        <w:t>30 个留出案例分配：正常安排 8 个、关键农情缺失 6 个、工时或前置冲突 6 个、反馈重排 6 个、资料不适用或接口失败 4 个。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776"/>
      </w:tblGrid>
      <w:tr>
        <w:trPr>
          <w:cantSplit/>
          <w:tblHeader/>
        </w:trPr>
        <w:tc>
          <w:tcPr>
            <w:tcW w:type="dxa" w:w="2160"/>
            <w:vAlign w:val="center"/>
            <w:shd w:fill="E4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对照组</w:t>
            </w:r>
          </w:p>
        </w:tc>
        <w:tc>
          <w:tcPr>
            <w:tcW w:type="dxa" w:w="7776"/>
            <w:vAlign w:val="center"/>
            <w:shd w:fill="E4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共同输入及新增能力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A 直接生成</w:t>
            </w:r>
          </w:p>
        </w:tc>
        <w:tc>
          <w:tcPr>
            <w:tcW w:type="dxa" w:w="7776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同一模型、问题、农情与原始天气表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B 加入检索</w:t>
            </w:r>
          </w:p>
        </w:tc>
        <w:tc>
          <w:tcPr>
            <w:tcW w:type="dxa" w:w="7776"/>
            <w:vAlign w:val="center"/>
            <w:shd w:fill="F5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A 的条件，加同一农业资料库的检索结果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C 完整系统</w:t>
            </w:r>
          </w:p>
        </w:tc>
        <w:tc>
          <w:tcPr>
            <w:tcW w:type="dxa" w:w="7776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B 的条件，加规则校验、状态记录与排程工具</w:t>
            </w:r>
          </w:p>
        </w:tc>
      </w:tr>
    </w:tbl>
    <w:p>
      <w:pPr>
        <w:spacing w:after="0"/>
      </w:pPr>
    </w:p>
    <w:p>
      <w:r>
        <w:rPr>
          <w:b w:val="0"/>
        </w:rPr>
        <w:t>固定模型版本、参数、资料版本和天气快照；评分时隐藏组别。两名队员分别核对参考答案，分歧回到原文解决；保留全部结果和失败案例，农学适用性尽量争取专业复核。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776"/>
      </w:tblGrid>
      <w:tr>
        <w:trPr>
          <w:cantSplit/>
          <w:tblHeader/>
        </w:trPr>
        <w:tc>
          <w:tcPr>
            <w:tcW w:type="dxa" w:w="2160"/>
            <w:vAlign w:val="center"/>
            <w:shd w:fill="E4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验收项</w:t>
            </w:r>
          </w:p>
        </w:tc>
        <w:tc>
          <w:tcPr>
            <w:tcW w:type="dxa" w:w="7776"/>
            <w:vAlign w:val="center"/>
            <w:shd w:fill="E4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通过要求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确定性约束</w:t>
            </w:r>
          </w:p>
        </w:tc>
        <w:tc>
          <w:tcPr>
            <w:tcW w:type="dxa" w:w="7776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全部程序参考算例通过；统计工时超限、前置违反、重复安排次数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引用支撑</w:t>
            </w:r>
          </w:p>
        </w:tc>
        <w:tc>
          <w:tcPr>
            <w:tcW w:type="dxa" w:w="7776"/>
            <w:vAlign w:val="center"/>
            <w:shd w:fill="F5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全部被审查农业建议逐条核对原文和条件，支撑率目标不低于 95%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关键缺项</w:t>
            </w:r>
          </w:p>
        </w:tc>
        <w:tc>
          <w:tcPr>
            <w:tcW w:type="dxa" w:w="7776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均先追问或标记待确认，不直接产生确定处置结论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重排一致性</w:t>
            </w:r>
          </w:p>
        </w:tc>
        <w:tc>
          <w:tcPr>
            <w:tcW w:type="dxa" w:w="7776"/>
            <w:vAlign w:val="center"/>
            <w:shd w:fill="F5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保留已完成记录，满足仍有效约束，解释移动和未排入原因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操作体验</w:t>
            </w:r>
          </w:p>
        </w:tc>
        <w:tc>
          <w:tcPr>
            <w:tcW w:type="dxa" w:w="7776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至少 5 名体验者中，至少 4 人独立完成输入、查来源、反馈和查看新计划</w:t>
            </w:r>
          </w:p>
        </w:tc>
      </w:tr>
    </w:tbl>
    <w:p>
      <w:pPr>
        <w:spacing w:after="0"/>
      </w:pPr>
    </w:p>
    <w:p>
      <w:r>
        <w:rPr>
          <w:b w:val="0"/>
        </w:rPr>
        <w:t>评分权重为创新性25分、需求分析15分、AI技术应用20分、项目实施15分、研究结论与应用成效15分、总结展望10分。重点主张应有对应实现和实测证据，不能把功能设想写成既有成果。</w:t>
      </w:r>
    </w:p>
    <w:p>
      <w:pPr>
        <w:pStyle w:val="Heading1"/>
      </w:pPr>
      <w:r>
        <w:t>七 推进节点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cantSplit/>
          <w:tblHeader/>
        </w:trPr>
        <w:tc>
          <w:tcPr>
            <w:tcW w:type="dxa" w:w="2448"/>
            <w:vAlign w:val="center"/>
            <w:shd w:fill="E4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时间</w:t>
            </w:r>
          </w:p>
        </w:tc>
        <w:tc>
          <w:tcPr>
            <w:tcW w:type="dxa" w:w="7488"/>
            <w:vAlign w:val="center"/>
            <w:shd w:fill="E4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阶段成果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10月18日前</w:t>
            </w:r>
          </w:p>
        </w:tc>
        <w:tc>
          <w:tcPr>
            <w:tcW w:type="dxa" w:w="748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验证规则、手工计划与调整算例；同步准备环境和最简流程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10月22日和25日</w:t>
            </w:r>
          </w:p>
        </w:tc>
        <w:tc>
          <w:tcPr>
            <w:tcW w:type="dxa" w:w="7488"/>
            <w:vAlign w:val="center"/>
            <w:shd w:fill="F5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22日前完成核心流程；25日前完成反馈重排、对照测试与操作测试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10月28日至30日</w:t>
            </w:r>
          </w:p>
        </w:tc>
        <w:tc>
          <w:tcPr>
            <w:tcW w:type="dxa" w:w="748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28日定版与材料；29日至30日上传复核，目标30日18时前上传</w:t>
            </w:r>
          </w:p>
        </w:tc>
      </w:tr>
    </w:tbl>
    <w:p>
      <w:pPr>
        <w:spacing w:after="0"/>
      </w:pPr>
    </w:p>
    <w:p>
      <w:r>
        <w:rPr>
          <w:b w:val="0"/>
        </w:rPr>
        <w:t>报名缴费状态仍需核实。现有材料记录的报名与初赛提交截止为 2026年10月30日20时，上传前以官方最新通知与平台状态复核。详细 T 编号和每日任务只在任务清单中维护。</w:t>
      </w:r>
    </w:p>
    <w:p>
      <w:pPr>
        <w:pStyle w:val="Heading1"/>
        <w:pageBreakBefore/>
      </w:pPr>
      <w:r>
        <w:t>八 交付口径与材料使用</w:t>
      </w:r>
    </w:p>
    <w:p>
      <w:r>
        <w:rPr>
          <w:b w:val="0"/>
        </w:rPr>
        <w:t>预算按全队 600—950 元安排：报名费 500 元，模型调用 100—250 元，部署及其他预留 0—200 元；不含已有订阅、人工、交通食宿或专业咨询。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920"/>
      </w:tblGrid>
      <w:tr>
        <w:trPr>
          <w:cantSplit/>
          <w:tblHeader/>
        </w:trPr>
        <w:tc>
          <w:tcPr>
            <w:tcW w:type="dxa" w:w="2016"/>
            <w:vAlign w:val="center"/>
            <w:shd w:fill="E4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交付物</w:t>
            </w:r>
          </w:p>
        </w:tc>
        <w:tc>
          <w:tcPr>
            <w:tcW w:type="dxa" w:w="7920"/>
            <w:vAlign w:val="center"/>
            <w:shd w:fill="E4EDF3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现有要求与计划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作品名称与简介</w:t>
            </w:r>
          </w:p>
        </w:tc>
        <w:tc>
          <w:tcPr>
            <w:tcW w:type="dxa" w:w="792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名称不超过20字；简介不超过300字，按实际完成情况写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技术报告</w:t>
            </w:r>
          </w:p>
        </w:tc>
        <w:tc>
          <w:tcPr>
            <w:tcW w:type="dxa" w:w="7920"/>
            <w:vAlign w:val="center"/>
            <w:shd w:fill="F5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按官方模板组织，导出 PDF，不超过10M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演示视频</w:t>
            </w:r>
          </w:p>
        </w:tc>
        <w:tc>
          <w:tcPr>
            <w:tcW w:type="dxa" w:w="792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MP4，3—5分钟，300MB以内；计划约4分钟的连续案例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答辩材料</w:t>
            </w:r>
          </w:p>
        </w:tc>
        <w:tc>
          <w:tcPr>
            <w:tcW w:type="dxa" w:w="7920"/>
            <w:vAlign w:val="center"/>
            <w:shd w:fill="F5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PPT 导出 PDF；计划8页，说明需求、流程、实现、结果与局限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佐证材料</w:t>
            </w:r>
          </w:p>
        </w:tc>
        <w:tc>
          <w:tcPr>
            <w:tcW w:type="dxa" w:w="792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合并一个 PDF，保留来源核对、真实操作记录、实测结果与失败案例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其他材料</w:t>
            </w:r>
          </w:p>
        </w:tc>
        <w:tc>
          <w:tcPr>
            <w:tcW w:type="dxa" w:w="7920"/>
            <w:vAlign w:val="center"/>
            <w:shd w:fill="F5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网盘代码包含依赖、运行说明、脱敏样例、规则表、测试入口和标注清楚的固定演示数据</w:t>
            </w:r>
          </w:p>
        </w:tc>
      </w:tr>
    </w:tbl>
    <w:p>
      <w:pPr>
        <w:spacing w:after="0"/>
      </w:pPr>
    </w:p>
    <w:p>
      <w:r>
        <w:rPr>
          <w:b/>
        </w:rPr>
        <w:t>官方模板与大纲的关系</w:t>
      </w:r>
    </w:p>
    <w:p>
      <w:r>
        <w:rPr>
          <w:b w:val="0"/>
        </w:rPr>
        <w:t>使用“模板”目录的可编辑技术报告模板，官方 .doc 原件保留。正文保留“一 项目概述／二 自定义主体／三 附录”的模板结构，将需求分析、工具运用、项目实施、应用成效、总结展望组织到主体中；保留封面、目录和正文前独立作品简介。不要照旧方案机械套成七个一级标题。</w:t>
      </w:r>
    </w:p>
    <w:p>
      <w:r>
        <w:rPr>
          <w:b/>
        </w:rPr>
        <w:t>匿名与证据</w:t>
      </w:r>
    </w:p>
    <w:p>
      <w:r>
        <w:rPr>
          <w:b w:val="0"/>
        </w:rPr>
        <w:t>提交材料不出现学校、学院和指导教师信息。文献研究如实说明来源，不写未开展的农户问卷或访谈；模拟案例与真实数据区分，不将系统测试写成增产、节肥或专业验证。录屏、PPT、报告使用同一代码和数据版本。</w:t>
      </w:r>
    </w:p>
    <w:p>
      <w:r>
        <w:rPr>
          <w:b w:val="0"/>
        </w:rPr>
        <w:t>网盘按“团队编号-赛题名称-作品名称-材料名称”命名，设置永久有效并提供提取码。上传后检查接收状态、文件可打开以及链接可下载。官方附件是规则依据，提交前逐项核对。</w:t>
      </w:r>
    </w:p>
    <w:p>
      <w:r>
        <w:rPr>
          <w:b w:val="0"/>
        </w:rPr>
        <w:t>日常只维护两份主要 Word：本说明用于统一口径，任务清单用于推进与验收。工程命令和环境状态在根目录 README.md 维护。资料来源表、规则卡片与测试原始数据随工作形成后单独保留。</w:t>
      </w:r>
    </w:p>
    <w:p>
      <w:pPr>
        <w:pStyle w:val="Heading1"/>
      </w:pPr>
      <w:r>
        <w:t>九 核验入口</w:t>
      </w:r>
    </w:p>
    <w:p>
      <w:pPr>
        <w:spacing w:after="60"/>
      </w:pPr>
      <w:hyperlink r:id="rId9">
        <w:r>
          <w:rPr>
            <w:color w:val="245678"/>
          </w:rPr>
          <w:t>AIC 赛题与竞赛规则</w:t>
        </w:r>
      </w:hyperlink>
    </w:p>
    <w:p>
      <w:pPr>
        <w:spacing w:after="60"/>
      </w:pPr>
      <w:hyperlink r:id="rId10">
        <w:r>
          <w:rPr>
            <w:color w:val="245678"/>
          </w:rPr>
          <w:t>AIC 赛程调整通知 2026年10月10日</w:t>
        </w:r>
      </w:hyperlink>
    </w:p>
    <w:p>
      <w:pPr>
        <w:spacing w:after="60"/>
      </w:pPr>
      <w:hyperlink r:id="rId11">
        <w:r>
          <w:rPr>
            <w:color w:val="245678"/>
          </w:rPr>
          <w:t>技术报告官方模板 提取码2026</w:t>
        </w:r>
      </w:hyperlink>
    </w:p>
    <w:p>
      <w:pPr>
        <w:spacing w:after="60"/>
      </w:pPr>
      <w:hyperlink r:id="rId12">
        <w:r>
          <w:rPr>
            <w:color w:val="245678"/>
          </w:rPr>
          <w:t>湖北油菜秋播生产意见 2026年10月10日</w:t>
        </w:r>
      </w:hyperlink>
    </w:p>
    <w:p>
      <w:pPr>
        <w:spacing w:after="60"/>
      </w:pPr>
      <w:hyperlink r:id="rId13">
        <w:r>
          <w:rPr>
            <w:color w:val="245678"/>
          </w:rPr>
          <w:t>湖北油菜冬前管理意见 2025年12月3日</w:t>
        </w:r>
      </w:hyperlink>
    </w:p>
    <w:p>
      <w:pPr>
        <w:spacing w:after="60"/>
      </w:pPr>
      <w:hyperlink r:id="rId14">
        <w:r>
          <w:rPr>
            <w:color w:val="245678"/>
          </w:rPr>
          <w:t>Open-Meteo 天气接口文档</w:t>
        </w:r>
      </w:hyperlink>
    </w:p>
    <w:p>
      <w:pPr>
        <w:spacing w:after="60"/>
      </w:pPr>
      <w:hyperlink r:id="rId15">
        <w:r>
          <w:rPr>
            <w:color w:val="245678"/>
          </w:rPr>
          <w:t>Open-Meteo 使用条款</w:t>
        </w:r>
      </w:hyperlink>
    </w:p>
    <w:sectPr w:rsidR="00FC693F" w:rsidRPr="0006063C" w:rsidSect="00034616">
      <w:footerReference w:type="default" r:id="rId16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宋体" w:hAnsi="宋体" w:eastAsia="宋体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宋体" w:hAnsi="宋体" w:eastAsia="宋体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宋体" w:hAnsi="宋体" w:eastAsia="宋体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宋体" w:hAnsi="宋体" w:eastAsia="宋体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宋体" w:hAnsi="宋体" w:eastAsia="宋体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icomp.cn/tracks/tracks-5/4912.html" TargetMode="External"/><Relationship Id="rId10" Type="http://schemas.openxmlformats.org/officeDocument/2006/relationships/hyperlink" Target="https://www.aicomp.cn/notice/notice-3/5435.html" TargetMode="External"/><Relationship Id="rId11" Type="http://schemas.openxmlformats.org/officeDocument/2006/relationships/hyperlink" Target="https://pan.baidu.com/s/1Ar9fYa25nI8yimHqi5o3hg?pwd=2026" TargetMode="External"/><Relationship Id="rId12" Type="http://schemas.openxmlformats.org/officeDocument/2006/relationships/hyperlink" Target="https://nyt.hubei.gov.cn/bmdt/yw/ywtz/sycbgs_9005/202610/t20261010_6030560.shtml" TargetMode="External"/><Relationship Id="rId13" Type="http://schemas.openxmlformats.org/officeDocument/2006/relationships/hyperlink" Target="https://nyt.hubei.gov.cn/bmdt/yw/ywtz/sycbgs_9005/202512/t20251203_5825918.shtml" TargetMode="External"/><Relationship Id="rId14" Type="http://schemas.openxmlformats.org/officeDocument/2006/relationships/hyperlink" Target="https://open-meteo.com/en/docs" TargetMode="External"/><Relationship Id="rId15" Type="http://schemas.openxmlformats.org/officeDocument/2006/relationships/hyperlink" Target="https://open-meteo.com/en/terms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农时窗口项目说明</dc:title>
  <dc:subject>产品范围 技术约束 验收与交付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