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农时窗口 · 许继哲任务说明与验收标准</w:t>
      </w:r>
    </w:p>
    <w:p>
      <w:pPr>
        <w:spacing w:after="80"/>
      </w:pPr>
      <w:r>
        <w:t>方向一：规则采用正式化与技术方案证据链　　版本 1.0　2026年10月20日</w:t>
      </w:r>
    </w:p>
    <w:p>
      <w:pPr>
        <w:spacing w:after="80"/>
      </w:pPr>
      <w:r>
        <w:t>对应任务：A03 正式采用、A04 收口、A05 事务核实、E01 技术方案核心三章、E02 名称与简介</w:t>
      </w:r>
    </w:p>
    <w:p>
      <w:r>
        <w:rPr>
          <w:rFonts w:ascii="宋体" w:hAnsi="宋体" w:eastAsia="宋体"/>
          <w:b/>
          <w:sz w:val="26"/>
        </w:rPr>
        <w:t>一、为什么现在必须先做这件事</w:t>
      </w:r>
    </w:p>
    <w:p>
      <w:pPr>
        <w:spacing w:after="80"/>
      </w:pPr>
      <w:r>
        <w:t>赛事评分表（附件1 第四部分）为：创新性 25、需求分析 15、AI 技术应用 20、项目实施 15、研究结论与应用成效 15、总结与展望 10。</w:t>
      </w:r>
    </w:p>
    <w:p>
      <w:pPr>
        <w:spacing w:after="80"/>
      </w:pPr>
      <w:r>
        <w:t>本作品的核心立意是「农业判断交给可追溯的规则与程序约束，语言理解交给主智能体」。但当前规则仍为建议稿（rule_adoption_development.json 中 formal_adopted 为 0），评委无法据此认定创新性与技术应用的严谨性，相关 55 分缺少证据落点。</w:t>
      </w:r>
    </w:p>
    <w:p>
      <w:pPr>
        <w:spacing w:after="80"/>
      </w:pPr>
      <w:r>
        <w:t>因此本方向不是再补材料，而是把「建议」变成「可签认的结论」，并让每条结论都有证据指针。</w:t>
      </w:r>
    </w:p>
    <w:p>
      <w:r>
        <w:rPr>
          <w:rFonts w:ascii="宋体" w:hAnsi="宋体" w:eastAsia="宋体"/>
          <w:b/>
          <w:sz w:val="26"/>
        </w:rPr>
        <w:t>二、任务说明</w:t>
      </w:r>
    </w:p>
    <w:p>
      <w:pPr>
        <w:spacing w:after="80"/>
      </w:pPr>
      <w:r>
        <w:t>1. 七卡采用正式化</w:t>
      </w:r>
    </w:p>
    <w:p>
      <w:pPr>
        <w:pStyle w:val="ListBullet"/>
        <w:spacing w:after="40"/>
      </w:pPr>
      <w:r>
        <w:t>在既有 A03 采用记录基础上，逐卡补齐：审核人、审核日期、适用范围、限制条件、最终结论。</w:t>
      </w:r>
    </w:p>
    <w:p>
      <w:pPr>
        <w:pStyle w:val="ListBullet"/>
        <w:spacing w:after="40"/>
      </w:pPr>
      <w:r>
        <w:t>沿用已达成口径：C11、C31 限观察记录用途；C23 限「有依据＋已确认问题＋可作业条件」的既有沟渠维护候选；C18、C19、C20、C24 暂缓。若复核后需调整，写明调整理由，不得静默改写。</w:t>
      </w:r>
    </w:p>
    <w:p>
      <w:pPr>
        <w:pStyle w:val="ListBullet"/>
        <w:spacing w:after="40"/>
      </w:pPr>
      <w:r>
        <w:t>不得通过修改原 C 卡、来源索引、原件指纹或 runtime_enabled 来制造已采用状态。</w:t>
      </w:r>
    </w:p>
    <w:p>
      <w:pPr>
        <w:spacing w:after="80"/>
      </w:pPr>
      <w:r>
        <w:t>2. 交付数据文件变更</w:t>
      </w:r>
    </w:p>
    <w:p>
      <w:pPr>
        <w:pStyle w:val="ListBullet"/>
        <w:spacing w:after="40"/>
      </w:pPr>
      <w:r>
        <w:t>把正式结论落到 src/nongshi/data/rule_adoption_development.json：formal_adopted 与每卡 decision_status 改为实际审核状态。字段结构如需扩展，先与金麟哲确认后再改。</w:t>
      </w:r>
    </w:p>
    <w:p>
      <w:pPr>
        <w:pStyle w:val="ListBullet"/>
        <w:spacing w:after="40"/>
      </w:pPr>
      <w:r>
        <w:t>改完必须保证 uv run pytest -q 全绿；检索行为不得因数据改动而变化（暂缓卡仍为 reference）。</w:t>
      </w:r>
    </w:p>
    <w:p>
      <w:pPr>
        <w:spacing w:after="80"/>
      </w:pPr>
      <w:r>
        <w:t>3. 引用支撑率自检</w:t>
      </w:r>
    </w:p>
    <w:p>
      <w:pPr>
        <w:pStyle w:val="ListBullet"/>
        <w:spacing w:after="40"/>
      </w:pPr>
      <w:r>
        <w:t>从系统实际输出的任务依据中抽取全部农业建议条目，逐条核对原文、页码与适用条件。</w:t>
      </w:r>
    </w:p>
    <w:p>
      <w:pPr>
        <w:pStyle w:val="ListBullet"/>
        <w:spacing w:after="40"/>
      </w:pPr>
      <w:r>
        <w:t>产出「建议—原文—页码—适用限制」对照表，给出支撑率（目标不低于 95%）与严重无依据建议数（目标为 0）。</w:t>
      </w:r>
    </w:p>
    <w:p>
      <w:pPr>
        <w:pStyle w:val="ListBullet"/>
        <w:spacing w:after="40"/>
      </w:pPr>
      <w:r>
        <w:t>注明核对人与核对日期；核对结论按文献研究口径表述，不写成专家认证。</w:t>
      </w:r>
    </w:p>
    <w:p>
      <w:pPr>
        <w:spacing w:after="80"/>
      </w:pPr>
      <w:r>
        <w:t>4. 技术方案三章成稿</w:t>
      </w:r>
    </w:p>
    <w:p>
      <w:pPr>
        <w:pStyle w:val="ListBullet"/>
        <w:spacing w:after="40"/>
      </w:pPr>
      <w:r>
        <w:t>按附件2 大纲撰写「一、作品概述（含创新点定位）」「三、AI 技术工具选择与运用」「六、总结与展望」。</w:t>
      </w:r>
    </w:p>
    <w:p>
      <w:pPr>
        <w:pStyle w:val="ListBullet"/>
        <w:spacing w:after="40"/>
      </w:pPr>
      <w:r>
        <w:t>每条主张后附证据指针：文件与行号、测试名、或记录文件路径。没有证据的主张改为待验证。</w:t>
      </w:r>
    </w:p>
    <w:p>
      <w:pPr>
        <w:pStyle w:val="ListBullet"/>
        <w:spacing w:after="40"/>
      </w:pPr>
      <w:r>
        <w:t>创新点建议落在三处：问题定位、规则与程序的分工边界、对照结果对主张的支撑。</w:t>
      </w:r>
    </w:p>
    <w:p>
      <w:pPr>
        <w:spacing w:after="80"/>
      </w:pPr>
      <w:r>
        <w:t>5. A05 参赛事务核实</w:t>
      </w:r>
    </w:p>
    <w:p>
      <w:pPr>
        <w:pStyle w:val="ListBullet"/>
        <w:spacing w:after="40"/>
      </w:pPr>
      <w:r>
        <w:t>逐项核实报名、缴费、成员信息、仓库访问与三人本地启动，并登记金麟哲最新提交。</w:t>
      </w:r>
    </w:p>
    <w:p>
      <w:pPr>
        <w:pStyle w:val="ListBullet"/>
        <w:spacing w:after="40"/>
      </w:pPr>
      <w:r>
        <w:t>产出状态记录与凭据位置；未完成事项写明负责人，不上传凭据到公开仓库。</w:t>
      </w:r>
    </w:p>
    <w:p>
      <w:r>
        <w:rPr>
          <w:rFonts w:ascii="宋体" w:hAnsi="宋体" w:eastAsia="宋体"/>
          <w:b/>
          <w:sz w:val="26"/>
        </w:rPr>
        <w:t>三、验收标准（全部满足才算完成）</w:t>
      </w:r>
    </w:p>
    <w:p>
      <w:pPr>
        <w:spacing w:after="40"/>
        <w:ind w:left="240"/>
      </w:pPr>
      <w:r>
        <w:t>□ 七卡每张都有审核人、审核日期、适用范围、限制条件与最终结论，无待复核遗留。</w:t>
      </w:r>
    </w:p>
    <w:p>
      <w:pPr>
        <w:spacing w:after="40"/>
        <w:ind w:left="240"/>
      </w:pPr>
      <w:r>
        <w:t>□ rule_adoption_development.json 的 formal_adopted 与正式记录一致（不为 0），且 pytest 全绿。</w:t>
      </w:r>
    </w:p>
    <w:p>
      <w:pPr>
        <w:spacing w:after="40"/>
        <w:ind w:left="240"/>
      </w:pPr>
      <w:r>
        <w:t>□ 对照表覆盖全部被审查农业建议，支撑率不低于 95%，严重无依据建议为 0，含核对人与日期。</w:t>
      </w:r>
    </w:p>
    <w:p>
      <w:pPr>
        <w:spacing w:after="40"/>
        <w:ind w:left="240"/>
      </w:pPr>
      <w:r>
        <w:t>□ 技术方案三章定稿（Markdown 源可并入 E01 模板），每条主张附证据指针。</w:t>
      </w:r>
    </w:p>
    <w:p>
      <w:pPr>
        <w:spacing w:after="40"/>
        <w:ind w:left="240"/>
      </w:pPr>
      <w:r>
        <w:t>□ A05 状态记录逐项标注已确认或未确认及凭据位置，不以推测代替。</w:t>
      </w:r>
    </w:p>
    <w:p>
      <w:pPr>
        <w:spacing w:after="40"/>
        <w:ind w:left="240"/>
      </w:pPr>
      <w:r>
        <w:t>□ 全文无「调研了 N 位农户」等与事实不符的表述，无学校、学院、导师信息。</w:t>
      </w:r>
    </w:p>
    <w:p>
      <w:r>
        <w:rPr>
          <w:rFonts w:ascii="宋体" w:hAnsi="宋体" w:eastAsia="宋体"/>
          <w:b/>
          <w:sz w:val="26"/>
        </w:rPr>
        <w:t>四、依赖与边界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事项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与李思默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规则适用范围的独立核对由李思默完成；分歧逐条记录，不互相代签。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与金麟哲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数据文件结构变更、检索行为影响需金确认；工程测试由金复跑。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红线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不修改规则原件与指纹；不把建议写成正式审核；不宣称增产或节肥收益。</w:t>
            </w:r>
          </w:p>
        </w:tc>
      </w:tr>
    </w:tbl>
    <w:p>
      <w:r>
        <w:rPr>
          <w:rFonts w:ascii="宋体" w:hAnsi="宋体" w:eastAsia="宋体"/>
          <w:b/>
          <w:sz w:val="26"/>
        </w:rPr>
        <w:t>五、交付位置与时间</w:t>
      </w:r>
    </w:p>
    <w:p>
      <w:pPr>
        <w:spacing w:after="80"/>
      </w:pPr>
      <w:r>
        <w:t>正式采用记录与对照表：任务落实_20261019/A03_规则采用记录/</w:t>
      </w:r>
    </w:p>
    <w:p>
      <w:pPr>
        <w:spacing w:after="80"/>
      </w:pPr>
      <w:r>
        <w:t>技术方案三章草稿：AIC claude code/技术报告/</w:t>
      </w:r>
    </w:p>
    <w:p>
      <w:pPr>
        <w:spacing w:after="80"/>
      </w:pPr>
      <w:r>
        <w:t>A05 记录：任务落实_20261019/</w:t>
      </w:r>
    </w:p>
    <w:p>
      <w:pPr>
        <w:spacing w:after="80"/>
      </w:pPr>
      <w:r>
        <w:t>时间：采用记录与数据文件 10 月 22 日前；三章草稿 10 月 24 日前；A05 10 月 21 日前。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