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农时窗口第一步资料补齐与执行约定</w:t>
      </w:r>
    </w:p>
    <w:p>
      <w:pPr>
        <w:pStyle w:val="Subtitle"/>
      </w:pPr>
      <w:r>
        <w:t>A02与D01格式准备 2026年10月20日</w:t>
      </w:r>
    </w:p>
    <w:p>
      <w:r>
        <w:t>A02内容复核无问题已按用户反馈记录；已从仓库补取A01原件，核对最新字段、可执行接口、天气模拟及计时方法。需求报告、执行约定、真实运行证据与范围同步工作稿随包交付。现在可以开始独立案例编写；正式封存与初测仍须保留A03实际状态并处理下列工程问题。</w:t>
      </w:r>
    </w:p>
    <w:p>
      <w:pPr>
        <w:pStyle w:val="Heading1"/>
      </w:pPr>
      <w:r>
        <w:t>本轮确认结果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85" w:type="dxa"/>
          <w:right w:w="85" w:type="dxa"/>
        </w:tblCellMar>
      </w:tblPr>
      <w:tblGrid>
        <w:gridCol w:w="1247"/>
        <w:gridCol w:w="3005"/>
        <w:gridCol w:w="5386"/>
      </w:tblGrid>
      <w:tr>
        <w:trPr>
          <w:cantSplit/>
          <w:tblHeader/>
        </w:trPr>
        <w:tc>
          <w:tcPr>
            <w:tcW w:type="dxa" w:w="1247"/>
            <w:vAlign w:val="center"/>
            <w:shd w:fill="DFEAF0"/>
          </w:tcPr>
          <w:p>
            <w:pPr>
              <w:spacing w:before="40" w:after="40" w:line="269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事项</w:t>
            </w:r>
          </w:p>
        </w:tc>
        <w:tc>
          <w:tcPr>
            <w:tcW w:type="dxa" w:w="3005"/>
            <w:vAlign w:val="center"/>
            <w:shd w:fill="DFEAF0"/>
          </w:tcPr>
          <w:p>
            <w:pPr>
              <w:spacing w:before="40" w:after="40" w:line="269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本轮处理</w:t>
            </w:r>
          </w:p>
        </w:tc>
        <w:tc>
          <w:tcPr>
            <w:tcW w:type="dxa" w:w="5386"/>
            <w:vAlign w:val="center"/>
            <w:shd w:fill="DFEAF0"/>
          </w:tcPr>
          <w:p>
            <w:pPr>
              <w:spacing w:before="40" w:after="40" w:line="269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证据与边界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spacing w:before="40" w:after="4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A02</w:t>
            </w:r>
          </w:p>
        </w:tc>
        <w:tc>
          <w:tcPr>
            <w:tcW w:type="dxa" w:w="3005"/>
            <w:vAlign w:val="center"/>
          </w:tcPr>
          <w:p>
            <w:pPr>
              <w:spacing w:before="40" w:after="4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记录用户反馈“复核没有问题”</w:t>
            </w:r>
          </w:p>
        </w:tc>
        <w:tc>
          <w:tcPr>
            <w:tcW w:type="dxa" w:w="5386"/>
            <w:vAlign w:val="center"/>
          </w:tcPr>
          <w:p>
            <w:pPr>
              <w:spacing w:before="40" w:after="4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2026年10月20日本聊天；不补造许的签字页。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spacing w:before="40" w:after="4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A01原件</w:t>
            </w:r>
          </w:p>
        </w:tc>
        <w:tc>
          <w:tcPr>
            <w:tcW w:type="dxa" w:w="3005"/>
            <w:vAlign w:val="center"/>
          </w:tcPr>
          <w:p>
            <w:pPr>
              <w:spacing w:before="40" w:after="4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已从main取得并逐项核对</w:t>
            </w:r>
          </w:p>
        </w:tc>
        <w:tc>
          <w:tcPr>
            <w:tcW w:type="dxa" w:w="5386"/>
            <w:vAlign w:val="center"/>
          </w:tcPr>
          <w:p>
            <w:pPr>
              <w:spacing w:before="40" w:after="4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版本1.1；许已确认，金李待核对为原件原有状态。李任务侧本轮资料对齐已完成，金的签认未见新增。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spacing w:before="40" w:after="4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字段格式</w:t>
            </w:r>
          </w:p>
        </w:tc>
        <w:tc>
          <w:tcPr>
            <w:tcW w:type="dxa" w:w="3005"/>
            <w:vAlign w:val="center"/>
          </w:tcPr>
          <w:p>
            <w:pPr>
              <w:spacing w:before="40" w:after="4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schema_v3为草稿与事件入口</w:t>
            </w:r>
          </w:p>
        </w:tc>
        <w:tc>
          <w:tcPr>
            <w:tcW w:type="dxa" w:w="5386"/>
            <w:vAlign w:val="center"/>
          </w:tcPr>
          <w:p>
            <w:pPr>
              <w:spacing w:before="40" w:after="4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七天完整、未知null；补上最新版6个字段；每例外围元数据单独保存。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spacing w:before="40" w:after="4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接口联调</w:t>
            </w:r>
          </w:p>
        </w:tc>
        <w:tc>
          <w:tcPr>
            <w:tcW w:type="dxa" w:w="3005"/>
            <w:vAlign w:val="center"/>
          </w:tcPr>
          <w:p>
            <w:pPr>
              <w:spacing w:before="40" w:after="4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3例新版重跑，24项开发回归通过</w:t>
            </w:r>
          </w:p>
        </w:tc>
        <w:tc>
          <w:tcPr>
            <w:tcW w:type="dxa" w:w="5386"/>
            <w:vAlign w:val="center"/>
          </w:tcPr>
          <w:p>
            <w:pPr>
              <w:spacing w:before="40" w:after="4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均为模拟开发检查，不计30例留出或6例独立边界。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spacing w:before="40" w:after="4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执行约定</w:t>
            </w:r>
          </w:p>
        </w:tc>
        <w:tc>
          <w:tcPr>
            <w:tcW w:type="dxa" w:w="3005"/>
            <w:vAlign w:val="center"/>
          </w:tcPr>
          <w:p>
            <w:pPr>
              <w:spacing w:before="40" w:after="4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明确前置、固定时钟、天气模拟和计时</w:t>
            </w:r>
          </w:p>
        </w:tc>
        <w:tc>
          <w:tcPr>
            <w:tcW w:type="dxa" w:w="5386"/>
            <w:vAlign w:val="center"/>
          </w:tcPr>
          <w:p>
            <w:pPr>
              <w:spacing w:before="40" w:after="4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接口实际复查，附可复现脚本；不冒充仓库已有三组统一运行器。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spacing w:before="40" w:after="4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主本同步</w:t>
            </w:r>
          </w:p>
        </w:tc>
        <w:tc>
          <w:tcPr>
            <w:tcW w:type="dxa" w:w="3005"/>
            <w:vAlign w:val="center"/>
          </w:tcPr>
          <w:p>
            <w:pPr>
              <w:spacing w:before="40" w:after="4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提供两份Markdown同步稿与补丁</w:t>
            </w:r>
          </w:p>
        </w:tc>
        <w:tc>
          <w:tcPr>
            <w:tcW w:type="dxa" w:w="5386"/>
            <w:vAlign w:val="center"/>
          </w:tcPr>
          <w:p>
            <w:pPr>
              <w:spacing w:before="40" w:after="4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尚未上传；10月18日Word原件未覆盖，不能据此宣称全库同步完成。</w:t>
            </w:r>
          </w:p>
        </w:tc>
      </w:tr>
    </w:tbl>
    <w:p>
      <w:pPr>
        <w:spacing w:after="20"/>
      </w:pPr>
    </w:p>
    <w:p>
      <w:r>
        <w:t>核对基线为GitHub linzhejin/field-planner的main提交de9c8e2e65af3bb18fca798dca8cf41b1d9303a7。来源为任务落实_20261019中的A01原件、范围同步建议、第一阶段交接清单、A03交接与采用建议，以及本提交的实际代码。本轮只读取该版本并在独立快照上验证，原本地工作副本未合并或覆盖。</w:t>
      </w:r>
    </w:p>
    <w:p>
      <w:pPr>
        <w:pStyle w:val="Heading1"/>
        <w:pageBreakBefore/>
      </w:pPr>
      <w:r>
        <w:t>最新版输入字段补充</w:t>
      </w:r>
    </w:p>
    <w:p>
      <w:r>
        <w:t>10月19日收到的清单仍可作为基础。最新提交另外提供以下6项，编写完整案例时必须显式给值或null，不能通过田型标签或模型推断。田型相关事实可以重叠；这些字段记录本身不构成规则适用结论。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85" w:type="dxa"/>
          <w:right w:w="85" w:type="dxa"/>
        </w:tblCellMar>
      </w:tblPr>
      <w:tblGrid>
        <w:gridCol w:w="2324"/>
        <w:gridCol w:w="4025"/>
        <w:gridCol w:w="3288"/>
      </w:tblGrid>
      <w:tr>
        <w:trPr>
          <w:cantSplit/>
          <w:tblHeader/>
        </w:trPr>
        <w:tc>
          <w:tcPr>
            <w:tcW w:type="dxa" w:w="2324"/>
            <w:vAlign w:val="center"/>
            <w:shd w:fill="DFEAF0"/>
          </w:tcPr>
          <w:p>
            <w:pPr>
              <w:spacing w:before="40" w:after="40" w:line="269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字段</w:t>
            </w:r>
          </w:p>
        </w:tc>
        <w:tc>
          <w:tcPr>
            <w:tcW w:type="dxa" w:w="4025"/>
            <w:vAlign w:val="center"/>
            <w:shd w:fill="DFEAF0"/>
          </w:tcPr>
          <w:p>
            <w:pPr>
              <w:spacing w:before="40" w:after="40" w:line="269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含义与取值</w:t>
            </w:r>
          </w:p>
        </w:tc>
        <w:tc>
          <w:tcPr>
            <w:tcW w:type="dxa" w:w="3288"/>
            <w:vAlign w:val="center"/>
            <w:shd w:fill="DFEAF0"/>
          </w:tcPr>
          <w:p>
            <w:pPr>
              <w:spacing w:before="40" w:after="40" w:line="269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当前入口</w:t>
            </w:r>
          </w:p>
        </w:tc>
      </w:tr>
      <w:tr>
        <w:trPr>
          <w:cantSplit/>
        </w:trPr>
        <w:tc>
          <w:tcPr>
            <w:tcW w:type="dxa" w:w="2324"/>
            <w:vAlign w:val="center"/>
          </w:tcPr>
          <w:p>
            <w:pPr>
              <w:spacing w:before="40" w:after="4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rice_stubble</w:t>
            </w:r>
          </w:p>
        </w:tc>
        <w:tc>
          <w:tcPr>
            <w:tcW w:type="dxa" w:w="4025"/>
            <w:vAlign w:val="center"/>
          </w:tcPr>
          <w:p>
            <w:pPr>
              <w:spacing w:before="40" w:after="4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是否稻茬田：true／false／null</w:t>
            </w:r>
          </w:p>
        </w:tc>
        <w:tc>
          <w:tcPr>
            <w:tcW w:type="dxa" w:w="3288"/>
            <w:vAlign w:val="center"/>
          </w:tcPr>
          <w:p>
            <w:pPr>
              <w:spacing w:before="40" w:after="4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主表单与FieldProfile</w:t>
            </w:r>
          </w:p>
        </w:tc>
      </w:tr>
      <w:tr>
        <w:trPr>
          <w:cantSplit/>
        </w:trPr>
        <w:tc>
          <w:tcPr>
            <w:tcW w:type="dxa" w:w="2324"/>
            <w:vAlign w:val="center"/>
          </w:tcPr>
          <w:p>
            <w:pPr>
              <w:spacing w:before="40" w:after="4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cold_waterlogged</w:t>
            </w:r>
          </w:p>
        </w:tc>
        <w:tc>
          <w:tcPr>
            <w:tcW w:type="dxa" w:w="4025"/>
            <w:vAlign w:val="center"/>
          </w:tcPr>
          <w:p>
            <w:pPr>
              <w:spacing w:before="40" w:after="4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是否冷浸：true／false／null</w:t>
            </w:r>
          </w:p>
        </w:tc>
        <w:tc>
          <w:tcPr>
            <w:tcW w:type="dxa" w:w="3288"/>
            <w:vAlign w:val="center"/>
          </w:tcPr>
          <w:p>
            <w:pPr>
              <w:spacing w:before="40" w:after="4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主表单与FieldProfile；不自动诊断</w:t>
            </w:r>
          </w:p>
        </w:tc>
      </w:tr>
      <w:tr>
        <w:trPr>
          <w:cantSplit/>
        </w:trPr>
        <w:tc>
          <w:tcPr>
            <w:tcW w:type="dxa" w:w="2324"/>
            <w:vAlign w:val="center"/>
          </w:tcPr>
          <w:p>
            <w:pPr>
              <w:spacing w:before="40" w:after="4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terrain</w:t>
            </w:r>
          </w:p>
        </w:tc>
        <w:tc>
          <w:tcPr>
            <w:tcW w:type="dxa" w:w="4025"/>
            <w:vAlign w:val="center"/>
          </w:tcPr>
          <w:p>
            <w:pPr>
              <w:spacing w:before="40" w:after="4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lowland／hilly／flat／other／null</w:t>
            </w:r>
          </w:p>
        </w:tc>
        <w:tc>
          <w:tcPr>
            <w:tcW w:type="dxa" w:w="3288"/>
            <w:vAlign w:val="center"/>
          </w:tcPr>
          <w:p>
            <w:pPr>
              <w:spacing w:before="40" w:after="4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主表单与FieldProfile</w:t>
            </w:r>
          </w:p>
        </w:tc>
      </w:tr>
      <w:tr>
        <w:trPr>
          <w:cantSplit/>
        </w:trPr>
        <w:tc>
          <w:tcPr>
            <w:tcW w:type="dxa" w:w="2324"/>
            <w:vAlign w:val="center"/>
          </w:tcPr>
          <w:p>
            <w:pPr>
              <w:spacing w:before="40" w:after="4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pest_signs</w:t>
            </w:r>
          </w:p>
        </w:tc>
        <w:tc>
          <w:tcPr>
            <w:tcW w:type="dxa" w:w="4025"/>
            <w:vAlign w:val="center"/>
          </w:tcPr>
          <w:p>
            <w:pPr>
              <w:spacing w:before="40" w:after="4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是否观察到虫害迹象：true／false／null</w:t>
            </w:r>
          </w:p>
        </w:tc>
        <w:tc>
          <w:tcPr>
            <w:tcW w:type="dxa" w:w="3288"/>
            <w:vAlign w:val="center"/>
          </w:tcPr>
          <w:p>
            <w:pPr>
              <w:spacing w:before="40" w:after="4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FieldProfile及观察反馈事件</w:t>
            </w:r>
          </w:p>
        </w:tc>
      </w:tr>
      <w:tr>
        <w:trPr>
          <w:cantSplit/>
        </w:trPr>
        <w:tc>
          <w:tcPr>
            <w:tcW w:type="dxa" w:w="2324"/>
            <w:vAlign w:val="center"/>
          </w:tcPr>
          <w:p>
            <w:pPr>
              <w:spacing w:before="40" w:after="4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missing_seedlings</w:t>
            </w:r>
          </w:p>
        </w:tc>
        <w:tc>
          <w:tcPr>
            <w:tcW w:type="dxa" w:w="4025"/>
            <w:vAlign w:val="center"/>
          </w:tcPr>
          <w:p>
            <w:pPr>
              <w:spacing w:before="40" w:after="4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是否缺苗：true／false／null</w:t>
            </w:r>
          </w:p>
        </w:tc>
        <w:tc>
          <w:tcPr>
            <w:tcW w:type="dxa" w:w="3288"/>
            <w:vAlign w:val="center"/>
          </w:tcPr>
          <w:p>
            <w:pPr>
              <w:spacing w:before="40" w:after="4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FieldProfile及观察反馈事件</w:t>
            </w:r>
          </w:p>
        </w:tc>
      </w:tr>
      <w:tr>
        <w:trPr>
          <w:cantSplit/>
        </w:trPr>
        <w:tc>
          <w:tcPr>
            <w:tcW w:type="dxa" w:w="2324"/>
            <w:vAlign w:val="center"/>
          </w:tcPr>
          <w:p>
            <w:pPr>
              <w:spacing w:before="40" w:after="4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crowding</w:t>
            </w:r>
          </w:p>
        </w:tc>
        <w:tc>
          <w:tcPr>
            <w:tcW w:type="dxa" w:w="4025"/>
            <w:vAlign w:val="center"/>
          </w:tcPr>
          <w:p>
            <w:pPr>
              <w:spacing w:before="40" w:after="4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是否拥挤：true／false／null</w:t>
            </w:r>
          </w:p>
        </w:tc>
        <w:tc>
          <w:tcPr>
            <w:tcW w:type="dxa" w:w="3288"/>
            <w:vAlign w:val="center"/>
          </w:tcPr>
          <w:p>
            <w:pPr>
              <w:spacing w:before="40" w:after="4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FieldProfile及观察反馈事件</w:t>
            </w:r>
          </w:p>
        </w:tc>
      </w:tr>
    </w:tbl>
    <w:p>
      <w:pPr>
        <w:spacing w:after="20"/>
      </w:pPr>
    </w:p>
    <w:p>
      <w:pPr>
        <w:pStyle w:val="Heading1"/>
      </w:pPr>
      <w:r>
        <w:t>草稿与反馈格式</w:t>
      </w:r>
    </w:p>
    <w:p>
      <w:r>
        <w:t>地块档案、位置、起点与七天条件使用FieldDraftV3；反馈使用FactEventInputV3内的FeedbackV2。完成、观察、作业条件、资源四类分开记录。未知JSON用null；确认标志false表示未确认，不等于农业事实为否。时长为用户估计的正分钟；0资源分钟表示当天无人力。</w:t>
      </w:r>
    </w:p>
    <w:p>
      <w:r>
        <w:t>每例另存案例ID、分类、固定接收时间、按顺序用户消息、来源编号、未知项、模拟响应及允许／禁止行为。参考约束和评分表由评测方单独管理，不放进执行输入或模型上下文。样例继续使用既有公开J01至J03，新增字段默认null；没有把公开样例改成独立题库。</w:t>
      </w:r>
    </w:p>
    <w:p>
      <w:pPr>
        <w:pStyle w:val="Heading1"/>
      </w:pPr>
      <w:r>
        <w:t>前置关系的工作入口</w:t>
      </w:r>
    </w:p>
    <w:p>
      <w:r>
        <w:t>明确前置写入profile.maintenance_prerequisites，引用本地块巡田任务ID，例如contract-field-I；结构化保存后应回读确认。已实测维护开始不早于前置巡田结束。主表单没有相应入口且重存会清空该列表，修复前使用结构化入口并避免再经主表单重存。补充说明不会自动成为前置规则。</w:t>
      </w:r>
    </w:p>
    <w:p>
      <w:pPr>
        <w:pStyle w:val="Heading1"/>
        <w:pageBreakBefore/>
      </w:pPr>
      <w:r>
        <w:t>本轮执行约定版本一</w:t>
      </w:r>
    </w:p>
    <w:p>
      <w:pPr>
        <w:pStyle w:val="Heading2"/>
      </w:pPr>
      <w:r>
        <w:t>固定时间与天气模拟</w:t>
      </w:r>
    </w:p>
    <w:p>
      <w:r>
        <w:t>结构化流程通过WorkbenchServiceV3的now和today注入案例时间；天气通过OpenMeteoService的now和httpx.MockTransport注入固定七天响应。已验证完整响应、缺日期和超时三种情况，全程没有真实天气请求。天气与现场作业条件仍分别确认。</w:t>
      </w:r>
    </w:p>
    <w:p>
      <w:r>
        <w:t>Agent.run目前直接读取系统UTC时间，尚无received_at参数。本轮离线适配器临时绑定Agent模块的datetime，再退出恢复；已实测系统提示中的接收时间为案例指定的北京时间2026年10月19日16:00。该适配器只用于模拟接口验证，不把模拟模型回复当作真实Agent能力成绩。正式三组工具应采用同一时间脚本并保存注入方式。</w:t>
      </w:r>
    </w:p>
    <w:p>
      <w:pPr>
        <w:pStyle w:val="Heading2"/>
      </w:pPr>
      <w:r>
        <w:t>本地计算计时口径</w:t>
      </w:r>
    </w:p>
    <w:p>
      <w:r>
        <w:t>依据R06及用户授权，本轮评测准备采用：固定环境下，预先构造输入和加载规则，顺序调用build_plan_v2生成三份各覆盖七天的单地块独立计划，累计纯计算耗时。网络、模型、数据库、页面渲染、输入构造和规则首次加载均在计时之外，另记端到端耗时。它不检验三地共享资源可执行性。</w:t>
      </w:r>
    </w:p>
    <w:p>
      <w:r>
        <w:t>试跑使用公开模拟样例，预热1轮，记录30轮，每轮3份计划；逐轮保留耗时、失败数、2秒内轮数，并报告中位数与最近秩法P95。示例本次为30／30轮在2秒内，中位数0.361毫秒、P95为0.547毫秒。该结果只证明计时方法可运行，不是正式独立评测或产品整体响应达标成绩。正式样本和环境仍须在运行前锁定。</w:t>
      </w:r>
    </w:p>
    <w:p>
      <w:pPr>
        <w:pStyle w:val="Heading2"/>
      </w:pPr>
      <w:r>
        <w:t>联网生成与三组对照</w:t>
      </w:r>
    </w:p>
    <w:p>
      <w:r>
        <w:t>联网20秒目标继续单列，记录真实端到端响应、失败耗时、调用次数、token和费用。当前仓库未找到直接执行30例A／B／C三组的统一运行器；现有接口和单元测试不能替代90份初测。D01编题可先进行，D03开始前再固定三组模型、参数、输入、天气快照、反馈脚本和匿名输出方式。失败保留，重试另记。</w:t>
      </w:r>
    </w:p>
    <w:p>
      <w:pPr>
        <w:pStyle w:val="Heading1"/>
        <w:pageBreakBefore/>
      </w:pPr>
      <w:r>
        <w:t>实际检查与未闭合问题</w:t>
      </w:r>
    </w:p>
    <w:p>
      <w:r>
        <w:t>本轮实际结果：J01完整字段、J02关键未知、J03四类反馈三个结构化样例均通过；24项针对性开发回归通过，用时5.53秒。独立接口复查验证了前置顺序、固定模型提示时间、天气完整／缺日期／超时及计时试跑，同时实际复现了主表单清空前置关系。原始输出、SQLite、测试XML及日志随包保存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85" w:type="dxa"/>
          <w:right w:w="85" w:type="dxa"/>
        </w:tblCellMar>
      </w:tblPr>
      <w:tblGrid>
        <w:gridCol w:w="1020"/>
        <w:gridCol w:w="4365"/>
        <w:gridCol w:w="4252"/>
      </w:tblGrid>
      <w:tr>
        <w:trPr>
          <w:cantSplit/>
          <w:tblHeader/>
        </w:trPr>
        <w:tc>
          <w:tcPr>
            <w:tcW w:type="dxa" w:w="1020"/>
            <w:vAlign w:val="center"/>
            <w:shd w:fill="DFEAF0"/>
          </w:tcPr>
          <w:p>
            <w:pPr>
              <w:spacing w:before="40" w:after="4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编号</w:t>
            </w:r>
          </w:p>
        </w:tc>
        <w:tc>
          <w:tcPr>
            <w:tcW w:type="dxa" w:w="4365"/>
            <w:vAlign w:val="center"/>
            <w:shd w:fill="DFEAF0"/>
          </w:tcPr>
          <w:p>
            <w:pPr>
              <w:spacing w:before="40" w:after="40" w:line="269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发现与处理</w:t>
            </w:r>
          </w:p>
        </w:tc>
        <w:tc>
          <w:tcPr>
            <w:tcW w:type="dxa" w:w="4252"/>
            <w:vAlign w:val="center"/>
            <w:shd w:fill="DFEAF0"/>
          </w:tcPr>
          <w:p>
            <w:pPr>
              <w:spacing w:before="40" w:after="40" w:line="269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对后续工作的影响</w:t>
            </w:r>
          </w:p>
        </w:tc>
      </w:tr>
      <w:tr>
        <w:trPr>
          <w:cantSplit/>
        </w:trPr>
        <w:tc>
          <w:tcPr>
            <w:tcW w:type="dxa" w:w="1020"/>
            <w:vAlign w:val="center"/>
          </w:tcPr>
          <w:p>
            <w:pPr>
              <w:spacing w:before="40" w:after="4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SYS-01</w:t>
            </w:r>
          </w:p>
        </w:tc>
        <w:tc>
          <w:tcPr>
            <w:tcW w:type="dxa" w:w="4365"/>
            <w:vAlign w:val="center"/>
          </w:tcPr>
          <w:p>
            <w:pPr>
              <w:spacing w:before="40" w:after="4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主表单重存将已有前置列表清空；已通过无浏览器界面测试复现。</w:t>
            </w:r>
          </w:p>
        </w:tc>
        <w:tc>
          <w:tcPr>
            <w:tcW w:type="dxa" w:w="4252"/>
            <w:vAlign w:val="center"/>
          </w:tcPr>
          <w:p>
            <w:pPr>
              <w:spacing w:before="40" w:after="4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金修复前，经结构化入口保存并回读；该页面路径保留未通过，不能用接口成功覆盖。</w:t>
            </w:r>
          </w:p>
        </w:tc>
      </w:tr>
      <w:tr>
        <w:trPr>
          <w:cantSplit/>
        </w:trPr>
        <w:tc>
          <w:tcPr>
            <w:tcW w:type="dxa" w:w="1020"/>
            <w:vAlign w:val="center"/>
          </w:tcPr>
          <w:p>
            <w:pPr>
              <w:spacing w:before="40" w:after="4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SYS-02</w:t>
            </w:r>
          </w:p>
        </w:tc>
        <w:tc>
          <w:tcPr>
            <w:tcW w:type="dxa" w:w="4365"/>
            <w:vAlign w:val="center"/>
          </w:tcPr>
          <w:p>
            <w:pPr>
              <w:spacing w:before="40" w:after="4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模型接收时间未提供注入参数；本轮离线适配器已验证。</w:t>
            </w:r>
          </w:p>
        </w:tc>
        <w:tc>
          <w:tcPr>
            <w:tcW w:type="dxa" w:w="4252"/>
            <w:vAlign w:val="center"/>
          </w:tcPr>
          <w:p>
            <w:pPr>
              <w:spacing w:before="40" w:after="4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案例时间可以固定；正式三组工具应统一并保留适配日志。</w:t>
            </w:r>
          </w:p>
        </w:tc>
      </w:tr>
      <w:tr>
        <w:trPr>
          <w:cantSplit/>
        </w:trPr>
        <w:tc>
          <w:tcPr>
            <w:tcW w:type="dxa" w:w="1020"/>
            <w:vAlign w:val="center"/>
          </w:tcPr>
          <w:p>
            <w:pPr>
              <w:spacing w:before="40" w:after="4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DOC-01</w:t>
            </w:r>
          </w:p>
        </w:tc>
        <w:tc>
          <w:tcPr>
            <w:tcW w:type="dxa" w:w="4365"/>
            <w:vAlign w:val="center"/>
          </w:tcPr>
          <w:p>
            <w:pPr>
              <w:spacing w:before="40" w:after="4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A01金的确认未见新增；产品、总清单仍含旧范围，已备同步稿及补丁。</w:t>
            </w:r>
          </w:p>
        </w:tc>
        <w:tc>
          <w:tcPr>
            <w:tcW w:type="dxa" w:w="4252"/>
            <w:vAlign w:val="center"/>
          </w:tcPr>
          <w:p>
            <w:pPr>
              <w:spacing w:before="40" w:after="4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按A01原件编题；不伪造签认，不宣称Word与全库已同步完成。</w:t>
            </w:r>
          </w:p>
        </w:tc>
      </w:tr>
      <w:tr>
        <w:trPr>
          <w:cantSplit/>
        </w:trPr>
        <w:tc>
          <w:tcPr>
            <w:tcW w:type="dxa" w:w="1020"/>
            <w:vAlign w:val="center"/>
          </w:tcPr>
          <w:p>
            <w:pPr>
              <w:spacing w:before="40" w:after="4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RUN-01</w:t>
            </w:r>
          </w:p>
        </w:tc>
        <w:tc>
          <w:tcPr>
            <w:tcW w:type="dxa" w:w="4365"/>
            <w:vAlign w:val="center"/>
          </w:tcPr>
          <w:p>
            <w:pPr>
              <w:spacing w:before="40" w:after="4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main未找到三组统一初测运行器。</w:t>
            </w:r>
          </w:p>
        </w:tc>
        <w:tc>
          <w:tcPr>
            <w:tcW w:type="dxa" w:w="4252"/>
            <w:vAlign w:val="center"/>
          </w:tcPr>
          <w:p>
            <w:pPr>
              <w:spacing w:before="40" w:after="4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不阻止独立编题；D03开始前需有可复现的三组执行版本。</w:t>
            </w:r>
          </w:p>
        </w:tc>
      </w:tr>
    </w:tbl>
    <w:p>
      <w:pPr>
        <w:spacing w:after="20"/>
      </w:pPr>
    </w:p>
    <w:p>
      <w:r>
        <w:t>A03规则范围仍按原件状态处理：C11与C31限观察记录，C23限有依据、实际问题与确认需求的既有沟渠维护候选；C18、C19、C20、C24相关自动判断继续暂缓。这些是采用建议，不把pending_review改成adopted，不改runtime_enabled。取得依据不等于农业复核或正式采用完成。</w:t>
      </w:r>
    </w:p>
    <w:p>
      <w:pPr>
        <w:pStyle w:val="Heading1"/>
      </w:pPr>
      <w:r>
        <w:t>接下来的顺序</w:t>
      </w:r>
    </w:p>
    <w:p>
      <w:r>
        <w:t>先按本约定列30例＋6例覆盖表并独立编写；随后由许独立推导参考约束，核对A03最终采用边界后封存；金提供稳定版本与统一工具后再做正式盲评和体验测试。公开开发案例、三例联调、24项回归及计时试跑均不得计入留出分母。</w:t>
      </w:r>
    </w:p>
    <w:p>
      <w:r>
        <w:t>首轮接口复查在沙箱中停滞后已中止，日志和模拟数据库保留；随后在本机重新运行完成，两个尝试分开保存。用户反馈、团队签认、代码复查和正式实测分别记录。</w:t>
      </w:r>
    </w:p>
    <w:sectPr w:rsidR="00FC693F" w:rsidRPr="0006063C" w:rsidSect="00034616">
      <w:footerReference w:type="default" r:id="rId9"/>
      <w:pgSz w:w="11906" w:h="16838"/>
      <w:pgMar w:top="1020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8" w:lineRule="auto" w:after="140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40" w:line="288" w:lineRule="auto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 w:line="288" w:lineRule="auto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88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288" w:lineRule="auto" w:after="140"/>
    </w:pPr>
    <w:rPr>
      <w:rFonts w:asciiTheme="majorHAnsi" w:eastAsiaTheme="majorEastAsia" w:hAnsiTheme="majorHAnsi" w:cstheme="majorBidi" w:ascii="Microsoft YaHei" w:hAnsi="Microsoft YaHei" w:eastAsia="Microsoft YaHei"/>
      <w:i/>
      <w:iCs/>
      <w:color w:val="000000"/>
      <w:spacing w:val="15"/>
      <w:sz w:val="21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农时窗口第一步资料补齐与执行约定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