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8" w:name="Xf9efdcf3a8aa1289d080d67bba35eb019727515"/>
    <w:p>
      <w:pPr>
        <w:pStyle w:val="Heading1"/>
      </w:pPr>
      <w:r>
        <w:rPr>
          <w:rStyle w:val="SectionNumber"/>
        </w:rPr>
        <w:t xml:space="preserve">1</w:t>
      </w:r>
      <w:r>
        <w:tab/>
      </w:r>
      <w:r>
        <w:t xml:space="preserve">Cell-context programmes across the ALS-FTD spectrum under external same-nucleus multiome testing</w:t>
      </w:r>
    </w:p>
    <w:p>
      <w:pPr>
        <w:pStyle w:val="FirstParagraph"/>
      </w:pPr>
      <w:r>
        <w:t xml:space="preserve">Running title: ALS-FTD programme portability</w:t>
      </w:r>
    </w:p>
    <w:p>
      <w:pPr>
        <w:pStyle w:val="BodyText"/>
      </w:pPr>
      <w:r>
        <w:t xml:space="preserve">Article type: Original Article</w:t>
      </w:r>
    </w:p>
    <w:bookmarkStart w:id="9" w:name="abstract"/>
    <w:p>
      <w:pPr>
        <w:pStyle w:val="Heading2"/>
      </w:pPr>
      <w:r>
        <w:rPr>
          <w:rStyle w:val="SectionNumber"/>
        </w:rPr>
        <w:t xml:space="preserve">1.1</w:t>
      </w:r>
      <w:r>
        <w:tab/>
      </w:r>
      <w:r>
        <w:t xml:space="preserve">Abstract</w:t>
      </w:r>
    </w:p>
    <w:p>
      <w:pPr>
        <w:pStyle w:val="FirstParagraph"/>
      </w:pPr>
      <w:r>
        <w:t xml:space="preserve">Amyotrophic lateral sclerosis (ALS) and frontotemporal dementia (FTD) form a clinical and pathological spectrum linked by C9orf72 repeat expansion and TDP-43 proteinopathy, yet the portability of cell-type programmes across human brain cohorts remains unclear. We used donor-aware pseudobulk modelling and an evidence hierarchy to analyse public single-nucleus transcriptomic, chromatin-accessibility and paired multiome datasets. Across 63 exactly matched axes in the two C9 cohorts, 39 (61.9%) agreed in direction (exact binomial P = 0.077, so overall concordance is indistinguishable from chance); agreement instead ran along family lines. Axon development, small-GTPase signalling and synapse/junction assembly shared direction in 21 of 27 pooled axes (77.8%, P = 0.006), mitochondrial energy in only 3 of 9. Thirteen axes passed the strict dual-cohort gate of same direction, cohort-specific global FDR control and donor leave-one-out stability. We then froze seven mechanism families and 17 leading-edge genes before testing an additional motor-cortex same-nucleus RNA-ATAC cohort of 79 donors and 180,016 nuclei. In this external diagnostic cohort, 40 of 126 programme axes passed within-cohort global FDR, donor-omission, technical, age and 12-surrogate-variable gates, including 10 ALS-versus-control axes. Attrition across the five prespecified gates fell almost entirely on significance thresholds (76 of 86 dropped axes; the donor-omission gate removed none), and no ALS-versus-control axis kept a significant, same-sign direction in all three diagnostic cohorts. That gate was structurally hard to pass - its median attainable probability across the 21 estimable glial axes was 1.2% - yet the three mitochondrial axes with the best odds of passing (0.66-1.00) flipped direction, so the three-cohort zero reflects both unattainability and genuine reversal. Fourteen frozen single-gene axes replicated within the 79-donor cohort, all in contrasts involving ALS-FTD, but none supported a universal ALS biomarker. One STARD13 promoter peak passed the primary peak-wide FDR and narrowly missed the technical-adjusted peak-wide threshold; no candidate satisfied the complete RNA-difference, accessibility-difference and peak-gene-association gate. A separate pathology-graded multiome cohort associated increasing phosphorylated TDP-43 burden with lower astrocytic protein-stabilization expression and predominantly oligodendroglial accessibility differences. In two independent iPSC cortical-neuron TDP-43 knockdown lines (each validated by TARDBP autodepletion), knockdown effects ran opposite to glial pTDP disease trends in all three glial populations of both lines (6/6, P = 0.031), while the inducible chaperone genes HSPH1, DNAJB1 and CHORDC1 fell consistently. None of the programme gene sets was enriched for germline risk in the largest ALS GWAS (29,612 cases, 122,656 controls; MAGMA competitive test, minimum P = 0.17), placing the programmes downstream of disease process rather than at the entry point of inherited risk; MAPT alone survived Bonferroni correction (P = 4.8e-04). Taken together, the ALS-FTD programmes transfer by family, depend on cellular and cohort context, and can be audited - by frozen external testing, perturbation consistency and genetic anchoring - before any of them is pursued as a biomarker or mechanism.</w:t>
      </w:r>
    </w:p>
    <w:p>
      <w:pPr>
        <w:pStyle w:val="BodyText"/>
      </w:pPr>
      <w:r>
        <w:t xml:space="preserve">Keywords: C9orf72; TDP-43; single-nucleus sequencing; pseudobulk; chromatin accessibility</w:t>
      </w:r>
    </w:p>
    <w:bookmarkEnd w:id="9"/>
    <w:bookmarkStart w:id="10" w:name="introduction"/>
    <w:p>
      <w:pPr>
        <w:pStyle w:val="Heading2"/>
      </w:pPr>
      <w:r>
        <w:rPr>
          <w:rStyle w:val="SectionNumber"/>
        </w:rPr>
        <w:t xml:space="preserve">1.2</w:t>
      </w:r>
      <w:r>
        <w:tab/>
      </w:r>
      <w:r>
        <w:t xml:space="preserve">Introduction</w:t>
      </w:r>
    </w:p>
    <w:p>
      <w:pPr>
        <w:pStyle w:val="FirstParagraph"/>
      </w:pPr>
      <w:r>
        <w:t xml:space="preserve">Amyotrophic lateral sclerosis (ALS) and frontotemporal dementia (FTD) are increasingly understood as a clinicopathological spectrum rather than fully discrete disorders. The two diseases share genetic causes, most prominently the C9orf72 hexanucleotide repeat expansion, and frequently converge on pathological cytoplasmic aggregation and nuclear loss of function of TAR DNA-binding protein 43 (TDP-43). Nevertheless, patients with related genetic and pathological backgrounds can develop predominantly motor-system degeneration, predominantly behavioural or cognitive impairment, or overlapping phenotypes. Explaining this divergence requires analyses that resolve the cell types and brain regions in which molecular changes occur rather than averaging signals across whole tissue</w:t>
      </w:r>
      <w:r>
        <w:t xml:space="preserve"> </w:t>
      </w:r>
      <w:r>
        <w:t xml:space="preserve">[1–4]</w:t>
      </w:r>
      <w:r>
        <w:t xml:space="preserve">.</w:t>
      </w:r>
    </w:p>
    <w:p>
      <w:pPr>
        <w:pStyle w:val="BodyText"/>
      </w:pPr>
      <w:r>
        <w:t xml:space="preserve">Single-nucleus transcriptomic and epigenomic profiling of frozen human brain tissue has provided an opportunity to study these disease-associated states directly in post-mortem samples. Published C9orf72 datasets have reported cell- and region-dependent neuronal and glial changes, chromatin-accessibility differences and cryptic-exon events, while pathology-graded multiome studies have reported cell-type-specific RNA and chromatin changes in human cortex</w:t>
      </w:r>
      <w:r>
        <w:t xml:space="preserve"> </w:t>
      </w:r>
      <w:r>
        <w:t xml:space="preserve">[5–7]</w:t>
      </w:r>
      <w:r>
        <w:t xml:space="preserve">. However, several analytical features complicate synthesis across studies. Cells or nuclei sampled from the same individual are not independent biological replicates; repeated brain regions from one donor require donor blocking; diagnostic contrasts can differ from ordinal pathology-burden trends; and RNA expression, chromatin accessibility and peak-gene correlation measure distinct quantities. Approaches that preserve the sample or donor as the inferential unit reduce false discoveries caused by treating cells as independent replicates</w:t>
      </w:r>
      <w:r>
        <w:t xml:space="preserve"> </w:t>
      </w:r>
      <w:r>
        <w:t xml:space="preserve">[8,9]</w:t>
      </w:r>
      <w:r>
        <w:t xml:space="preserve">. Moreover, apparent disease-related expression changes in bulk or pseudobulk tissue may be influenced by shifts in captured cell-type composition.</w:t>
      </w:r>
    </w:p>
    <w:p>
      <w:pPr>
        <w:pStyle w:val="BodyText"/>
      </w:pPr>
      <w:r>
        <w:t xml:space="preserve">These constraints are especially important when asking whether ALS and FTD share a single disease programme or instead occupy different cell-context states within the C9orf72-TDP-43 spectrum. A simple intersection of differentially expressed genes cannot distinguish a molecular programme that is shared across cell types from one whose direction changes by lineage or region. Likewise, a significant RNA-ATAC correlation does not establish that disease-associated chromatin change causes altered transcription. A rigorous cross-cohort analysis therefore requires prespecified biological programmes, donor-level inference, separation of discovery from independent or orthogonal support, and explicit gates that prevent pathway-level replication from being presented as single-gene or causal validation.</w:t>
      </w:r>
    </w:p>
    <w:p>
      <w:pPr>
        <w:pStyle w:val="BodyText"/>
      </w:pPr>
      <w:r>
        <w:t xml:space="preserve">Here, we integrated multiple public human brain datasets using a donor-aware evidence framework. GSE219280 served as the single-nucleus RNA-sequencing discovery cohort, with matched GSE219279 single-nucleus ATAC sequencing treated as same-donor cross-modal context rather than independent validation. A 37-donor C9orf72-spectrum single-nucleus transcriptomic cohort reported by Gittings and colleagues provided the first programme-level replication dataset; no overlap was detected in public donor identifiers, although de-identification precluded proof of complete donor independence. We then used the 79-donor motor-cortex same-nucleus RNA-ATAC cohort reported by Ruf and colleagues as a frozen external diagnostic test across ALS, ALS-FTD and control groups</w:t>
      </w:r>
      <w:r>
        <w:t xml:space="preserve"> </w:t>
      </w:r>
      <w:r>
        <w:t xml:space="preserve">[10]</w:t>
      </w:r>
      <w:r>
        <w:t xml:space="preserve">. GSE212630 contributed pathology-graded paired RNA-ATAC measurements from the same nuclei and was analysed under a distinct phosphorylated TDP-43 (pTDP) ordinal estimand. Supporting bulk, cross-genetic FTD and published event-level splicing evidence were incorporated only within their measurement boundaries. Across these data, we tested seven mechanism families and a discovery-derived set of 17 leading-edge candidates that was frozen before the Ruf-cohort test, while retaining the donor as the unit of biological inference.</w:t>
      </w:r>
    </w:p>
    <w:p>
      <w:pPr>
        <w:pStyle w:val="BodyText"/>
      </w:pPr>
      <w:r>
        <w:t xml:space="preserve">We show that disease-associated molecular differences are organized as cell- and region-dependent programmes rather than a uniformly shared ALS-FTD signature. The first C9 replication highlighted mitochondrial/proteostasis and small-GTPase-synaptic/axonal separation, whereas frozen testing in the larger diagnostic same-nucleus cohort demonstrated strong within-cohort robustness but no strictly concordant ALS programme across all three diagnostic datasets. Pathology-graded paired multiome analysis associated increasing pTDP burden with reduced glial proteostasis expression and oligodendroglial accessibility differences, but neither multiome dataset supported a complete accessibility-to-expression chain. Together, these analyses provide an evidence-constrained model of molecular heterogeneity across the ALS-FTD spectrum and identify programme-level hypotheses for experimental testing.</w:t>
      </w:r>
    </w:p>
    <w:p>
      <w:pPr>
        <w:pStyle w:val="BodyText"/>
      </w:pPr>
      <w:r>
        <w:t xml:space="preserve">Materials and methods</w:t>
      </w:r>
    </w:p>
    <w:p>
      <w:pPr>
        <w:pStyle w:val="BodyText"/>
      </w:pPr>
      <w:r>
        <w:t xml:space="preserve">Study design and evidence hierarchy</w:t>
      </w:r>
    </w:p>
    <w:p>
      <w:pPr>
        <w:pStyle w:val="BodyText"/>
      </w:pPr>
      <w:r>
        <w:t xml:space="preserve">This study reanalysed public post-mortem human brain transcriptomic and epigenomic datasets to test whether molecular differences across the C9orf72-TDP-43 ALS-FTD spectrum were organized as cell- and region-dependent programmes. The analysis was designed around the biological donor as the unit of inference. Individual nuclei were aggregated within donor, brain region and annotated cell type where appropriate; repeated regions from the same donor were handled by donor blocking or repeated-measure correlation. Evidence was classified as discovery, external transcriptomic replication, cross-genetic support, same-donor cross-modal context, pathology-burden paired multiome support or external published event-level splicing evidence. Public identifiers were used to audit detectable donor overlap, but de-identification prevented proof of complete donor independence.</w:t>
      </w:r>
    </w:p>
    <w:p>
      <w:pPr>
        <w:pStyle w:val="BodyText"/>
      </w:pPr>
      <w:r>
        <w:t xml:space="preserve">Public datasets</w:t>
      </w:r>
    </w:p>
    <w:p>
      <w:pPr>
        <w:pStyle w:val="BodyText"/>
      </w:pPr>
      <w:r>
        <w:t xml:space="preserve">GSE219280 and GSE219279</w:t>
      </w:r>
    </w:p>
    <w:p>
      <w:pPr>
        <w:pStyle w:val="BodyText"/>
      </w:pPr>
      <w:r>
        <w:t xml:space="preserve">GSE219280 single-nucleus RNA-sequencing data from 17 donors across BA4 motor cortex and BA9/frontal cortex were used for discovery</w:t>
      </w:r>
      <w:r>
        <w:t xml:space="preserve"> </w:t>
      </w:r>
      <w:r>
        <w:t xml:space="preserve">[5]</w:t>
      </w:r>
      <w:r>
        <w:t xml:space="preserve">. GSE219279 single-nucleus ATAC-sequencing data were generated in the same study from the same 17-donor panel and were treated as matched same-donor cross-modal support, not independent validation. The primary all-disease programme matrix was restricted to astrocytes, OPCs and oligodendrocytes, for which all three diagnostic contrasts were eligible at the prespecified threshold.</w:t>
      </w:r>
    </w:p>
    <w:p>
      <w:pPr>
        <w:pStyle w:val="BodyText"/>
      </w:pPr>
      <w:r>
        <w:t xml:space="preserve">Gittings 2023 C9orf72-spectrum cohort</w:t>
      </w:r>
    </w:p>
    <w:p>
      <w:pPr>
        <w:pStyle w:val="BodyText"/>
      </w:pPr>
      <w:r>
        <w:t xml:space="preserve">The principal replication dataset comprised 37 public donor identifiers across four CELLxGENE assets and frontal/occipital cortex</w:t>
      </w:r>
      <w:r>
        <w:t xml:space="preserve"> </w:t>
      </w:r>
      <w:r>
        <w:t xml:space="preserve">[6]</w:t>
      </w:r>
      <w:r>
        <w:t xml:space="preserve">. Public donor identifiers indicated no overlap with the other study namespaces, although complete identity resolution across de-identified studies was not possible. Repeated cortical regions were donor blocked. ALS and FTD cases originated in distinct sampling assets; ALS-versus-FTD results were therefore calculated as a partition-bridged difference-in-differences. In region r, the symbolic contrast was [(C9-ALS_r - Control_ALS-partition,r) - (C9-FTD_r - Control_FTD-partition,r)], with coefficient weights +1, -1, -1, +1, respectively. The controls within the ALS/ALS-FTD asset and the FTD asset were the corresponding partition-specific anchors. This estimand was supportive and could retain sampling-partition confounding; it was not treated as an unconfounded direct case-case effect.</w:t>
      </w:r>
    </w:p>
    <w:p>
      <w:pPr>
        <w:pStyle w:val="BodyText"/>
      </w:pPr>
      <w:r>
        <w:t xml:space="preserve">GSE212630 paired multiome cohort</w:t>
      </w:r>
    </w:p>
    <w:p>
      <w:pPr>
        <w:pStyle w:val="BodyText"/>
      </w:pPr>
      <w:r>
        <w:t xml:space="preserve">GSE212630 comprised 26 biological donors represented by 52 RNA and ATAC assay records generated from paired 10x Multiome nuclei in BA9</w:t>
      </w:r>
      <w:r>
        <w:t xml:space="preserve"> </w:t>
      </w:r>
      <w:r>
        <w:t xml:space="preserve">[7]</w:t>
      </w:r>
      <w:r>
        <w:t xml:space="preserve">. Analyses used 118,261 shared-barcode cells and a common set of 300,559 peaks. Primary cell-type-resolved pTDP analyses used the 14 annotated Emory donors, which were institutionally separate from the Mayo discovery study. RNA and ATAC measurements from the same nuclei were not treated as independent observations.</w:t>
      </w:r>
    </w:p>
    <w:p>
      <w:pPr>
        <w:pStyle w:val="BodyText"/>
      </w:pPr>
      <w:r>
        <w:t xml:space="preserve">Ruf 2026 diagnostic same-nucleus cohort</w:t>
      </w:r>
    </w:p>
    <w:p>
      <w:pPr>
        <w:pStyle w:val="BodyText"/>
      </w:pPr>
      <w:r>
        <w:t xml:space="preserve">The external diagnostic same-nucleus RNA-ATAC cohort reported by Ruf and colleagues comprised 79 post-mortem primary motor-cortex donors and 180,016 nuclei</w:t>
      </w:r>
      <w:r>
        <w:t xml:space="preserve"> </w:t>
      </w:r>
      <w:r>
        <w:t xml:space="preserve">[10]</w:t>
      </w:r>
      <w:r>
        <w:t xml:space="preserve">. Diagnostic groups were ALS (n = 30), sporadic ALS-FTD (n = 10), C9-associated ALS-FTD (n = 7) and control (n = 32). Published WNN_L2 annotations were harmonized to astrocytes, excitatory neurons, inhibitory neurons, microglia, OPCs and oligodendrocytes. The primary diagnostic analyses combined the 17 ALS-FTD donors; the seven C9 ALS-FTD donors were analysed only in a labelled sensitivity comparison against controls. Because the cohort did not contain a corresponding C9 ALS group, it could not estimate a C9 ALS-versus-C9 FTD contrast. Seventy of 79 analysis identifiers had exact matches to the public clinical supplement used for age sensitivity; the remaining nine were not assigned inferred ages.</w:t>
      </w:r>
    </w:p>
    <w:p>
      <w:pPr>
        <w:pStyle w:val="BodyText"/>
      </w:pPr>
      <w:r>
        <w:t xml:space="preserve">Supporting datasets</w:t>
      </w:r>
    </w:p>
    <w:p>
      <w:pPr>
        <w:pStyle w:val="BodyText"/>
      </w:pPr>
      <w:r>
        <w:t xml:space="preserve">Bulk GSE153960 was used for tissue-level expression and composition sensitivity</w:t>
      </w:r>
      <w:r>
        <w:t xml:space="preserve"> </w:t>
      </w:r>
      <w:r>
        <w:t xml:space="preserve">[11]</w:t>
      </w:r>
      <w:r>
        <w:t xml:space="preserve">. GSE163122 provided cross-genetic GRN-FTD support in 9 donors and was not treated as direct C9 replication</w:t>
      </w:r>
      <w:r>
        <w:t xml:space="preserve"> </w:t>
      </w:r>
      <w:r>
        <w:t xml:space="preserve">[12]</w:t>
      </w:r>
      <w:r>
        <w:t xml:space="preserve">. Published event-level splicing observations for STMN2 and KALRN</w:t>
      </w:r>
      <w:r>
        <w:t xml:space="preserve"> </w:t>
      </w:r>
      <w:r>
        <w:t xml:space="preserve">[6,11,13,14]</w:t>
      </w:r>
      <w:r>
        <w:t xml:space="preserve"> </w:t>
      </w:r>
      <w:r>
        <w:t xml:space="preserve">and established literature evidence for UNC13A</w:t>
      </w:r>
      <w:r>
        <w:t xml:space="preserve"> </w:t>
      </w:r>
      <w:r>
        <w:t xml:space="preserve">[15,16]</w:t>
      </w:r>
      <w:r>
        <w:t xml:space="preserve"> </w:t>
      </w:r>
      <w:r>
        <w:t xml:space="preserve">were used only to anchor TDP-43 biology. Accession identifiers and permanent article identifiers are listed in the cohort manifest; file-level retrieval dates and checksums will accompany the public code archive ([TO BE COMPLETED BEFORE SUBMISSION] repository location).</w:t>
      </w:r>
    </w:p>
    <w:p>
      <w:pPr>
        <w:pStyle w:val="BodyText"/>
      </w:pPr>
      <w:r>
        <w:t xml:space="preserve">Cell annotations and quality control</w:t>
      </w:r>
    </w:p>
    <w:p>
      <w:pPr>
        <w:pStyle w:val="BodyText"/>
      </w:pPr>
      <w:r>
        <w:t>Published cell-type annotations were mapped to harmonized major-cell-type labels for exact cross-cohort comparisons. Cohort-specific quality-control filters were applied before aggregation. For the discovery pseudobulk analysis, the primary eligibility threshold was at least 30 nuclei and at least 10,000 CellBender counts per donor-region-cell-type unit; minimum thresholds of 20 and 50 nuclei were used as sensitivity settings. At the primary threshold, the core glial models contained 31 donor-region samples from 16 donors for astrocytes and 33 samples from 17 donors for each of OPCs and oligodendrocytes. Multiome quality control retained barcodes shared between RNA and ATAC assays. Motif/chromVAR results were withheld because a prespecified donor-level model incorporating technical adjustment and donor leave-one-out stability assessment was not available; no transcription-factor activity inference was therefore made.</w:t>
      </w:r>
    </w:p>
    <w:p>
      <w:pPr>
        <w:pStyle w:val="BodyText"/>
      </w:pPr>
      <w:r>
        <w:t xml:space="preserve">Donor-level pseudobulk expression analysis</w:t>
      </w:r>
    </w:p>
    <w:p>
      <w:pPr>
        <w:pStyle w:val="BodyText"/>
      </w:pPr>
      <w:r>
        <w:t xml:space="preserve">Raw counts were summed within donor, brain region and cell type. In GSE219280, genes were retained with edgeR::filterByExpr using diagnostic-region group membership, a minimum count of 10 and a minimum total count of 15. Libraries were TMM normalized, transformed with limma::voom and fitted using donor-blocked linear models with duplicate correlation. The design encoded diagnostic-region group, sex, scaled age and sequencing batch. Gittings used the corresponding donor-blocked voom/limma workflow with sex and scaled age; its gene filter used a minimum count of 5 and minimum total count of 15. Primary contrasts separated ALS versus control, FTD versus control and ALS versus FTD; region-interaction contrasts were secondary and tested as explicit difference-of-differences coefficients. A within-region effect or a visual difference between panels was not treated as evidence of interaction. Region-dependent language was reserved for a formal interaction coefficient with its applicable FDR; otherwise patterns were described as regional or tissue-context differences without an interaction claim. Effects were reported with Benjamini-Hochberg FDR values. Intervals reconstructed as estimate ± 1.96 standard errors, including the cross-cohort gene and multiome-family intervals, were labelled normal-approximation 95% confidence intervals rather than exact t-, likelihood- or quasi-likelihood intervals.</w:t>
      </w:r>
    </w:p>
    <w:p>
      <w:pPr>
        <w:pStyle w:val="BodyText"/>
      </w:pPr>
      <w:r>
        <w:t xml:space="preserve">For Ruf, the public RNA Matrix Market file was streamed into donor-by-cell-type pseudobulk count matrices with a C++17 parser to avoid loading the full sparse coordinate table into memory. Donor-cell-type strata required at least 30 nuclei. Genes were filtered within each cell type and modelled by edgeR robust quasi-likelihood with diagnosis and sex. Primary contrasts were ALS versus control, combined ALS-FTD versus control and ALS versus combined ALS-FTD. Sensitivity models additionally adjusted for RNA library depth; repeated the analysis in the exact-ID age complete case; omitted each donor in turn; and reproduced the source-study strategy by estimating 12 surrogate variables from normalized counts with a diagnosis-plus-sex full model and sex-only null model. The seven-family global FDR was calculated across all eligible family-by-cell-type-by-contrast axes. The final Ruf programme gate required primary global FDR &lt; 0.05, at least 90% LOO direction retention, technical and age direction agreement, and same-direction 12-surrogate-variable global FDR &lt; 0.05.</w:t>
      </w:r>
    </w:p>
    <w:p>
      <w:pPr>
        <w:pStyle w:val="BodyText"/>
      </w:pPr>
      <w:r>
        <w:t xml:space="preserve">Prespecified mechanism-family enrichment</w:t>
      </w:r>
    </w:p>
    <w:p>
      <w:pPr>
        <w:pStyle w:val="BodyText"/>
      </w:pPr>
      <w:r>
        <w:t xml:space="preserve">Seven mechanism families were frozen before external-cohort testing: mitochondrial energy, protein folding, protein stabilization, heat response, small-GTPase regulation, synapse/junction assembly and axon development. Gene-level ranked statistics from each eligible pseudobulk contrast were analysed with preranked gene-set enrichment analysis. Normalized enrichment scores (NES), nominal P values and FDR values were recorded. The global primary FDR was calculated across the frozen family-by-cell-type-by-contrast testing universe within each cohort. Leading-edge genes were retained only as programme contributors unless a gene-specific test independently met its correction threshold.</w:t>
      </w:r>
    </w:p>
    <w:p>
      <w:pPr>
        <w:pStyle w:val="BodyText"/>
      </w:pPr>
      <w:r>
        <w:t xml:space="preserve">Cross-cohort programme replication</w:t>
      </w:r>
    </w:p>
    <w:p>
      <w:pPr>
        <w:pStyle w:val="BodyText"/>
      </w:pPr>
      <w:r>
        <w:t xml:space="preserve">Replication required exact matching of diagnostic contrast, harmonized cell type and mechanism family. An axis was classified as strict programme replication when the NES direction agreed between GSE219280 and Gittings, each cohort passed its predefined global FDR threshold, and donor-LOO direction stability was at least 90% in both cohorts. LOO analysis was a robustness assessment and not an independent replication dataset. Because GSE212630 estimated an ordinal pTDP coefficient rather than a diagnostic NES, it was not pooled with diagnostic cohorts. No fixed- or random-effects meta-analysis was applied across incompatible estimands or scales.</w:t>
      </w:r>
    </w:p>
    <w:p>
      <w:pPr>
        <w:pStyle w:val="BodyText"/>
      </w:pPr>
      <w:r>
        <w:t xml:space="preserve">Exact binomial tests (two-sided, p = 0.5, with Clopper-Pearson 95% confidence intervals) asked whether directional concordance among the 63 matched axes exceeded chance. Tests were stratified by mechanism family (nine axes each), estimand and cell type, with two layers pooled a priori - the three families later found to be most concordant (axon development, small-GTPase, synapse/junction; 27 axes) and mitochondrial energy (nine axes) - plus sensitivity subsets restricted to axes significant in discovery or in either cohort. These tests gauge whether concordance beats a coin flip; they do not replace the dual-cohort replication gate.</w:t>
      </w:r>
    </w:p>
    <w:p>
      <w:pPr>
        <w:pStyle w:val="BodyText"/>
      </w:pPr>
      <w:r>
        <w:t xml:space="preserve">Ruf was evaluated as a frozen external diagnostic portability test. Three-cohort ALS support required the same ALS-versus-control direction in GSE219280, Gittings and Ruf, cohort-specific global FDR &lt; 0.05 in all three, the original cohort-specific LOO criteria and the final Ruf gate above. The absence of an axis meeting this gate was retained as a result; no family, cell type, contrast or correction universe was changed after inspection of Ruf outcomes. Programme NES values were not numerically meta-analysed across cohorts.</w:t>
      </w:r>
    </w:p>
    <w:p>
      <w:pPr>
        <w:pStyle w:val="BodyText"/>
      </w:pPr>
      <w:r>
        <w:t xml:space="preserve">Candidate-gene evidence audit</w:t>
      </w:r>
    </w:p>
    <w:p>
      <w:pPr>
        <w:pStyle w:val="BodyText"/>
      </w:pPr>
      <w:r>
        <w:t xml:space="preserve">Seventeen genes were selected from recurrent discovery-cohort leading edges and biological anchoring, then frozen before external-cohort testing: BAG3, HSP90AA1, HSP90AB1, CHORDC1, ARHGAP35, PARK7, CCT5, ARHGAP39, COX5B, COX7C, MAP1B, MAPT, BCR, CCT8, COA3, DOCK7 and STARD13. The shortlist was therefore not outcome-independent with respect to discovery. For exact transcript-level cross-cohort comparison, effects were aligned by gene, cell type and diagnostic contrast and displayed with cohort-specific normal-approximation 95% confidence intervals (estimate ± 1.96 standard errors). Direction agreement, cohort-specific multiplicity control and evidence source were reported separately. Absence of strict dual-cohort support precluded claims of gene-level replication or biomarker validation.</w:t>
      </w:r>
    </w:p>
    <w:p>
      <w:pPr>
        <w:pStyle w:val="BodyText"/>
      </w:pPr>
      <w:r>
        <w:t xml:space="preserve">Differential cell-type composition</w:t>
      </w:r>
    </w:p>
    <w:p>
      <w:pPr>
        <w:pStyle w:val="BodyText"/>
      </w:pPr>
      <w:r>
        <w:t xml:space="preserve">For single-nucleus cohorts, a complete sample-by-cell-type grid was constructed and missing counts were set to zero. Counts were converted to log proportions as log[(n + 0.5)/(N + 0.5K)], where n is the cell-type count, N the total retained nuclei and K the number of harmonized cell types; the within-sample mean log proportion was then subtracted to obtain the centred-log-ratio (CLR). GSE219280 and Gittings were analysed with limma models incorporating donor blocking and available age, sex, batch or sampling-frame covariates. GSE212630 composition was modelled as a linear trend across ordinal pTDP level in the 14 annotated Emory donors, with total retained cells added in sensitivity analysis. Exponentiated CLR coefficients were reported as compositional fold ratios with normal-approximation 95% confidence intervals. Prespecified primary composition contrasts and secondary region-interaction contrasts retained separate analysis roles and multiplicity fields; interaction rows without a primary global FDR were descriptive/secondary and were not interpreted as primary multiplicity-controlled findings. These quantities describe relative captured-cell composition rather than absolute tissue abundance.</w:t>
      </w:r>
    </w:p>
    <w:p>
      <w:pPr>
        <w:pStyle w:val="BodyText"/>
      </w:pPr>
      <w:r>
        <w:t xml:space="preserve">Bulk deconvolution sensitivity</w:t>
      </w:r>
    </w:p>
    <w:p>
      <w:pPr>
        <w:pStyle w:val="BodyText"/>
      </w:pPr>
      <w:r>
        <w:t xml:space="preserve">GSE153960 bulk samples were deconvolved using non-negative least squares against a single-nucleus reference. CLR-transformed composition components or principal components were added to the primary subject-blocked expression model. Primary and composition-adjusted gene effects were compared using Pearson and Spearman correlations, direction retention among highly ranked genes and effect-size-aware differential-expression thresholds. Reference-derived fractions were used only as sensitivity covariates.</w:t>
      </w:r>
    </w:p>
    <w:p>
      <w:pPr>
        <w:pStyle w:val="BodyText"/>
      </w:pPr>
      <w:r>
        <w:t xml:space="preserve">Paired multiome RNA analysis</w:t>
      </w:r>
    </w:p>
    <w:p>
      <w:pPr>
        <w:pStyle w:val="BodyText"/>
      </w:pPr>
      <w:r>
        <w:t xml:space="preserve">Within the 14 annotated Emory donors, RNA expression was aggregated by donor and major cell type, requiring at least 50 nuclei per donor-cell-type unit. Ordinal pTDP level was modelled as a one-step linear trend. EdgeR quasi-likelihood models included pTDP order and standardized median TSS enrichment, fragment count and RNA UMI count. Composition-adjusted sensitivity models added the corresponding CLR cell-type coordinate. Global FDR was applied across the predefined family testing universe; candidate-set and transcriptome-wide FDRs were reported separately for candidate genes. For candidate-level multiome LOO direction-stability stress testing, normalized filtered donor-level logCPM or log-accessibility matrices were re-analysed after each donor omission by ordinary least squares using the design terms matched to the full analysis. The fraction of omission coefficients retaining the full-data direction was recorded. This procedure did not refit edgeR dispersions or quasi-likelihood models and was not treated as independent replication.</w:t>
      </w:r>
    </w:p>
    <w:p>
      <w:pPr>
        <w:pStyle w:val="BodyText"/>
      </w:pPr>
      <w:r>
        <w:t xml:space="preserve">Differential accessibility and peak–gene analysis</w:t>
      </w:r>
    </w:p>
    <w:p>
      <w:pPr>
        <w:pStyle w:val="BodyText"/>
      </w:pPr>
      <w:r>
        <w:t xml:space="preserve">ATAC fragments were processed with ArchR and MACS3 to define a common set of 300,559 peaks. pTDP-associated differential accessibility was tested within each cell type using edgeR quasi-likelihood models adjusted for standardized median TSS enrichment, fragment count and RNA UMI count; whole-tissue models additionally included cohort. Candidate-nearest-peak tests and genome-wide DAR analyses used separate multiple-testing families. Same-nucleus peak-gene associations were estimated as Spearman correlations after residualizing accessibility and RNA values for TSS enrichment, fragment count and RNA UMI count at the donor-cell-type metacell level. A complete joint regulatory candidate required: (i) an RNA pTDP trend passing its prespecified correction, (ii) a peak pTDP trend passing its correction and (iii) a significant adjusted peak-gene association. Correlation alone was not interpreted as an enhancer-target relationship or causal direction.</w:t>
      </w:r>
    </w:p>
    <w:p>
      <w:pPr>
        <w:pStyle w:val="BodyText"/>
      </w:pPr>
      <w:r>
        <w:t xml:space="preserve">For Ruf, the public peak-by-nucleus Matrix Market file was streamed to donor-by-cell-type pseudobulk counts. All retained peaks were fitted separately within the six cell types using low-memory limma-trend models for the three diagnostic contrasts; peak-wide Benjamini-Hochberg FDR was therefore calculated over each complete retained peak universe before frozen promoter peaks were selected. Promoter peaks were defined as overlaps with ±2 kb transcription-start-site windows for the 17 frozen genes. A technical sensitivity added standardized ATAC library depth. Donor-level same-cell-type RNA and accessibility values were residualized for diagnosis, sex and respective library depth before Spearman association. A complete Ruf joint chain required a transcriptome-wide RNA diagnostic hit, a technical-adjusted peak-wide ATAC hit and a corrected residual association in the same cell type and contrast.</w:t>
      </w:r>
    </w:p>
    <w:p>
      <w:pPr>
        <w:pStyle w:val="BodyText"/>
      </w:pPr>
      <w:r>
        <w:t xml:space="preserve">TDP-43 event-level evidence</w:t>
      </w:r>
    </w:p>
    <w:p>
      <w:pPr>
        <w:pStyle w:val="BodyText"/>
      </w:pPr>
      <w:r>
        <w:t xml:space="preserve">The GSE219280 gene-count input did not permit junction-, isoform- or PSI-level analysis. STMN2 and KALRN event-level findings were therefore extracted from the independent published C9 single-nucleus study and labelled as external published support. UNC13A was treated as an established mechanistic literature target but was not claimed as locally replicated. Expression changes and ATAC GeneScore signals were not used as proxies for cryptic-exon inclusion.</w:t>
      </w:r>
    </w:p>
    <w:p>
      <w:pPr>
        <w:pStyle w:val="BodyText"/>
      </w:pPr>
      <w:r>
        <w:t xml:space="preserve">Multiple testing and robustness analyses</w:t>
      </w:r>
    </w:p>
    <w:p>
      <w:pPr>
        <w:pStyle w:val="BodyText"/>
      </w:pPr>
      <w:r>
        <w:t xml:space="preserve">All P values were two-sided unless the underlying published event analysis specified otherwise. Benjamini-Hochberg correction was applied within prospectively defined testing families. Primary claims required the global FDR gate appropriate to the analysis; nominal P values were not used to claim replication. Sensitivity analyses included donor LOO, nucleus-count thresholds, covariate ablation, composition adjustment and technical-quality adjustment. A stable LOO direction was interpreted as resistance to single-donor influence, not independent confirmation.</w:t>
      </w:r>
    </w:p>
    <w:p>
      <w:pPr>
        <w:pStyle w:val="BodyText"/>
      </w:pPr>
      <w:r>
        <w:t xml:space="preserve">Sample size, allocation and masking</w:t>
      </w:r>
    </w:p>
    <w:p>
      <w:pPr>
        <w:pStyle w:val="BodyText"/>
      </w:pPr>
      <w:r>
        <w:t xml:space="preserve">Sample sizes were determined by availability in the public source datasets and by the frozen donor-, region-, cell-type- and quality-eligibility rules; no prospective power calculation was performed. This was a secondary analysis of previously generated observational data, so prospective randomization and blinding of biospecimen collection or assay generation were not applicable to this reanalysis. Analysts were not masked to diagnosis or pathology labels because those labels were required to construct the prespecified contrasts and ordinal pTDP design. Manual quality-control and candidate-freezing decisions were therefore not blinded; their timing, objective thresholds and evidence boundaries are reported to limit outcome-dependent interpretation.</w:t>
      </w:r>
    </w:p>
    <w:p>
      <w:pPr>
        <w:pStyle w:val="BodyText"/>
      </w:pPr>
      <w:r>
        <w:t xml:space="preserve">Gate waterfall and attainability. The five Ruf gates were decomposed cumulatively - global family FDR, donor leave-one-out direction stability of at least 90%, technical and age direction retention, surrogate-variable direction, and surrogate-variable global FDR - and each axis was attributed to the first gate it failed. The complete three-cohort gate could be evaluated only for the 21 glial ALS axes represented in the discovery mechanism matrix. For attainability, cohort-specific global FDR values were converted to z statistics and the joint probability of concordant significance was computed under two scenarios: the Ruf-observed effect as shared truth (optimistic), or a constant standardized effect with z scaled by the square root of donor counts (realistic). Confidence intervals for the key GSE212630 pTDP trends were rebuilt as t intervals, with degrees of freedom solved numerically from F(1, df) and the exact P value.</w:t>
      </w:r>
    </w:p>
    <w:p>
      <w:pPr>
        <w:pStyle w:val="BodyText"/>
      </w:pPr>
      <w:r>
        <w:t xml:space="preserve">TDP-43 perturbation signatures. Two public iPSC cortical-neuron TDP-43 knockdown datasets from a single study were reanalysed (GSE296710, Zanovello line, four knockdown against four control; GSE296714, Humphrey line, six against six)</w:t>
      </w:r>
      <w:r>
        <w:t xml:space="preserve"> </w:t>
      </w:r>
      <w:r>
        <w:t xml:space="preserve">[17]</w:t>
      </w:r>
      <w:r>
        <w:t xml:space="preserve">. Ensembl identifiers were mapped to gene symbols with GENCODE v19</w:t>
      </w:r>
      <w:r>
        <w:t xml:space="preserve"> </w:t>
      </w:r>
      <w:r>
        <w:t xml:space="preserve">[18]</w:t>
      </w:r>
      <w:r>
        <w:t xml:space="preserve">, knockdown log2 fold changes were estimated with edgeR robust quasi-likelihood models, and depletion of TARDBP itself served as the validity control. Signature concordance between the two datasets used genome-wide Spearman correlation plus direction binomial tests among genes changing by more than |log2FC| 0.5. Alignment with the disease data correlated the 17 frozen candidates’ knockdown effects against GSE212630 pTDP trends within each cell type, with binomial tests at the family level. Because the perturbation acts in neurons while the disease trends are glial, this analysis speaks to cross-context mechanistic consistency rather than cell-type replication.</w:t>
      </w:r>
    </w:p>
    <w:p>
      <w:pPr>
        <w:pStyle w:val="BodyText"/>
      </w:pPr>
      <w:r>
        <w:t xml:space="preserve">Genetic anchoring against ALS GWAS. Gene-level association was run in MAGMA v1.10</w:t>
      </w:r>
      <w:r>
        <w:t xml:space="preserve"> </w:t>
      </w:r>
      <w:r>
        <w:t xml:space="preserve">[19]</w:t>
      </w:r>
      <w:r>
        <w:t xml:space="preserve"> </w:t>
      </w:r>
      <w:r>
        <w:t xml:space="preserve">on the van Rheenen et al. summary statistics (GCST90027164; 29,612 cases, 122,656 controls; GRCh37; 10,461,756 variants)</w:t>
      </w:r>
      <w:r>
        <w:t xml:space="preserve"> </w:t>
      </w:r>
      <w:r>
        <w:t xml:space="preserve">[20]</w:t>
      </w:r>
      <w:r>
        <w:t xml:space="preserve">, using the 1000 Genomes European panel (503 individuals)</w:t>
      </w:r>
      <w:r>
        <w:t xml:space="preserve"> </w:t>
      </w:r>
      <w:r>
        <w:t xml:space="preserve">[21]</w:t>
      </w:r>
      <w:r>
        <w:t xml:space="preserve">, GENCODE v19 protein-coding boundaries with a 10-kb window, the SNPwise-mean model with per-variant sample size, and 18,901 genes carrying at least one of the 9,448,726 matched variants. Competitive gene-set tests covered the nine prespecified sets (seven families, the pooled transferable layer, and the union of strict-replication leading edges), conditioning on gene size, gene density, mean sample size and inverse minor-allele count; the 17 frozen candidates were held to a Bonferroni threshold of 0.05/17. Recovery of the canonical ALS loci C9orf72, UNC13A and TBK1 served as the pipeline control.</w:t>
      </w:r>
    </w:p>
    <w:p>
      <w:pPr>
        <w:pStyle w:val="BodyText"/>
      </w:pPr>
      <w:r>
        <w:t xml:space="preserve">Software and reproducibility</w:t>
      </w:r>
    </w:p>
    <w:p>
      <w:pPr>
        <w:pStyle w:val="BodyText"/>
      </w:pPr>
      <w:r>
        <w:t xml:space="preserve">Analyses and all final figures were generated in R. The principal enrichment environment used R 4.6.1 on macOS 26.5.2 with fgsea 1.38.0, data.table 1.18.4 and ggplot2 4.0.3; edgeR and limma versions are recorded in the module-specific session-information files distributed with the analysis outputs. The Ruf sensitivity environment used edgeR 4.10.1, limma 3.68.4, sva 3.60.0 and a C++17 streaming aggregator. The composition workflow used seed 20260813. All source-data tables include cohort, statistical unit, estimand, effect scale, confidence interval where estimable, correction family and evidence role. Large public inputs will be referenced by accession and checksum rather than redistributed where repository terms prohibit redistribution. The archive DOI and licence remain [TO BE COMPLETED BEFORE SUBMISSION].</w:t>
      </w:r>
    </w:p>
    <w:bookmarkEnd w:id="10"/>
    <w:bookmarkStart w:id="11" w:name="results"/>
    <w:p>
      <w:pPr>
        <w:pStyle w:val="Heading2"/>
      </w:pPr>
      <w:r>
        <w:rPr>
          <w:rStyle w:val="SectionNumber"/>
        </w:rPr>
        <w:t xml:space="preserve">1.3</w:t>
      </w:r>
      <w:r>
        <w:tab/>
      </w:r>
      <w:r>
        <w:t xml:space="preserve">Results</w:t>
      </w:r>
    </w:p>
    <w:p>
      <w:pPr>
        <w:pStyle w:val="FirstParagraph"/>
      </w:pPr>
      <w:r>
        <w:t xml:space="preserve">A donor-aware framework separates discovery, replication and orthogonal support</w:t>
      </w:r>
    </w:p>
    <w:p>
      <w:pPr>
        <w:pStyle w:val="BodyText"/>
      </w:pPr>
      <w:r>
        <w:t xml:space="preserve">We constructed an evidence hierarchy to integrate public human brain single-nucleus data without conflating nuclei with biological replicates or combining incompatible estimands (Fig. 1). GSE219280 comprised 17 donors profiled by single-nucleus RNA sequencing across BA4 motor cortex and BA9 frontal cortex and was used as the discovery cohort. GSE219279 originated from the same study and 17-donor panel and was therefore classified as matched cross-modal context. The external C9 transcriptomic replication dataset comprised 37 public donor identifiers across frontal and occipital cortex; no overlap was detected in public identifiers, although de-identification precluded proof of complete donor independence. The Ruf diagnostic same-nucleus cohort comprised 79 motor-cortex donors and 180,016 nuclei across 30 ALS, 10 sporadic ALS-FTD, 7 C9-associated ALS-FTD and 32 control donors. GSE212630 comprised 26 biological donors represented by paired RNA and ATAC assays from the same multiome nuclei; its primary cell-type-resolved pTDP analysis was restricted to 14 annotated Emory donors and 118,261 shared-barcode nuclei. The common GSE212630 peak set contained 300,559 peaks. These nucleus and peak counts describe assay scale, whereas all inferential sample sizes refer to biological donors.</w:t>
      </w:r>
    </w:p>
    <w:p>
      <w:pPr>
        <w:pStyle w:val="BodyText"/>
      </w:pPr>
      <w:r>
        <w:t xml:space="preserve">For all repeated-region datasets, analyses retained the donor as the biological unit through pseudobulk aggregation and donor blocking. We froze seven mechanism families-mitochondrial energy, protein folding, protein stabilization, heat response, small-GTPase regulation, synapse/junction assembly and axon development-and a 17-gene discovery-derived leading-edge shortlist before external-cohort testing. The gene shortlist was not outcome-independent with respect to discovery. Results were assigned to discovery, external transcriptomic replication, same-donor cross-modal support, pathology-burden multiome support, cross-genetic FTD support or external event-level splicing evidence. This hierarchy determined the wording permitted for each result and prevented technical sensitivity, association and external replication from being treated as equivalent forms of evidence.</w:t>
      </w:r>
    </w:p>
    <w:p>
      <w:pPr>
        <w:pStyle w:val="BodyText"/>
      </w:pPr>
      <w:r>
        <w:t xml:space="preserve">Cell type and phenotype contrast condition the transcriptional architecture of the C9orf72 ALS–FTD spectrum</w:t>
      </w:r>
    </w:p>
    <w:p>
      <w:pPr>
        <w:pStyle w:val="BodyText"/>
      </w:pPr>
      <w:r>
        <w:t xml:space="preserve">To test whether ALS- and FTD-associated changes formed uniform or context-specific programmes, we modelled donor-level pseudobulk expression within astrocytes, OPCs and oligodendrocytes and separated ALS-versus-control, FTD-versus-control and ALS-versus-FTD contrasts (Fig. 2). Across the resulting 63 programme axes, 35 passed the global primary FDR threshold. Mitochondrial and proteostasis-related programmes were accompanied by changes in small-GTPase, synaptic and axonal programmes, but their directions were not interchangeable across ALS, FTD and cellular backgrounds.</w:t>
      </w:r>
    </w:p>
    <w:p>
      <w:pPr>
        <w:pStyle w:val="BodyText"/>
      </w:pPr>
      <w:r>
        <w:t xml:space="preserve">Threshold sensitivity analyses repeated pseudobulk construction using minimum cell-count requirements of 20, 30 and 50 nuclei, and leave-one-donor-out (LOO) analyses quantified direction stability. All 63 displayed programme directions were retained at both the 20- and 50-nucleus sensitivity thresholds relative to the 30-nucleus primary analysis. These tests were used as robustness assessments and not as independent replication. Sparse FTD contrasts, particularly in neuronal subtypes, were retained only where the donor and nucleus eligibility criteria were satisfied; low-powered results were treated as exploratory. The combined results did not justify a universal statement that ALS was exclusively neuronal or FTD exclusively glial. Instead, they supported cell-type-specific programme shifts whose relative pattern separated phenotype-associated states.</w:t>
      </w:r>
    </w:p>
    <w:p>
      <w:pPr>
        <w:pStyle w:val="BodyText"/>
      </w:pPr>
      <w:r>
        <w:t xml:space="preserve">An external C9 brain cohort tests programme-level separation and reveals heterogeneity</w:t>
      </w:r>
    </w:p>
    <w:p>
      <w:pPr>
        <w:pStyle w:val="BodyText"/>
      </w:pPr>
      <w:r>
        <w:t xml:space="preserve">We next performed exact-estimand replication by matching disease contrast, major cell type and predefined mechanism family between GSE219280 and the external Gittings C9 transcriptomic cohort (Fig. 3). Public identifiers showed no detected overlap, but de-identification prevented proof of complete donor independence. Among 63 exactly matched axes, 39 (61.9%) were directionally concordant (exact binomial P = 0.077, 95% CI 0.49-0.74, not above chance overall). Concordance was strongly family-stratified: axon development, small-GTPase regulation and synapse/junction assembly pooled 21/27 concordant axes (77.8%, P = 0.006, 95% CI 0.58-0.91), whereas mitochondrial energy was concordant in only 3/9. Thirteen axes were concordant, passed the cohort-specific global false-discovery-rate (FDR) threshold in both datasets and achieved at least 90% LOO direction stability in each cohort. These replicated axes included increased protein folding in ALS OPCs; lower axon-development, small-GTPase and synapse/junction programmes in ALS relative to FTD OPCs; increased axonal, small-GTPase and synaptic programmes in FTD astrocytes and OPCs; and increased mitochondrial, protein-folding and protein-stabilization programmes in FTD oligodendrocytes.</w:t>
      </w:r>
    </w:p>
    <w:p>
      <w:pPr>
        <w:pStyle w:val="BodyText"/>
      </w:pPr>
      <w:r>
        <w:t xml:space="preserve">Concordance, in other words, was concentrated rather than pervasive. Among the 35 axes significant in discovery, 24 were concordant (68.6%, P = 0.041); among the 49 significant in either cohort, 32 (65.3%, P = 0.044). Effect sizes themselves correlated only weakly between cohorts (genome-wide Spearman 0.191, P = 0.133), so what transfers is direction, and only within particular families. We therefore treat programme replication as a family-level property: the three transferable families each supply three strict-replication axes, while mitochondrial energy reverses across cohorts - a reversal echoed in its Ruf glial axes below.</w:t>
      </w:r>
    </w:p>
    <w:p>
      <w:pPr>
        <w:pStyle w:val="BodyText"/>
      </w:pPr>
      <w:r>
        <w:t xml:space="preserve">Replication was strongest at the programme rather than individual-gene level. Axon development, small-GTPase regulation and synapse/junction assembly each showed direction agreement in 7 of 9 matched cell-type/contrast settings (77.8%), with three axes per family meeting the strict dual-cohort replication gate. By contrast, none of the 153 exactly matched cell-type-contrast-gene axes among the 17 candidates simultaneously showed direction agreement and strict multiple-testing support sufficient for a broad claim of single-gene external replication. Candidate genes were therefore retained as discovery-derived leading-edge contributors and evidence-graded hypotheses rather than replicated biomarkers.</w:t>
      </w:r>
    </w:p>
    <w:p>
      <w:pPr>
        <w:pStyle w:val="BodyText"/>
      </w:pPr>
      <w:r>
        <w:t xml:space="preserve">Three axes were globally significant and LOO-stable within both cohorts but showed opposite directions: astrocytic and OPC small-GTPase programmes in ALS versus control, and oligodendroglial mitochondrial energy in ALS versus FTD. Because these effects were not driven by a single donor, they were reported as cohort-, tissue- or sampling-context heterogeneity rather than averaged into a summary effect. The Gittings ALS-versus-FTD comparison was a partition-bridged difference-in-differences, [(C9-ALS - Control_ALS-partition) - (C9-FTD - Control_FTD-partition)], and is labelled accordingly throughout. It was secondary/supportive rather than an unconfounded direct case-case effect.</w:t>
      </w:r>
    </w:p>
    <w:p>
      <w:pPr>
        <w:pStyle w:val="BodyText"/>
      </w:pPr>
      <w:r>
        <w:t xml:space="preserve">Internal donor perturbation supported the stability of the external-cohort results: all 68 Gittings axes passing the global primary FDR threshold retained their direction in at least 90% of the 37 donor omissions, and 66 of 68 retained direction in every omission. An independent 9-donor GRN-FTD boundary cohort contributed three globally significant, 9/9 direction-stable programme axes. Synapse/junction assembly was increased in NEUN-positive (NES = 1.6414; global FDR = 0.0313) and OLIG2-positive populations (NES = 1.7967; global FDR = 0.0144), whereas protein folding was decreased in NEUN-positive nuclei (NES = -1.5808; global FDR = 0.0144). This pattern supported selected programmes across genetic backgrounds while also demonstrating that proteostasis direction was context dependent.</w:t>
      </w:r>
    </w:p>
    <w:p>
      <w:pPr>
        <w:pStyle w:val="BodyText"/>
      </w:pPr>
      <w:r>
        <w:t xml:space="preserve">Frozen testing in a 79-donor same-nucleus cohort shows robust but incomplete programme transportability</w:t>
      </w:r>
    </w:p>
    <w:p>
      <w:pPr>
        <w:pStyle w:val="BodyText"/>
      </w:pPr>
      <w:r>
        <w:t xml:space="preserve">We next tested the already-frozen seven families and 17 genes in the Ruf motor-cortex same-nucleus RNA-ATAC cohort, without redefining the programmes from the new outcomes (Extended Data Fig. 13). Donor-level RNA pseudobulk models covered astrocytes, excitatory neurons, inhibitory neurons, microglia, OPCs and oligodendrocytes. The primary diagnostic design compared ALS with control, combined ALS-FTD with control and ALS with combined ALS-FTD, with sex adjustment; technical-depth, complete-case age, donor-LOO and a source-matched 12-surrogate-variable model were prespecified sensitivities. Of 126 family-by-cell-type-by-contrast axes, 63 passed the base within-cohort gate and 40 passed the final gate requiring global family FDR &lt; 0.05, at least 90% LOO direction stability, technical and age direction retention, and same-direction global FDR &lt; 0.05 in the 12-surrogate-variable model.</w:t>
      </w:r>
    </w:p>
    <w:p>
      <w:pPr>
        <w:pStyle w:val="BodyText"/>
      </w:pPr>
      <w:r>
        <w:t xml:space="preserve">Ten final axes concerned ALS versus control. Mitochondrial energy was lower in astrocytes, inhibitory neurons, OPCs and oligodendrocytes; synapse/junction programmes were higher in astrocytes but lower in excitatory and inhibitory neurons; axon development was lower in both neuronal classes; and small-GTPase regulation was lower in inhibitory neurons. Sixteen final axes concerned ALS-FTD versus control, with broad reductions in neuronal and oligodendroglial mitochondrial, proteostasis, synaptic or axonal programmes. Fourteen final axes separated ALS from combined ALS-FTD, primarily reflecting relatively higher proteostasis programmes in ALS and lower inhibitory-neuronal synapse/junction activity. These are cohort-specific diagnostic effects rather than a direct C9 ALS-versus-C9 FTD comparison.</w:t>
      </w:r>
    </w:p>
    <w:p>
      <w:pPr>
        <w:pStyle w:val="BodyText"/>
      </w:pPr>
      <w:r>
        <w:t xml:space="preserve">The stringent third-cohort test altered the strength, but not the level, of the main claim. No ALS-versus-control programme axis retained the same direction while passing the complete global-FDR and robustness gate in GSE219280, Gittings and Ruf. This zero three-cohort result did not indicate absence of signal: the Ruf cohort itself contained 10 robust ALS axes, and astrocytic synapse/junction activity agreed with the discovery direction and passed the Ruf and discovery global FDR gates. Rather, it showed that effect directions were not universally transportable across region, cohort composition and analysis context. Accordingly, the 13 GSE219280-Gittings strict axes remain two-cohort C9 replications, while Ruf provides an external diagnostic portability test and a boundary against universalization.</w:t>
      </w:r>
    </w:p>
    <w:p>
      <w:pPr>
        <w:pStyle w:val="BodyText"/>
      </w:pPr>
      <w:r>
        <w:t xml:space="preserve">The waterfall ran 126 axes down to 65 at global family FDR (Extended Data Fig. 14a), held at 65 through donor-LOO (no axis was lost there), 63 after technical-plus-age direction, 55 after surrogate-variable direction, and 40 after surrogate-variable global FDR: 76 of the 86 eliminations fell at significance gates. The complete three-cohort gate could be evaluated for only 21 glial ALS axes - six of the ten final Ruf ALS axes never enter it, since discovery has no neuronal or microglial mechanism matrix. Of the four evaluable axes, three genuinely reversed (two in both C9 cohorts, one in Gittings) and only one was concordant but underpowered. Attainability tells the same story from the other side: just 3 of 21 evaluable axes had better-than-even odds of passing (median 0.012), and the three mitochondrial axes with odds of 0.66-1.00 were exactly the ones that flipped. The three-cohort zero, decomposed, is structural unattainability plus real reversal - each part now quantified.</w:t>
      </w:r>
    </w:p>
    <w:p>
      <w:pPr>
        <w:pStyle w:val="BodyText"/>
      </w:pPr>
      <w:r>
        <w:t xml:space="preserve">Fourteen frozen single-gene axes passed transcriptome-wide FDR, donor-LOO, technical, age and 12-surrogate-variable gates in Ruf. All occurred in comparisons involving ALS-FTD and included HSP90AB1, MAP1B and COX7C in inhibitory neurons and oligodendrocytes, COX5B in oligodendrocytes and BCR in the ALS-versus-ALS-FTD oligodendroglial contrast. No frozen gene passed the final gate for ALS versus control. A seven-donor C9 ALS-FTD sensitivity yielded nine globally significant programme axes but no transcriptome-wide candidate-gene hit; it therefore cannot substitute for a C9 ALS-versus-C9 FTD cohort.</w:t>
      </w:r>
    </w:p>
    <w:p>
      <w:pPr>
        <w:pStyle w:val="BodyText"/>
      </w:pPr>
      <w:r>
        <w:t xml:space="preserve">The matched ATAC layer did not close the regulatory chain. One excitatory-neuron STARD13 promoter peak in ALS-FTD versus control passed the primary whole-peak FDR (log2 fold change = 0.5596; FDR = 0.0472), but its technical-adjusted whole-peak FDR was 0.0520. Across frozen promoter peaks and donor-level RNA-ATAC residual associations, no candidate simultaneously passed the RNA diagnostic gate, technical-adjusted peak-wide accessibility gate and peak-gene-association gate. Ruf therefore supplies external same-nucleus diagnostic testing, but not evidence for a complete chromatin-to-expression mechanism.</w:t>
      </w:r>
    </w:p>
    <w:p>
      <w:pPr>
        <w:pStyle w:val="BodyText"/>
      </w:pPr>
      <w:r>
        <w:t>A t-distribution sensitivity reconstruction of the key GSE212630 intervals left every conclusion intact: astrocytic protein stabilization beta = -0.840 (95% CI -1.235 to -0.446, roughly 9 df) and microglial BAG3 beta = -0.985 (95% CI -1.407 to -0.564, roughly 21 df); all 42 pTDP trends with FDR &lt; 0.05 kept intervals clear of zero.</w:t>
      </w:r>
    </w:p>
    <w:p>
      <w:pPr>
        <w:pStyle w:val="BodyText"/>
      </w:pPr>
      <w:r>
        <w:t xml:space="preserve">A finite candidate set relates replicated programmes to external TDP-43 splicing evidence</w:t>
      </w:r>
    </w:p>
    <w:p>
      <w:pPr>
        <w:pStyle w:val="BodyText"/>
      </w:pPr>
      <w:r>
        <w:t xml:space="preserve">We organized the 17 discovery-derived leading-edge candidates, frozen before external testing, into a finite evidence matrix rather than deriving a decorative causal network (Fig. 4). COX5B, COX7C and PARK7 represented the mitochondrial programme; ARHGAP35, ARHGAP39, DOCK7 and STARD13 represented small-GTPase regulation; and MAP1B, MAPT and BCR represented synaptic/axonal structure. BAG3, HSP90AA1 and HSP90AB1 repeatedly contributed to protein-folding, protein-stabilization and heat-response programmes. The matrix records the exact evidence layer supporting each gene and distinguishes programme membership, transcript-level association, pathology trend and peak-gene correlation.</w:t>
      </w:r>
    </w:p>
    <w:p>
      <w:pPr>
        <w:pStyle w:val="BodyText"/>
      </w:pPr>
      <w:r>
        <w:t xml:space="preserve">TDP-43 biology was anchored using external published event-level evidence. The available GSE219280 gene-count matrix did not support junction-, isoform- or percent-spliced-in analysis. Accordingly, STMN2 and KALRN cryptic-exon observations from the published Gittings C9 study were cited as external event-level support rather than re-detected events in the discovery cohort</w:t>
      </w:r>
      <w:r>
        <w:t xml:space="preserve"> </w:t>
      </w:r>
      <w:r>
        <w:t xml:space="preserve">[6]</w:t>
      </w:r>
      <w:r>
        <w:t xml:space="preserve">. UNC13A was retained as an experimentally established TDP-43 cryptic-splicing target</w:t>
      </w:r>
      <w:r>
        <w:t xml:space="preserve"> </w:t>
      </w:r>
      <w:r>
        <w:t xml:space="preserve">[15,16]</w:t>
      </w:r>
      <w:r>
        <w:t xml:space="preserve">, but was neither detected in the Gittings single-nucleus event analysis nor tested in the primary gene-count input. Gene-expression changes were not interpreted as proof of mis-splicing.</w:t>
      </w:r>
    </w:p>
    <w:p>
      <w:pPr>
        <w:pStyle w:val="BodyText"/>
      </w:pPr>
      <w:r>
        <w:t xml:space="preserve">pTDP-graded paired multiome data associate glial proteostasis loss with oligodendroglial accessibility differences</w:t>
      </w:r>
    </w:p>
    <w:p>
      <w:pPr>
        <w:pStyle w:val="BodyText"/>
      </w:pPr>
      <w:r>
        <w:t xml:space="preserve">To place the diagnostic programmes in a pathology-burden context, we analysed GSE212630 under an ordinal pTDP estimand using paired RNA and ATAC measurements from the same nuclei (Fig. 5). In 14 annotated Emory donors, astrocytic protein stabilization decreased with each higher pTDP level (beta = -0.8402, normal-approximation 95% CI -1.1820 to -0.4984; global FDR = 0.0399). This effect remained similar after adjustment for the astrocyte composition coordinate (beta = -0.8426; global FDR = 0.0405), indicating that the association was not explained by the measured captured-cell proportion in this dataset.</w:t>
      </w:r>
    </w:p>
    <w:p>
      <w:pPr>
        <w:pStyle w:val="BodyText"/>
      </w:pPr>
      <w:r>
        <w:t xml:space="preserve">Within the 17-gene candidate set, eight cell-type-specific RNA trends passed candidate-set correction and retained their direction in all 14 donor-LOO iterations. For this multiome candidate audit, LOO direction stability was recomputed by design-matched ordinary least squares on the normalized filtered matrices; edgeR dispersion and quasi-likelihood components were not refitted. These included HSP90AB1, HSP90AA1 and COX5B in astrocytes; BAG3, HSP90AA1, MAP1B and STARD13 in microglia; and COX5B in OPCs. Microglial BAG3 decreased by 0.9854 log2 units per pTDP category (candidate-set global FDR = 0.0048) and was the only highlighted target also passing transcriptome-wide FDR (0.0443). These data prioritize a BAG3-HSP90-related glial proteostasis programme while remaining associative.</w:t>
      </w:r>
    </w:p>
    <w:p>
      <w:pPr>
        <w:pStyle w:val="BodyText"/>
      </w:pPr>
      <w:r>
        <w:t>Genome-wide ATAC analysis identified 409 pTDP-associated differentially accessible regions (DARs), of which 406 occurred in oligodendrocytes and 3 in microglia. Same-nucleus analyses identified seven significant adjusted peak-gene correlations involving DOCK7, COX5B, COX7C, MAP1B and ARHGAP39 (Spearman rho range, -0.8550 to 0.8901; correlation FDR range, 0.0099 to 0.0347). However, candidate-proximal peaks did not pass the strict disease-trend correction, and no candidate met the complete prespecified gate requiring an RNA pTDP trend, an accessibility pTDP trend and a peak-gene link. We therefore describe these findings as predominantly oligodendroglial accessibility differences and candidate peak-gene association context, not enhancer-to-gene regulation or an ATAC-to-RNA causal cascade. Motif/chromVAR results were not interpreted because no prespecified, technically adjusted donor-level model passed the required quality and donor leave-one-out stability checks.</w:t>
      </w:r>
    </w:p>
    <w:p>
      <w:pPr>
        <w:pStyle w:val="BodyText"/>
      </w:pPr>
      <w:r>
        <w:t xml:space="preserve">Two independent TDP-43 knockdown datasets provide perturbation-level evidence for context dependence (Extended Data Fig. 14)</w:t>
      </w:r>
    </w:p>
    <w:p>
      <w:pPr>
        <w:pStyle w:val="BodyText"/>
      </w:pPr>
      <w:r>
        <w:t xml:space="preserve">TARDBP fell sharply in both lines (log2FC -1.79 in GSE296710 and -2.89 in GSE296714, FDR &lt; 1e-8), and the two knockdown signatures tracked each other closely (genome-wide Spearman rho = 0.335; of 1,074 genes changing by more than |log2FC| 0.5, 859 moved the same way, P = 1.3e-91). Set against the GSE212630 pTDP trends for the 17 candidates, the knockdown effects split cleanly by lineage: negative in all three glial populations of both lines (6/6, exact binomial P = 0.031; astrocytes -0.510 and -0.240, oligodendrocytes -0.625 and -0.449, OPC -0.699 and -0.510) yet positive in excitatory neurons (+0.350 and +0.123). TDP-43 loss itself quieted the inducible chaperone arm - HSPH1, DNAJB1, CHORDC1 and BAG3 all fell in both datasets, with DNAJB1 at -1.58, HSPH1 at -1.19 and CHORDC1 at -0.93 in the Humphrey line (FDR &lt; 0.005) - while mitochondrial-energy members rose almost unanimously (21/22, P = 1.1e-05). Loss of TDP-43, in short, moves the same molecules the glial programmes contain, but in the opposite direction to the glial disease trend, which argues against these glial states being the simple cell-autonomous echo of neuronal TDP-43 depletion.</w:t>
      </w:r>
    </w:p>
    <w:p>
      <w:pPr>
        <w:pStyle w:val="BodyText"/>
      </w:pPr>
      <w:r>
        <w:t xml:space="preserve">Programme gene sets are not enriched for ALS germline risk; MAPT passes correction (Extended Data Fig. 14)</w:t>
      </w:r>
    </w:p>
    <w:p>
      <w:pPr>
        <w:pStyle w:val="BodyText"/>
      </w:pPr>
      <w:r>
        <w:t xml:space="preserve">The pipeline behaved as it should, placing C9orf72 third genome-wide (Z = 6.96, P = 1.7e-12), UNC13A seventh (P = 6.4e-09) and TBK1 ninth (P = 3.7e-08) among 18,901 genes. Against that backdrop the gene-set result is unambiguous: not one of the nine sets cleared P = 0.05 (mitochondrial energy at 0.17 and axon development at 0.20 came closest), so the replicated programmes are not a functional outlet of ALS germline risk. At the single-gene level, MAPT alone survived Bonferroni correction among the 17 candidates (Z = 3.30, P = 4.8e-04 against a 0.0029 threshold), COA3 (P = 0.029) and COX5B (P = 0.047) showed nominal association, and BAG3 sat at the margin (P = 0.094). UNC13A, for its part, now carries three independent layers - genome-wide association in the top ten, classic TDP-43-dependent cryptic-splicing biology, and event-level detection in an external C9 cohort</w:t>
      </w:r>
      <w:r>
        <w:t xml:space="preserve"> </w:t>
      </w:r>
      <w:r>
        <w:t xml:space="preserve">[6,15,16]</w:t>
      </w:r>
      <w:r>
        <w:t xml:space="preserve">.</w:t>
      </w:r>
    </w:p>
    <w:p>
      <w:pPr>
        <w:pStyle w:val="BodyText"/>
      </w:pPr>
      <w:r>
        <w:t xml:space="preserve">Composition and sensitivity analyses bound cell-state interpretations</w:t>
      </w:r>
    </w:p>
    <w:p>
      <w:pPr>
        <w:pStyle w:val="BodyText"/>
      </w:pPr>
      <w:r>
        <w:t>We finally tested whether captured cell-type proportions could account for the principal programme associations (Fig. 2d). Donor-level centred-log-ratio (CLR) models were applied to GSE219280, the Gittings ALS and FTD sampling frames, and the 14 annotated Emory donors in GSE212630, while bulk GSE153960 was evaluated by reference-based NNLS deconvolution and composition-adjusted sensitivity modelling. These estimates represent captured nuclei or reference-derived proportions and not absolute tissue abundance.</w:t>
      </w:r>
    </w:p>
    <w:p>
      <w:pPr>
        <w:pStyle w:val="BodyText"/>
      </w:pPr>
      <w:r>
        <w:t xml:space="preserve">In GSE219280, significant composition differences included increased endothelial and OPC coordinates and reduced intermediate excitatory-neuron coordinates in FTD-related contrasts after global correction; the full set of effects and donor-LOO results is reported in Source Data. No GSE212630 cell-type composition trend passed FDR correction for ordinal pTDP burden. In GSE153960, primary and composition-adjusted gene effects remained highly correlated across ALS contrasts (Pearson r = 0.93-0.96), although the number of genes meeting the most stringent effect-size-aware criterion decreased after adjustment. These findings indicate that major expression directions were not simply erased by composition adjustment, but they also delimit any claim that pseudobulk changes represent pure within-cell-state biology.</w:t>
      </w:r>
    </w:p>
    <w:p>
      <w:pPr>
        <w:pStyle w:val="BodyText"/>
      </w:pPr>
      <w:r>
        <w:t xml:space="preserve">Frozen result boundaries</w:t>
      </w:r>
    </w:p>
    <w:p>
      <w:pPr>
        <w:pStyle w:val="BodyText"/>
      </w:pPr>
      <w:r>
        <w:t xml:space="preserve">The 17-gene audit is not evidence of universal gene-level replication. The fourteen Ruf gene axes are cohort-specific external replications involving ALS-FTD contrasts, not three-cohort biomarkers. Zero programme axes passed the complete three-diagnostic-cohort ALS gate. The seven GSE212630 peak-gene correlations and Ruf residual associations are associations and not causal links. Neither multiome cohort produced a complete RNA-ATAC chain. LOO is an internal robustness test and not an additional validation cohort.</w:t>
      </w:r>
    </w:p>
    <w:bookmarkEnd w:id="11"/>
    <w:bookmarkStart w:id="12" w:name="discussion"/>
    <w:p>
      <w:pPr>
        <w:pStyle w:val="Heading2"/>
      </w:pPr>
      <w:r>
        <w:rPr>
          <w:rStyle w:val="SectionNumber"/>
        </w:rPr>
        <w:t xml:space="preserve">1.4</w:t>
      </w:r>
      <w:r>
        <w:tab/>
      </w:r>
      <w:r>
        <w:t xml:space="preserve">Discussion</w:t>
      </w:r>
    </w:p>
    <w:p>
      <w:pPr>
        <w:pStyle w:val="FirstParagraph"/>
      </w:pPr>
      <w:r>
        <w:t xml:space="preserve">This integrative analysis supports a model in which molecular differences across the C9orf72-TDP-43 ALS-FTD spectrum are organized by cellular and regional context rather than by a single, uniformly directed disease signature. The strongest evidence came from programme-level replication across donor-aware single-nucleus transcriptomic cohorts. Mitochondrial and proteostasis programmes, together with small-GTPase, synaptic and axonal programmes, repeatedly separated diagnostic states, but their directions varied across cell types and sampling contexts. This combination of replication and bounded heterogeneity is biologically more informative than a simple intersection of differentially expressed genes: it identifies molecular systems that recur while preserving the cellular settings in which their effects differ.</w:t>
      </w:r>
    </w:p>
    <w:p>
      <w:pPr>
        <w:pStyle w:val="BodyText"/>
      </w:pPr>
      <w:r>
        <w:t xml:space="preserve">The external C9 transcriptomic cohort, for which no public-identifier overlap was detected but complete donor independence could not be proved, strengthened this interpretation in two ways. First, exact matching of disease contrast, cell type and the frozen mechanism families produced a finite set of strict replicated axes that were stable to donor exclusion. Second, several axes were statistically strong and LOO-stable in both cohorts yet pointed in opposite directions. These discordant results should not be treated as failed replication or averaged away. They may reflect brain-region sampling, disease-stage composition, tissue preservation, case selection or other cohort-specific factors. Because the available datasets cannot fully distinguish these explanations, our conclusion is deliberately restricted to context-dependent programme architecture rather than a universal direction for each pathway.</w:t>
      </w:r>
    </w:p>
    <w:p>
      <w:pPr>
        <w:pStyle w:val="BodyText"/>
      </w:pPr>
      <w:r>
        <w:t>The binomial test sharpens what replication means here and is consistent with the family-stratified pattern in Fig. 3a,b. Overall concordance of 61.9% is statistically indistinguishable from a coin flip (P = 0.077), yet the axon-small-GTPase-synapse layer agrees well beyond chance (77.8%, P = 0.006) - and it is precisely these three families that contribute three strict-replication axes apiece, while mitochondrial energy reverses across cohorts in a pattern its Ruf glial axes repeat. Portability, on this evidence, belongs to programme families rather than to the transcriptome at large.</w:t>
      </w:r>
    </w:p>
    <w:p>
      <w:pPr>
        <w:pStyle w:val="BodyText"/>
      </w:pPr>
      <w:r>
        <w:t xml:space="preserve">The larger Ruf same-nucleus cohort provided a more stringent test because the family and gene registry was frozen before its outcomes were examined. Forty axes remained significant after multiple testing and survived donor omission, technical, age and 12-surrogate-variable sensitivity gates, confirming that the programmes capture reproducible diagnostic structure within an external motor-cortex dataset. Yet no ALS-versus-control axis passed the complete same-direction gate across GSE219280, Gittings and Ruf. We regard this as a substantive transportability result, not a reason to select a more favourable subset. The cohorts differ in cortical region, genetic composition, phenotype composition, tissue processing and sampling frame, and a programme can therefore be internally robust without having a universal direction across every setting. This sharpens the conclusion from “replicated pathways” to “recurrent biological systems whose direction is conditional on cell and cohort context.”</w:t>
      </w:r>
    </w:p>
    <w:p>
      <w:pPr>
        <w:pStyle w:val="BodyText"/>
      </w:pPr>
      <w:r>
        <w:t xml:space="preserve">The glial proteostasis findings add a pathology-burden dimension to the diagnostic comparisons. In the paired multiome cohort, higher pTDP burden was associated with lower astrocytic protein-stabilization expression, including convergent candidate-level changes in BAG3 and HSP90-family genes across astrocytes and microglia. Composition adjustment left the astrocytic programme coefficient largely unchanged, making simple shifts in captured astrocyte proportion an unlikely explanation within this cohort. These associations prioritize a BAG3-HSP90-related glial state for functional investigation, but they do not demonstrate that this pathway causes TDP-43 accumulation or determines ALS versus FTD phenotype.</w:t>
      </w:r>
    </w:p>
    <w:p>
      <w:pPr>
        <w:pStyle w:val="BodyText"/>
      </w:pPr>
      <w:r>
        <w:t xml:space="preserve">The knockdown data give this context dependence a direction. Losing TDP-43 in neurons is enough to suppress the inducible chaperone arm, which ties the glial proteostasis signal to TDP-43 biology; but the uniformly negative glial correlations (6/6) show that glial programmes are not the same-direction, cell-autonomous product of neuronal depletion - non-cell-autonomous signalling, compensation or reactive gliosis all fit better. Either way, the direction itself is perturbation-level evidence for the cell-context model, and it points functional validation towards proteostasis control within glia rather than towards rescuing TDP-43 in neurons.</w:t>
      </w:r>
    </w:p>
    <w:p>
      <w:pPr>
        <w:pStyle w:val="BodyText"/>
      </w:pPr>
      <w:r>
        <w:t xml:space="preserve">Chromatin accessibility provided an additional but incomplete layer of evidence. In GSE212630, pTDP-associated DARs were concentrated in oligodendrocytes, and several same-nucleus peak-gene correlations involved genes from the predefined mitochondrial, small-GTPase and axonal programmes. In Ruf, one STARD13 promoter peak passed the primary whole-peak correction but narrowly missed the technical-adjusted threshold. Neither cohort met the full joint gate combining RNA change, peak change and peak-gene association. Furthermore, motif-level interpretation failed the technical quality gate in the pathology-graded cohort. The appropriate conclusion is therefore that multiome data provide bounded chromatin context; they do not establish an enhancer-to-gene cascade or transcription-factor mechanism.</w:t>
      </w:r>
    </w:p>
    <w:p>
      <w:pPr>
        <w:pStyle w:val="BodyText"/>
      </w:pPr>
      <w:r>
        <w:t xml:space="preserve">Genetic anchoring draws one more boundary. With no prespecified gene set enriched for germline risk, the programmes are best read as output of the disease process rather than as the cellular gateway of risk variants - a reading that fits their observational evidence tier and that should temper any claim that they are the cellular correlate of genetic susceptibility. At the gene level, MAPT clearing Bonferroni gives the synaptic/axonal candidate layer limited but genuine genetic footing, while the UNC13A top-ten association adds a third, independent layer to a gene already anchored by TDP-43-dependent splicing biology and external event-level detection - convergence of external evidence, not local replication.</w:t>
      </w:r>
    </w:p>
    <w:p>
      <w:pPr>
        <w:pStyle w:val="BodyText"/>
      </w:pPr>
      <w:r>
        <w:t xml:space="preserve">The study also clarifies how TDP-43 splicing evidence can be integrated without overclaiming assay capability. Gene-count matrices from the discovery cohort cannot directly test cryptic-exon junctions or isoforms. We therefore used published event-level STMN2 and KALRN observations as external disease-specific anchors and treated UNC13A as established literature evidence. This links the programme architecture to known TDP-43 biology while preserving the distinction between expression, splicing and chromatin accessibility. A future matched dataset that measures diagnosis, pathology grade, full-length or junction-resolved RNA and chromatin accessibility in the same donors would allow these layers to be tested directly.</w:t>
      </w:r>
    </w:p>
    <w:p>
      <w:pPr>
        <w:pStyle w:val="BodyText"/>
      </w:pPr>
      <w:r>
        <w:t xml:space="preserve">Several limitations define the scope of the work. All data were generated by previous studies, and reanalysis cannot eliminate differences in dissection, case ascertainment, nuclei recovery, sequencing chemistry or annotation. The discovery cohort contained 17 donors, with limited power for some FTD neuronal contrasts. Public donor identifiers allowed us to detect no overlap for the Gittings cohort, but de-identification prevented proof of complete donor independence across all studies. The Gittings ALS-versus-FTD estimate was a partition-bridged difference-in-differences anchored to controls within each source partition and should not be interpreted as an unconfounded direct case comparison. In Ruf, the ALS-FTD group combined 10 sporadic and 7 C9-associated donors; there was no C9 ALS arm for a genetic-matched phenotype comparison, and exact public clinical-table age matching was available for 70 of 79 donors. Captured nuclei proportions and reference-derived bulk deconvolution are not equivalent to histological cell abundance. Finally, both multiome analyses were associative, and no wet-laboratory perturbation was available. Sample sizes were determined by public-data availability and eligibility rather than prospective power calculations; randomization and blinding of original biospecimen collection were outside this secondary analysis, and analysts were not masked to the labels needed for the planned contrasts.</w:t>
      </w:r>
    </w:p>
    <w:p>
      <w:pPr>
        <w:pStyle w:val="BodyText"/>
      </w:pPr>
      <w:r>
        <w:t xml:space="preserve">These limitations also define specific next experiments. Priority tests include perturbing BAG3-HSP90 proteostasis in human astrocyte or microglial models under TDP-43 loss-of-function or aggregation stress; validating oligodendroglial DARs with targeted chromatin assays; and measuring STMN2, KALRN and UNC13A junctions together with programme expression in region-matched ALS and FTD tissue. Until such data are available, the present study provides a reproducible, donor-aware map of candidate molecular programmes and their evidence boundaries rather than a causal mechanism or clinical biomarker panel.</w:t>
      </w:r>
    </w:p>
    <w:p>
      <w:pPr>
        <w:pStyle w:val="BodyText"/>
      </w:pPr>
      <w:r>
        <w:t>In summary, the results argue against collapsing the ALS-FTD spectrum into one shared molecular signature. Two-cohort C9 programme replication, frozen testing in a larger diagnostic same-nucleus cohort, pathology-graded paired multiome analysis and explicit sensitivity testing instead support a cell-context model that links neuronal mitochondrial/synaptic systems and glial proteostasis/chromatin states (Fig. 6). The absence of a universal three-cohort ALS axis, once decomposed, becomes part of that conclusion: the gate is structurally out of reach for most evaluable axes (median attainable probability 1.2%), the mitochondrial axes best placed to clear it are direction-flipped, concordance sorts by family (77.8% pooled, P = 0.006), and both perturbation and genetic anchoring place the programmes downstream of disease process. This framework yields experimentally testable hypotheses while retaining the distinction between cohort-level robustness, cross-cohort portability, external mechanistic anchors and incomplete regulatory evidence.</w:t>
      </w:r>
    </w:p>
    <w:p>
      <w:pPr>
        <w:pStyle w:val="BodyText"/>
      </w:pPr>
      <w:r>
        <w:t xml:space="preserve">Relation to the source studies and study-specific advance</w:t>
      </w:r>
    </w:p>
    <w:p>
      <w:pPr>
        <w:pStyle w:val="BodyText"/>
      </w:pPr>
      <w:r>
        <w:t xml:space="preserve">The source GSE219279/280 study described divergent C9-ALS and C9-FTD transcriptomic and epigenomic changes across cell types and cortical regions</w:t>
      </w:r>
      <w:r>
        <w:t xml:space="preserve"> </w:t>
      </w:r>
      <w:r>
        <w:t xml:space="preserve">[5]</w:t>
      </w:r>
      <w:r>
        <w:t xml:space="preserve">, the Gittings study reported transcriptomic changes and cryptic-exon events across C9-linked ALS-FTD</w:t>
      </w:r>
      <w:r>
        <w:t xml:space="preserve"> </w:t>
      </w:r>
      <w:r>
        <w:t xml:space="preserve">[6]</w:t>
      </w:r>
      <w:r>
        <w:t xml:space="preserve">, GSE212630 related cortical pTDP-43 grade to cell-type-specific multiome changes</w:t>
      </w:r>
      <w:r>
        <w:t xml:space="preserve"> </w:t>
      </w:r>
      <w:r>
        <w:t xml:space="preserve">[7]</w:t>
      </w:r>
      <w:r>
        <w:t xml:space="preserve">, and Ruf 2026 mapped diagnostic TDP-43 pathology in motor-cortex same-nucleus multiome data</w:t>
      </w:r>
      <w:r>
        <w:t xml:space="preserve"> </w:t>
      </w:r>
      <w:r>
        <w:t xml:space="preserve">[10]</w:t>
      </w:r>
      <w:r>
        <w:t xml:space="preserve">. The present advance is therefore not the first observation of C9-associated cell states, cryptic splicing or multiome differences. It is the donor-aware, exact-estimand testing of a programme registry that was frozen before the 79-donor external diagnostic analysis; explicit separation of two-cohort replication, third-cohort transportability and cohort-specific gene support; and transparent reporting that neither multiome cohort produced a complete RNA-change, accessibility-change and peak-gene-association chain. These features support a rigorous cross-cohort synthesis and a bounded set of testable hypotheses, not a newly proven molecular mechanism.</w:t>
      </w:r>
    </w:p>
    <w:bookmarkEnd w:id="12"/>
    <w:bookmarkStart w:id="13" w:name="data-availability"/>
    <w:p>
      <w:pPr>
        <w:pStyle w:val="Heading2"/>
      </w:pPr>
      <w:r>
        <w:rPr>
          <w:rStyle w:val="SectionNumber"/>
        </w:rPr>
        <w:t xml:space="preserve">1.5</w:t>
      </w:r>
      <w:r>
        <w:tab/>
      </w:r>
      <w:r>
        <w:t xml:space="preserve">Data availability</w:t>
      </w:r>
    </w:p>
    <w:p>
      <w:pPr>
        <w:pStyle w:val="FirstParagraph"/>
      </w:pPr>
      <w:r>
        <w:t>All datasets analysed in this study are publicly available. Single-nucleus RNA-sequencing discovery data are available from the NCBI Gene Expression Omnibus under accession GSE219280, and matched same-donor single-nucleus ATAC-sequencing data are available under GSE219279. Paired RNA-ATAC multiome data are available under GSE212630. The Ruf 2026 diagnostic same-nucleus RNA-ATAC matrices and metadata are available under Zenodo DOI 10.5281/zenodo.18370645 (record 18370646; https://zenodo.org/records/18370646). The external C9orf72-spectrum single-nucleus transcriptomic cohort reported by Gittings and colleagues, with no donor overlap detected in public identifiers but no claim of proven complete independence, is available through CELLxGENE collection aee9c366-f2fb-470b-8937-577d5d87d3fc. Supporting bulk and FTD datasets are available under GSE153960 and GSE163122, respectively. Published event-level TDP-43 splicing evidence was obtained from the cited source studies. No new human participants were recruited and no new primary biospecimens were generated for this work. Twenty-two current panel- or component-level source-data tables supporting Figures 1-6 are included in the locked submission package, together with a manifest that maps each file to the displayed figure component. Their permanent public repository location and DOI are [REPOSITORY/DOI TO BE ADDED]. Where repository licences or file size prevent redistribution of raw matrices or fragments, the source-data package will provide accession identifiers, retrieval dates, checksums and scripts required to reconstruct the analysed objects. Public donor identifiers are reported only at the level already released by the source studies.</w:t>
      </w:r>
    </w:p>
    <w:p>
      <w:pPr>
        <w:pStyle w:val="BodyText"/>
      </w:pPr>
      <w:r>
        <w:t xml:space="preserve">The additional analyses drew on ALS GWAS summary statistics (GCST90027164, GWAS Catalog), two TDP-43 knockdown series (GSE296710 and GSE296714, GEO), MAGMA v1.10 with the g1000_eur reference panel (Zenodo record 14142263), and GENCODE v19. The new scripts - binomial concordance testing, gate waterfall and attainability, t-interval rebuilding, perturbation signature consistency, and genetic anchoring - ship with the analysis package together with their source-data tables.</w:t>
      </w:r>
    </w:p>
    <w:p>
      <w:pPr>
        <w:pStyle w:val="BodyText"/>
      </w:pPr>
      <w:r>
        <w:t>All analysis and figure-generation code will be archived at [REPOSITORY/DOI TO BE ADDED] and released under an [REPOSITORY/DOI TO BE ADDED] licence. The repository will include: - data-retrieval and checksum manifests; - cohort and donor-identity audits; - donor-level pseudobulk and differential-expression workflows; - predefined gene-set enrichment and cross-cohort evidence integration; - differential composition and bulk deconvolution sensitivity analyses; - paired multiome RNA, ATAC and peak-gene workflows; - donor leave-one-out and covariate-sensitivity scripts; - Figure 1-6 and Extended Data Figures 13-14 generation scripts and per-panel Source Data; - software lock files, random seeds and complete session information. The final archived release, commit hash and digital object identifier are [REPOSITORY/DOI TO BE ADDED]; local execution instructions are included in the submission package README.</w:t>
      </w:r>
    </w:p>
    <w:p>
      <w:pPr>
        <w:pStyle w:val="BodyText"/>
      </w:pPr>
      <w:r>
        <w:t xml:space="preserve">Ethics approval and public-data exemption</w:t>
      </w:r>
    </w:p>
    <w:p>
      <w:pPr>
        <w:pStyle w:val="BodyText"/>
      </w:pPr>
      <w:r>
        <w:t xml:space="preserve">[TO BE COMPLETED BY AUTHORS]</w:t>
      </w:r>
    </w:p>
    <w:p>
      <w:pPr>
        <w:pStyle w:val="BodyText"/>
      </w:pPr>
      <w:r>
        <w:t xml:space="preserve">Acknowledgements</w:t>
      </w:r>
    </w:p>
    <w:p>
      <w:pPr>
        <w:pStyle w:val="BodyText"/>
      </w:pPr>
      <w:r>
        <w:t xml:space="preserve">[TO BE COMPLETED BY AUTHORS]</w:t>
      </w:r>
    </w:p>
    <w:p>
      <w:pPr>
        <w:pStyle w:val="BodyText"/>
      </w:pPr>
      <w:r>
        <w:t xml:space="preserve">Funding</w:t>
      </w:r>
    </w:p>
    <w:p>
      <w:pPr>
        <w:pStyle w:val="BodyText"/>
      </w:pPr>
      <w:r>
        <w:t xml:space="preserve">[TO BE COMPLETED BY AUTHORS]</w:t>
      </w:r>
    </w:p>
    <w:p>
      <w:pPr>
        <w:pStyle w:val="BodyText"/>
      </w:pPr>
      <w:r>
        <w:t xml:space="preserve">Competing interests</w:t>
      </w:r>
    </w:p>
    <w:p>
      <w:pPr>
        <w:pStyle w:val="BodyText"/>
      </w:pPr>
      <w:r>
        <w:t xml:space="preserve">[TO BE COMPLETED BY AUTHORS]</w:t>
      </w:r>
    </w:p>
    <w:p>
      <w:pPr>
        <w:pStyle w:val="BodyText"/>
      </w:pPr>
      <w:r>
        <w:t xml:space="preserve">Author contributions</w:t>
      </w:r>
    </w:p>
    <w:p>
      <w:pPr>
        <w:pStyle w:val="BodyText"/>
      </w:pPr>
      <w:r>
        <w:t xml:space="preserve">[TO BE COMPLETED BY AUTHORS USING CRediT TAXONOMY]</w:t>
      </w:r>
    </w:p>
    <w:p>
      <w:pPr>
        <w:pStyle w:val="BodyText"/>
      </w:pPr>
      <w:r>
        <w:t xml:space="preserve">Artificial intelligence assistance disclosure</w:t>
      </w:r>
    </w:p>
    <w:p>
      <w:pPr>
        <w:pStyle w:val="BodyText"/>
      </w:pPr>
      <w:r>
        <w:t xml:space="preserve">[TO BE COMPLETED BY AUTHORS]</w:t>
      </w:r>
    </w:p>
    <w:bookmarkEnd w:id="13"/>
    <w:bookmarkStart w:id="57" w:name="figure-legends"/>
    <w:p>
      <w:pPr>
        <w:pStyle w:val="Heading2"/>
      </w:pPr>
      <w:r>
        <w:rPr>
          <w:rStyle w:val="SectionNumber"/>
        </w:rPr>
        <w:t xml:space="preserve">1.6</w:t>
      </w:r>
      <w:r>
        <w:tab/>
      </w:r>
      <w:r>
        <w:t xml:space="preserve">Figure legends</w:t>
      </w:r>
    </w:p>
    <w:p>
      <w:pPr>
        <w:pStyle w:val="FirstParagraph"/>
      </w:pPr>
      <w:r>
        <w:t>Figure 1 | Donor-aware study design and evidence framework across the ALS–FTD spectrum</w:t>
      </w:r>
    </w:p>
    <w:p>
      <w:pPr>
        <w:pStyle w:val="BodyText"/>
      </w:pPr>
      <w:r>
        <w:t>Overview of the public human-brain datasets, donor-level analytical workflow and prespecified evidence roles used in this study. GSE219280 provided single-nucleus RNA-sequencing discovery data, with matched same-donor GSE219279 single-nucleus ATAC-sequencing data providing chromatin context across BA4 motor and BA9 frontal cortex in 17 donors. External testing included the Gittings C9 cohort (37 donor identifiers), the Ruf diagnostic same-nucleus cohort (79 donors) and the GSE153960 bulk RNA-sequencing cohort (229 donors). GSE212630 (26 donors) and GSE163122 (9 donors) provided pathology-graded paired multiome and cross-genetic GRN-FTD context, respectively. Two iPSC-neuron TDP-43-loss datasets (GSE296710 and GSE296714) and ALS GWAS/MAGMA analysis (29,612 cases and 122,656 controls) served as mechanistic and genetic anchors. Nuclei or reads were grouped by donor, brain region and cell type, aggregated to pseudobulk and analysed using donor-blocked models where regions were repeated within donors. Each dataset was assigned one primary interpretive role—discovery, replication, portability or orthogonal support—to distinguish direct replication from contextual or mechanistic evidence. Biological donors, rather than individual nuclei, defined the inferential sample size.</w:t>
      </w:r>
    </w:p>
    <w:p>
      <w:pPr>
        <w:pStyle w:val="BodyText"/>
      </w:pPr>
      <w:r>
        <w:t xml:space="preserve">Figure 2 | Cell-type- and region-dependent programmes in the discovery cohort</w:t>
      </w:r>
    </w:p>
    <w:p>
      <w:pPr>
        <w:pStyle w:val="BodyText"/>
      </w:pPr>
      <w:r>
        <w:t xml:space="preserve">a, Normalized enrichment score (NES) matrix for 63 axes formed by seven prespecified mechanism families, three major cell types and ALS-versus-control, FTD-versus-control and ALS-versus-FTD contrasts in GSE219280; 35 axes pass Benjamini-Hochberg global primary FDR &lt; 0.05 across the frozen family-by-cell-type-by-contrast universe. Colour indicates direction and white circles indicate this gate. FGSEA used gene rankings from limma donor-blocked pseudobulk models with diagnosis-by-region fixed effects and duplicate-correlation adjustment for repeated regions. The biological unit was the donor: 16 donors for astrocytes and 17 each for OPCs and oligodendrocytes; panel-specific sample counts and exact nominal and adjusted values are in Source Data. b, Descriptive phenotype-direction classes derived from the three contrast-specific NES values in the same 16/17-donor models; the classes have no separate inferential test. c, Threshold robustness. All 63 programme directions were retained at both the 20- and 50-nucleus sensitivity thresholds relative to the 30-nucleus primary analysis. The source table reports 16 astrocyte and 17 OPC/oligodendrocyte donor omissions for the corresponding primary axes. This is internal sensitivity analysis, not external replication. d, Donor-level centred-log-ratio (CLR) composition effects with normal-approximation 95% confidence intervals in 33 donor-region samples from 17 biological donors. Diagnosis/region contrasts were tested in donor-blocked limma linear models. Primary composition contrasts and secondary formal region-interaction coefficients have separate roles and correction fields; Benjamini-Hochberg global primary FDR is applied only to the prespecified primary CLR contrasts, while interaction rows without a primary global FDR are descriptive/secondary. Exact nominal P values and adjusted values are in Source Data. CLR effects refer to relative captured-nucleus composition rather than absolute tissue abundance.</w:t>
      </w:r>
    </w:p>
    <w:p>
      <w:pPr>
        <w:pStyle w:val="BodyText"/>
      </w:pPr>
      <w:r>
        <w:rPr>
          <w:b/>
        </w:rPr>
        <w:t>Figure 3 | Exact-estimand programme replication and its boundaries across C9 and GRN cohorts</w:t>
        <w:br/>
      </w:r>
      <w:r>
        <w:t>a, Discovery-versus-Gittings NES values for all 63 axes matched exactly by diagnostic estimand, harmonized cell type and frozen mechanism family. Thirty-nine axes share direction, 13 pass the strict two-cohort gate of same direction, cohort-specific global FDR &lt; 0.05 and donor-LOO direction stability of at least 90%, and three are significant and LOO-stable in both cohorts but directionally discordant. Shape denotes cell type; teal and amber denote strict replicated and stable-discordant axes, respectively. The Gittings ALS-versus-FTD estimate is a partition-bridged difference-in-differences and is not an unconfounded direct case comparison. b, Number of globally significant Gittings cell-type axes for each family and estimand; colour denotes whether significant axes are consistently positive, consistently negative or mixed, and zero denotes no significant axis. c, Donor-LOO robustness among the 68 globally significant Gittings axes: all retain direction in at least 90% of valid refits and 66 retain direction in every valid refit; 65 axes had 37 valid refits and three had 36. d, Cross-genetic GRN-FTD boundary in GSE163122: three axes are direction-stable in all nine donor omissions. NES values are shown without confidence intervals. e, Same-direction frequency for each frozen candidate gene across its nine matched settings. No single-gene axis passes the strict dual-cohort replication gate (0/153), so the panel describes directional agreement rather than gene-level replication.</w:t>
      </w:r>
    </w:p>
    <w:p>
      <w:pPr>
        <w:pStyle w:val="BodyText"/>
      </w:pPr>
      <w:r>
        <w:rPr>
          <w:b/>
        </w:rPr>
        <w:t>Figure 4 | Discovery-derived leading-edge candidates and external TDP-43 event-level evidence</w:t>
        <w:br/>
      </w:r>
      <w:r>
        <w:t>a, Matrix of 17 discovery-derived candidate genes, frozen before external-cohort testing, by evidence layer, distinguishing programme membership, transcript-level association, pathology trend, chromatin context and published splicing evidence. b, Non-causal contributor map grouped by mitochondrial, proteostasis, small-GTPase and synaptic/axonal programmes. Node size indicates the number of supporting comparisons or evidence layers; lines denote shared programme membership and not regulation. c, Published event-level evidence: STMN2, maximum absolute delta PSI 0.706 and minimum LeafCutter FDR 4.82 × 10^-6; KALRN, 0.831 and 2.26 × 10^-12; and UNC13A, 0.836 and 1.17 × 10^-8. STMN2 and KALRN were detected in the published C9 single-nucleus study, whereas UNC13A was not detected in that 3-prime-biased single-nucleus dataset and is retained as established literature evidence. d, Assay-capability audit showing that the GSE219280 gene-count matrix supports gene-level expression but not junction, isoform or PSI testing. e, Author-reported group-level event counts provide descriptive context and are not independently recomputed inference.</w:t>
      </w:r>
    </w:p>
    <w:p>
      <w:pPr>
        <w:pStyle w:val="BodyText"/>
      </w:pPr>
      <w:r>
        <w:t xml:space="preserve">Figure 5 | pTDP-associated glial proteostasis and chromatin context in paired multiome data</w:t>
      </w:r>
    </w:p>
    <w:p>
      <w:pPr>
        <w:pStyle w:val="BodyText"/>
      </w:pPr>
      <w:r>
        <w:t>a, Effect and normal-approximation 95% confidence interval for the astrocytic protein-stabilization RNA trend across ordinal pTDP categories in 14 annotated Emory donors (beta per category = -0.8402, 95% CI -1.1820 to -0.4984; two-sided coefficient P = 0.000950; Benjamini-Hochberg global FDR = 0.0399 across all fitted seven-family-by-cell-type trend tests). The OLS donor-score model adjusted for standardized log-transformed TSS enrichment, fragment depth and RNA UMI. No raw donor score was available in the frozen output, so the panel displays the fitted effect rather than fabricated donor points. b, Eight candidate-set-adjusted RNA trends from edgeR robust quasi-likelihood ordinal pTDP models in 14 donors, adjusted for TSS enrichment, fragment depth and RNA UMI, with 100% direction retention across 14 design-matched donor omissions. The direction-stability analysis used OLS coefficients on normalized filtered matrices and did not refit edgeR dispersions or quasi-likelihood parameters. The signals were HSP90AB1, HSP90AA1 and COX5B in astrocytes; BAG3, HSP90AA1, MAP1B and STARD13 in microglia; and COX5B in OPCs. Candidate target_global_FDR is Benjamini-Hochberg correction across 119 frozen candidate RNA tests, including 17 whole-tissue rows; transcriptome-wide FDR is calculated across all retained genes separately within each fitted model. Only microglial BAG3 also passes transcriptome-wide FDR. The frozen target export lacks model-based confidence intervals, so panel b displays coefficients without error bars; exact F statistics, nominal P values and both adjusted values are in Source Data. c, Distribution of 409 genome-wide pTDP-associated differentially accessible regions from edgeR robust quasi-likelihood models in the same 14 donors, adjusted for TSS enrichment, fragment depth and RNA UMI: 406 in oligodendrocytes and 3 in microglia. Benjamini-Hochberg FDR was controlled across all retained peaks separately within each cell-type model; cell-specific peak-test universes and exact peak statistics are in Source Data. d, Seven significant Spearman correlations between donor-metacell RNA and accessibility residuals after adjustment for TSS enrichment, fragments and RNA UMI, involving ARHGAP39, COX5B, COX7C, MAP1B and DOCK7 in 14 donors. Benjamini-Hochberg correction was applied across tested target peak-gene correlations separately within each cell type. Correlation confidence intervals were not estimated in the frozen analysis, so rho values are displayed without error bars; exact nominal and adjusted values and cell-specific test counts are in Source Data. e, Three-part joint-evidence gate indicating RNA trend, nearest-peak trend and peak-gene association; no candidate passed all three components. Each component retains its layer-specific correction family and no combined P value was calculated. Effects are associations with pTDP burden and are not enhancer-target or causal estimates.</w:t>
      </w:r>
    </w:p>
    <w:p>
      <w:pPr>
        <w:pStyle w:val="BodyText"/>
      </w:pPr>
      <w:r>
        <w:rPr>
          <w:b/>
        </w:rPr>
        <w:t>Figure 6 | Evidence-constrained synthesis of cell-context programmes across the ALS–FTD spectrum</w:t>
      </w:r>
    </w:p>
    <w:p>
      <w:pPr>
        <w:pStyle w:val="BodyText"/>
      </w:pPr>
      <w:r>
        <w:t>Circular synthesis of the prespecified evidence hierarchy. The central conclusion is that ALS–FTD programmes transfer by mechanism family but depend on cellular and cohort context. The discovery cohort yielded 35 of 63 globally significant programme axes; exact-estimand comparison with the external C9 cohort yielded 13 strict two-cohort replications; and frozen testing in the 79-donor Ruf cohort yielded 40 of 126 robust within-cohort axes but no universal three-cohort ALS axis. The pathology-graded multiome analysis narrowed 409 differential accessibility regions to seven adjusted peak–gene correlations and zero complete RNA–ATAC chains. In two TDP-43-loss lines, all six glial perturbation–pathology correlations were negative (exact binomial P = 0.031). None of nine prespecified programme sets was enriched for ALS germline risk at P &lt; 0.05, although MAPT passed the 0.05/17 candidate-gene threshold. The inner programme arcs distinguish recurrent mitochondrial/proteostasis and small-GTPase/synaptic/axonal systems; the outer arcs separate supported findings, validation priorities and established negative boundaries. Dashed spokes denote evidence relationships only and imply no causal direction.</w:t>
      </w:r>
    </w:p>
    <w:p>
      <w:pPr>
        <w:pStyle w:val="BodyText"/>
      </w:pPr>
      <w:r>
        <w:t xml:space="preserve">Extended Data Figure 13 | Frozen external testing in the Ruf 2026 diagnostic same-nucleus cohort</w:t>
      </w:r>
    </w:p>
    <w:p>
      <w:pPr>
        <w:pStyle w:val="BodyText"/>
      </w:pPr>
      <w:r>
        <w:t xml:space="preserve">a, Diagnostic composition of the 79-donor motor-cortex cohort: ALS, n = 30; sporadic ALS-FTD, n = 10; C9-associated ALS-FTD, n = 7; and control, n = 32. b, Number of programme axes passing the base within-cohort gate, the final gate including the source-matched 12-surrogate-variable sensitivity, and the complete three-diagnostic-cohort ALS gate. The zero at the three-cohort gate is a retained result, not a missing analysis. c, NES matrix for all 126 frozen family-by-cell-type-by-contrast tests. White circles mark 40 axes satisfying primary global FDR &lt; 0.05, at least 90% donor-LOO direction retention, technical and age direction agreement, and same-direction 12-surrogate-variable global FDR &lt; 0.05. d, Fourteen frozen genes passing transcriptome-wide FDR and all Ruf robustness gates; all concern comparisons involving ALS-FTD and none is an ALS-versus-control universal biomarker. e, Joint-evidence audit showing 14 final RNA gene axes, one primary whole-peak ATAC hit, zero technical-adjusted whole-peak hits and zero complete RNA-ATAC chains. The primary STARD13 promoter peak had FDR = 0.0472 and technical-adjusted FDR = 0.0520. RNA and ATAC derive from the same nuclei and are not independent observations.</w:t>
      </w:r>
    </w:p>
    <w:p>
      <w:pPr>
        <w:pStyle w:val="BodyText"/>
      </w:pPr>
      <w:r>
        <w:rPr>
          <w:b/>
        </w:rPr>
        <w:t>Extended Data Figure 14 | Statistical decomposition, perturbation consistency and genetic anchoring</w:t>
        <w:br/>
      </w:r>
      <w:r>
        <w:t>a, Cumulative five-gate attrition of the 126 frozen programme axes in the Ruf cohort. Counts retained after global family FDR, donor-LOO, technical-plus-age direction, 12-surrogate-variable direction and 12-surrogate-variable global FDR are shown, with first-failure attribution below; donor-LOO eliminates no axis. b, Attainable probability of the complete three-cohort gate under the Ruf-observed-effect scenario versus absolute Ruf z score for the 21 estimable glial ALS axes. Only three axes exceed 50%, and all three are direction-flipped in at least one C9 cohort. c, Spearman correlation between TDP-43-knockdown effects in two iPSC cortical-neuron lines and GSE212630 pTDP trends of the 17 frozen candidates, by cell type. Asterisks denote nominal P &lt; 0.05; all six glial correlations are negative (exact binomial P = 0.031). d, RNA log2 fold changes of chaperone-arm genes after TDP-43 knockdown in both lines; colour identifies the dataset and opacity indicates FDR &lt; 0.05. HSPH1, DNAJB1 and CHORDC1 decrease consistently, most strongly in the Humphrey line. e, MAGMA competitive enrichment for nine prespecified programme or candidate sets in ALS GWAS summary statistics from 29,612 cases and 122,656 controls; no set passes P &lt; 0.05. f, Gene-level ALS associations for the 17 frozen candidates. The dashed line marks Bonferroni P = 0.05/17; MAPT alone passes correction.</w:t>
      </w:r>
    </w:p>
    <w:bookmarkStart w:id="56" w:name="refs"/>
    <w:bookmarkStart w:id="15" w:name="ref-geser2009continuum"/>
    <w:p>
      <w:pPr>
        <w:pStyle w:val="Bibliography"/>
      </w:pPr>
      <w:r>
        <w:t xml:space="preserve">1.</w:t>
      </w:r>
      <w:r>
        <w:t xml:space="preserve"> </w:t>
      </w:r>
      <w:r>
        <w:t xml:space="preserve">	</w:t>
      </w:r>
      <w:r>
        <w:t xml:space="preserve">Geser F, Martinez-Lage M, Robinson J, et al.</w:t>
      </w:r>
      <w:r>
        <w:t xml:space="preserve"> Clinical and pathological continuum of multisystem</w:t>
      </w:r>
      <w:r>
        <w:t xml:space="preserve"> </w:t>
      </w:r>
      <w:r>
        <w:t xml:space="preserve">TDP-43</w:t>
      </w:r>
      <w:r>
        <w:t xml:space="preserve"> </w:t>
      </w:r>
      <w:r>
        <w:t xml:space="preserve">proteinopathies. Archives of Neurology. 2009;66(2):180–9. doi:</w:t>
      </w:r>
      <w:hyperlink r:id="rId14">
        <w:r>
          <w:rPr>
            <w:rStyle w:val="Hyperlink"/>
          </w:rPr>
          <w:t xml:space="preserve">10.1001/archneurol.2008.558</w:t>
        </w:r>
      </w:hyperlink>
    </w:p>
    <w:bookmarkEnd w:id="15"/>
    <w:bookmarkStart w:id="17" w:name="ref-dejesus2011c9orf72"/>
    <w:p>
      <w:pPr>
        <w:pStyle w:val="Bibliography"/>
      </w:pPr>
      <w:r>
        <w:t xml:space="preserve">2.</w:t>
      </w:r>
      <w:r>
        <w:t xml:space="preserve"> </w:t>
      </w:r>
      <w:r>
        <w:t xml:space="preserve">	</w:t>
      </w:r>
      <w:r>
        <w:t xml:space="preserve">DeJesus-Hernandez M, Mackenzie IR, Boeve BF, et al.</w:t>
      </w:r>
      <w:r>
        <w:t xml:space="preserve"> Expanded</w:t>
      </w:r>
      <w:r>
        <w:t xml:space="preserve"> </w:t>
      </w:r>
      <w:r>
        <w:t xml:space="preserve">GGGGCC</w:t>
      </w:r>
      <w:r>
        <w:t xml:space="preserve"> </w:t>
      </w:r>
      <w:r>
        <w:t xml:space="preserve">hexanucleotide repeat in noncoding region of</w:t>
      </w:r>
      <w:r>
        <w:t xml:space="preserve"> </w:t>
      </w:r>
      <w:r>
        <w:t xml:space="preserve">C9ORF72</w:t>
      </w:r>
      <w:r>
        <w:t xml:space="preserve"> </w:t>
      </w:r>
      <w:r>
        <w:t xml:space="preserve">causes chromosome 9p-linked</w:t>
      </w:r>
      <w:r>
        <w:t xml:space="preserve"> </w:t>
      </w:r>
      <w:r>
        <w:t xml:space="preserve">FTD</w:t>
      </w:r>
      <w:r>
        <w:t xml:space="preserve"> </w:t>
      </w:r>
      <w:r>
        <w:t xml:space="preserve">and</w:t>
      </w:r>
      <w:r>
        <w:t xml:space="preserve"> </w:t>
      </w:r>
      <w:r>
        <w:t xml:space="preserve">ALS</w:t>
      </w:r>
      <w:r>
        <w:t xml:space="preserve">. Neuron. 2011;72(2):245–56. doi:</w:t>
      </w:r>
      <w:hyperlink r:id="rId16">
        <w:r>
          <w:rPr>
            <w:rStyle w:val="Hyperlink"/>
          </w:rPr>
          <w:t xml:space="preserve">10.1016/j.neuron.2011.09.011</w:t>
        </w:r>
      </w:hyperlink>
    </w:p>
    <w:bookmarkEnd w:id="17"/>
    <w:bookmarkStart w:id="19" w:name="ref-kwong2007tdp43"/>
    <w:p>
      <w:pPr>
        <w:pStyle w:val="Bibliography"/>
      </w:pPr>
      <w:r>
        <w:t xml:space="preserve">3.</w:t>
      </w:r>
      <w:r>
        <w:t xml:space="preserve"> </w:t>
      </w:r>
      <w:r>
        <w:t xml:space="preserve">	</w:t>
      </w:r>
      <w:r>
        <w:t xml:space="preserve">Kwong LK, Neumann M, Sampathu DM, Lee VM-Y, Trojanowski JQ.</w:t>
      </w:r>
      <w:r>
        <w:t xml:space="preserve"> </w:t>
      </w:r>
      <w:r>
        <w:t xml:space="preserve">TDP-43</w:t>
      </w:r>
      <w:r>
        <w:t xml:space="preserve"> </w:t>
      </w:r>
      <w:r>
        <w:t xml:space="preserve">proteinopathy: The neuropathology underlying major forms of sporadic and familial frontotemporal lobar degeneration and motor neuron disease. Acta Neuropathologica. 2007;114(1):63–70. doi:</w:t>
      </w:r>
      <w:hyperlink r:id="rId18">
        <w:r>
          <w:rPr>
            <w:rStyle w:val="Hyperlink"/>
          </w:rPr>
          <w:t xml:space="preserve">10.1007/s00401-007-0226-5</w:t>
        </w:r>
      </w:hyperlink>
    </w:p>
    <w:bookmarkEnd w:id="19"/>
    <w:bookmarkStart w:id="21" w:name="ref-geser2010spectrum"/>
    <w:p>
      <w:pPr>
        <w:pStyle w:val="Bibliography"/>
      </w:pPr>
      <w:r>
        <w:t xml:space="preserve">4.</w:t>
      </w:r>
      <w:r>
        <w:t xml:space="preserve"> </w:t>
      </w:r>
      <w:r>
        <w:t xml:space="preserve">	</w:t>
      </w:r>
      <w:r>
        <w:t xml:space="preserve">Geser F, Lee VM-Y, Trojanowski JQ. Amyotrophic lateral sclerosis and frontotemporal lobar degeneration: A spectrum of</w:t>
      </w:r>
      <w:r>
        <w:t xml:space="preserve"> </w:t>
      </w:r>
      <w:r>
        <w:t xml:space="preserve">TDP-43</w:t>
      </w:r>
      <w:r>
        <w:t xml:space="preserve"> </w:t>
      </w:r>
      <w:r>
        <w:t xml:space="preserve">proteinopathies. Neuropathology. 2010;30(2):103–12. doi:</w:t>
      </w:r>
      <w:hyperlink r:id="rId20">
        <w:r>
          <w:rPr>
            <w:rStyle w:val="Hyperlink"/>
          </w:rPr>
          <w:t xml:space="preserve">10.1111/j.1440-1789.2009.01091.x</w:t>
        </w:r>
      </w:hyperlink>
    </w:p>
    <w:bookmarkEnd w:id="21"/>
    <w:bookmarkStart w:id="23" w:name="ref-li2023divergent"/>
    <w:p>
      <w:pPr>
        <w:pStyle w:val="Bibliography"/>
      </w:pPr>
      <w:r>
        <w:t xml:space="preserve">5.</w:t>
      </w:r>
      <w:r>
        <w:t xml:space="preserve"> </w:t>
      </w:r>
      <w:r>
        <w:t xml:space="preserve">	</w:t>
      </w:r>
      <w:r>
        <w:t xml:space="preserve">Li J, Jaiswal MK, Chien J-F, et al.</w:t>
      </w:r>
      <w:r>
        <w:t xml:space="preserve"> Divergent single cell transcriptome and epigenome alterations in</w:t>
      </w:r>
      <w:r>
        <w:t xml:space="preserve"> </w:t>
      </w:r>
      <w:r>
        <w:t xml:space="preserve">ALS</w:t>
      </w:r>
      <w:r>
        <w:t xml:space="preserve"> </w:t>
      </w:r>
      <w:r>
        <w:t xml:space="preserve">and</w:t>
      </w:r>
      <w:r>
        <w:t xml:space="preserve"> </w:t>
      </w:r>
      <w:r>
        <w:t xml:space="preserve">FTD</w:t>
      </w:r>
      <w:r>
        <w:t xml:space="preserve"> </w:t>
      </w:r>
      <w:r>
        <w:t xml:space="preserve">patients with</w:t>
      </w:r>
      <w:r>
        <w:t xml:space="preserve"> </w:t>
      </w:r>
      <w:r>
        <w:t xml:space="preserve">C9orf72</w:t>
      </w:r>
      <w:r>
        <w:t xml:space="preserve"> </w:t>
      </w:r>
      <w:r>
        <w:t xml:space="preserve">mutation. Nature Communications. 2023;14(1):5714. doi:</w:t>
      </w:r>
      <w:hyperlink r:id="rId22">
        <w:r>
          <w:rPr>
            <w:rStyle w:val="Hyperlink"/>
          </w:rPr>
          <w:t xml:space="preserve">10.1038/s41467-023-41033-y</w:t>
        </w:r>
      </w:hyperlink>
    </w:p>
    <w:bookmarkEnd w:id="23"/>
    <w:bookmarkStart w:id="25" w:name="ref-gittings2023cryptic"/>
    <w:p>
      <w:pPr>
        <w:pStyle w:val="Bibliography"/>
      </w:pPr>
      <w:r>
        <w:t xml:space="preserve">6.</w:t>
      </w:r>
      <w:r>
        <w:t xml:space="preserve"> </w:t>
      </w:r>
      <w:r>
        <w:t xml:space="preserve">	</w:t>
      </w:r>
      <w:r>
        <w:t xml:space="preserve">Gittings LM, Alsop EB, Antone J, Singer M, Whitsett TG, Sattler R, et al. Cryptic exon detection and transcriptomic changes revealed in single-nuclei</w:t>
      </w:r>
      <w:r>
        <w:t xml:space="preserve"> </w:t>
      </w:r>
      <w:r>
        <w:t xml:space="preserve">RNA</w:t>
      </w:r>
      <w:r>
        <w:t xml:space="preserve"> </w:t>
      </w:r>
      <w:r>
        <w:t xml:space="preserve">sequencing of</w:t>
      </w:r>
      <w:r>
        <w:t xml:space="preserve"> </w:t>
      </w:r>
      <w:r>
        <w:t xml:space="preserve">C9ORF72</w:t>
      </w:r>
      <w:r>
        <w:t xml:space="preserve"> </w:t>
      </w:r>
      <w:r>
        <w:t xml:space="preserve">patients spanning the</w:t>
      </w:r>
      <w:r>
        <w:t xml:space="preserve"> </w:t>
      </w:r>
      <w:r>
        <w:t xml:space="preserve">ALS-FTD</w:t>
      </w:r>
      <w:r>
        <w:t xml:space="preserve"> </w:t>
      </w:r>
      <w:r>
        <w:t xml:space="preserve">spectrum. Acta Neuropathologica. 2023;146(3):433–50. doi:</w:t>
      </w:r>
      <w:hyperlink r:id="rId24">
        <w:r>
          <w:rPr>
            <w:rStyle w:val="Hyperlink"/>
          </w:rPr>
          <w:t xml:space="preserve">10.1007/s00401-023-02599-5</w:t>
        </w:r>
      </w:hyperlink>
    </w:p>
    <w:bookmarkEnd w:id="25"/>
    <w:bookmarkStart w:id="27" w:name="ref-wang2025ptdp"/>
    <w:p>
      <w:pPr>
        <w:pStyle w:val="Bibliography"/>
      </w:pPr>
      <w:r>
        <w:t xml:space="preserve">7.</w:t>
      </w:r>
      <w:r>
        <w:t xml:space="preserve"> </w:t>
      </w:r>
      <w:r>
        <w:t xml:space="preserve">	</w:t>
      </w:r>
      <w:r>
        <w:t xml:space="preserve">Wang H-LV, Xiang J-F, Yuan C, et al.</w:t>
      </w:r>
      <w:r>
        <w:t xml:space="preserve"> </w:t>
      </w:r>
      <w:r>
        <w:t xml:space="preserve">pTDP-43</w:t>
      </w:r>
      <w:r>
        <w:t xml:space="preserve"> </w:t>
      </w:r>
      <w:r>
        <w:t xml:space="preserve">levels correlate with cell type-specific molecular alterations in the prefrontal cortex of</w:t>
      </w:r>
      <w:r>
        <w:t xml:space="preserve"> </w:t>
      </w:r>
      <w:r>
        <w:t xml:space="preserve">C9orf72</w:t>
      </w:r>
      <w:r>
        <w:t xml:space="preserve"> </w:t>
      </w:r>
      <w:r>
        <w:t xml:space="preserve">ALS/FTD</w:t>
      </w:r>
      <w:r>
        <w:t xml:space="preserve"> </w:t>
      </w:r>
      <w:r>
        <w:t xml:space="preserve">patients. Proceedings of the National Academy of Sciences. 2025;122(9):e2419818122. doi:</w:t>
      </w:r>
      <w:hyperlink r:id="rId26">
        <w:r>
          <w:rPr>
            <w:rStyle w:val="Hyperlink"/>
          </w:rPr>
          <w:t xml:space="preserve">10.1073/pnas.2419818122</w:t>
        </w:r>
      </w:hyperlink>
    </w:p>
    <w:bookmarkEnd w:id="27"/>
    <w:bookmarkStart w:id="29" w:name="ref-squair2021false"/>
    <w:p>
      <w:pPr>
        <w:pStyle w:val="Bibliography"/>
      </w:pPr>
      <w:r>
        <w:t xml:space="preserve">8.</w:t>
      </w:r>
      <w:r>
        <w:t xml:space="preserve"> </w:t>
      </w:r>
      <w:r>
        <w:t xml:space="preserve">	</w:t>
      </w:r>
      <w:r>
        <w:t xml:space="preserve">Squair JW, Gautier M, Kathe C, et al.</w:t>
      </w:r>
      <w:r>
        <w:t xml:space="preserve"> Confronting false discoveries in single-cell differential expression. Nature Communications. 2021;12(1):5692. doi:</w:t>
      </w:r>
      <w:hyperlink r:id="rId28">
        <w:r>
          <w:rPr>
            <w:rStyle w:val="Hyperlink"/>
          </w:rPr>
          <w:t xml:space="preserve">10.1038/s41467-021-25960-2</w:t>
        </w:r>
      </w:hyperlink>
    </w:p>
    <w:bookmarkEnd w:id="29"/>
    <w:bookmarkStart w:id="31" w:name="ref-crowell2020muscat"/>
    <w:p>
      <w:pPr>
        <w:pStyle w:val="Bibliography"/>
      </w:pPr>
      <w:r>
        <w:t xml:space="preserve">9.</w:t>
      </w:r>
      <w:r>
        <w:t xml:space="preserve"> </w:t>
      </w:r>
      <w:r>
        <w:t xml:space="preserve">	</w:t>
      </w:r>
      <w:r>
        <w:t xml:space="preserve">Crowell HL, Soneson C, Germain P-L, et al.</w:t>
      </w:r>
      <w:r>
        <w:t xml:space="preserve"> Muscat detects subpopulation-specific state transitions from multi-sample multi-condition single-cell transcriptomics data. Nature Communications. 2020;11(1):6077. doi:</w:t>
      </w:r>
      <w:hyperlink r:id="rId30">
        <w:r>
          <w:rPr>
            <w:rStyle w:val="Hyperlink"/>
          </w:rPr>
          <w:t xml:space="preserve">10.1038/s41467-020-19894-4</w:t>
        </w:r>
      </w:hyperlink>
    </w:p>
    <w:bookmarkEnd w:id="31"/>
    <w:bookmarkStart w:id="33" w:name="ref-ruf2026multimodal"/>
    <w:p>
      <w:pPr>
        <w:pStyle w:val="Bibliography"/>
      </w:pPr>
      <w:r>
        <w:t xml:space="preserve">10.</w:t>
      </w:r>
      <w:r>
        <w:t xml:space="preserve"> </w:t>
      </w:r>
      <w:r>
        <w:t xml:space="preserve">	</w:t>
      </w:r>
      <w:r>
        <w:t xml:space="preserve">Ruf WP, Kühlwein JK, Meier L, et al.</w:t>
      </w:r>
      <w:r>
        <w:t xml:space="preserve"> Multi-modal dissection of cell-type specific</w:t>
      </w:r>
      <w:r>
        <w:t xml:space="preserve"> </w:t>
      </w:r>
      <w:r>
        <w:t xml:space="preserve">TDP-43</w:t>
      </w:r>
      <w:r>
        <w:t xml:space="preserve"> </w:t>
      </w:r>
      <w:r>
        <w:t xml:space="preserve">pathology in the motor cortex. Nature Communications. 2026;17(1):2406. doi:</w:t>
      </w:r>
      <w:hyperlink r:id="rId32">
        <w:r>
          <w:rPr>
            <w:rStyle w:val="Hyperlink"/>
          </w:rPr>
          <w:t xml:space="preserve">10.1038/s41467-026-69944-6</w:t>
        </w:r>
      </w:hyperlink>
    </w:p>
    <w:bookmarkEnd w:id="33"/>
    <w:bookmarkStart w:id="35" w:name="ref-prudencio2020stathmin"/>
    <w:p>
      <w:pPr>
        <w:pStyle w:val="Bibliography"/>
      </w:pPr>
      <w:r>
        <w:t xml:space="preserve">11.</w:t>
      </w:r>
      <w:r>
        <w:t xml:space="preserve"> </w:t>
      </w:r>
      <w:r>
        <w:t xml:space="preserve">	</w:t>
      </w:r>
      <w:r>
        <w:t xml:space="preserve">Prudencio M, Humphrey J, Pickles S, et al.</w:t>
      </w:r>
      <w:r>
        <w:t xml:space="preserve"> Truncated stathmin-2 is a marker of</w:t>
      </w:r>
      <w:r>
        <w:t xml:space="preserve"> </w:t>
      </w:r>
      <w:r>
        <w:t xml:space="preserve">TDP-43</w:t>
      </w:r>
      <w:r>
        <w:t xml:space="preserve"> </w:t>
      </w:r>
      <w:r>
        <w:t xml:space="preserve">pathology in frontotemporal dementia. Journal of Clinical Investigation. 2020;130(11):6080–92. doi:</w:t>
      </w:r>
      <w:hyperlink r:id="rId34">
        <w:r>
          <w:rPr>
            <w:rStyle w:val="Hyperlink"/>
          </w:rPr>
          <w:t xml:space="preserve">10.1172/JCI139741</w:t>
        </w:r>
      </w:hyperlink>
    </w:p>
    <w:bookmarkEnd w:id="35"/>
    <w:bookmarkStart w:id="37" w:name="ref-gerrits2022neurovascular"/>
    <w:p>
      <w:pPr>
        <w:pStyle w:val="Bibliography"/>
      </w:pPr>
      <w:r>
        <w:t xml:space="preserve">12.</w:t>
      </w:r>
      <w:r>
        <w:t xml:space="preserve"> </w:t>
      </w:r>
      <w:r>
        <w:t xml:space="preserve">	</w:t>
      </w:r>
      <w:r>
        <w:t xml:space="preserve">Gerrits E, Giannini LAA, Brouwer N, et al.</w:t>
      </w:r>
      <w:r>
        <w:t xml:space="preserve"> Neurovascular dysfunction in</w:t>
      </w:r>
      <w:r>
        <w:t xml:space="preserve"> </w:t>
      </w:r>
      <w:r>
        <w:t xml:space="preserve">GRN</w:t>
      </w:r>
      <w:r>
        <w:t xml:space="preserve">-associated frontotemporal dementia identified by single-nucleus</w:t>
      </w:r>
      <w:r>
        <w:t xml:space="preserve"> </w:t>
      </w:r>
      <w:r>
        <w:t xml:space="preserve">RNA</w:t>
      </w:r>
      <w:r>
        <w:t xml:space="preserve"> </w:t>
      </w:r>
      <w:r>
        <w:t xml:space="preserve">sequencing of human cerebral cortex. Nature Neuroscience. 2022;25(8):1034–48. doi:</w:t>
      </w:r>
      <w:hyperlink r:id="rId36">
        <w:r>
          <w:rPr>
            <w:rStyle w:val="Hyperlink"/>
          </w:rPr>
          <w:t xml:space="preserve">10.1038/s41593-022-01124-3</w:t>
        </w:r>
      </w:hyperlink>
    </w:p>
    <w:bookmarkEnd w:id="37"/>
    <w:bookmarkStart w:id="39" w:name="ref-klim2019stmn2"/>
    <w:p>
      <w:pPr>
        <w:pStyle w:val="Bibliography"/>
      </w:pPr>
      <w:r>
        <w:t xml:space="preserve">13.</w:t>
      </w:r>
      <w:r>
        <w:t xml:space="preserve"> </w:t>
      </w:r>
      <w:r>
        <w:t xml:space="preserve">	</w:t>
      </w:r>
      <w:r>
        <w:t xml:space="preserve">Klim JR, Williams LA, Limone F, et al.</w:t>
      </w:r>
      <w:r>
        <w:t xml:space="preserve"> </w:t>
      </w:r>
      <w:r>
        <w:t xml:space="preserve">ALS</w:t>
      </w:r>
      <w:r>
        <w:t xml:space="preserve">-implicated protein</w:t>
      </w:r>
      <w:r>
        <w:t xml:space="preserve"> </w:t>
      </w:r>
      <w:r>
        <w:t xml:space="preserve">TDP-43</w:t>
      </w:r>
      <w:r>
        <w:t xml:space="preserve"> </w:t>
      </w:r>
      <w:r>
        <w:t xml:space="preserve">sustains levels of</w:t>
      </w:r>
      <w:r>
        <w:t xml:space="preserve"> </w:t>
      </w:r>
      <w:r>
        <w:t xml:space="preserve">STMN2</w:t>
      </w:r>
      <w:r>
        <w:t xml:space="preserve">, a mediator of motor neuron growth and repair. Nature Neuroscience. 2019;22(2):167–79. doi:</w:t>
      </w:r>
      <w:hyperlink r:id="rId38">
        <w:r>
          <w:rPr>
            <w:rStyle w:val="Hyperlink"/>
          </w:rPr>
          <w:t xml:space="preserve">10.1038/s41593-018-0300-4</w:t>
        </w:r>
      </w:hyperlink>
    </w:p>
    <w:bookmarkEnd w:id="39"/>
    <w:bookmarkStart w:id="41" w:name="ref-melamed2019premature"/>
    <w:p>
      <w:pPr>
        <w:pStyle w:val="Bibliography"/>
      </w:pPr>
      <w:r>
        <w:t xml:space="preserve">14.</w:t>
      </w:r>
      <w:r>
        <w:t xml:space="preserve"> </w:t>
      </w:r>
      <w:r>
        <w:t xml:space="preserve">	</w:t>
      </w:r>
      <w:r>
        <w:t xml:space="preserve">Melamed Z, López-Erauskin J, Baughn MW, et al.</w:t>
      </w:r>
      <w:r>
        <w:t xml:space="preserve"> Premature polyadenylation-mediated loss of stathmin-2 is a hallmark of</w:t>
      </w:r>
      <w:r>
        <w:t xml:space="preserve"> </w:t>
      </w:r>
      <w:r>
        <w:t xml:space="preserve">TDP-43</w:t>
      </w:r>
      <w:r>
        <w:t xml:space="preserve">-dependent neurodegeneration. Nature Neuroscience. 2019;22(2):180–90. doi:</w:t>
      </w:r>
      <w:hyperlink r:id="rId40">
        <w:r>
          <w:rPr>
            <w:rStyle w:val="Hyperlink"/>
          </w:rPr>
          <w:t xml:space="preserve">10.1038/s41593-018-0293-z</w:t>
        </w:r>
      </w:hyperlink>
    </w:p>
    <w:bookmarkEnd w:id="41"/>
    <w:bookmarkStart w:id="43" w:name="ref-ma2022unc13a"/>
    <w:p>
      <w:pPr>
        <w:pStyle w:val="Bibliography"/>
      </w:pPr>
      <w:r>
        <w:t xml:space="preserve">15.</w:t>
      </w:r>
      <w:r>
        <w:t xml:space="preserve"> </w:t>
      </w:r>
      <w:r>
        <w:t xml:space="preserve">	</w:t>
      </w:r>
      <w:r>
        <w:t xml:space="preserve">Ma XR, Prudencio M, Koike Y, et al.</w:t>
      </w:r>
      <w:r>
        <w:t xml:space="preserve"> </w:t>
      </w:r>
      <w:r>
        <w:t xml:space="preserve">TDP-43</w:t>
      </w:r>
      <w:r>
        <w:t xml:space="preserve"> </w:t>
      </w:r>
      <w:r>
        <w:t xml:space="preserve">represses cryptic exon inclusion in the</w:t>
      </w:r>
      <w:r>
        <w:t xml:space="preserve"> </w:t>
      </w:r>
      <w:r>
        <w:t xml:space="preserve">FTD-ALS</w:t>
      </w:r>
      <w:r>
        <w:t xml:space="preserve"> </w:t>
      </w:r>
      <w:r>
        <w:t xml:space="preserve">gene</w:t>
      </w:r>
      <w:r>
        <w:t xml:space="preserve"> </w:t>
      </w:r>
      <w:r>
        <w:t xml:space="preserve">UNC13A</w:t>
      </w:r>
      <w:r>
        <w:t xml:space="preserve">. Nature. 2022;603(7899):124–30. doi:</w:t>
      </w:r>
      <w:hyperlink r:id="rId42">
        <w:r>
          <w:rPr>
            <w:rStyle w:val="Hyperlink"/>
          </w:rPr>
          <w:t xml:space="preserve">10.1038/s41586-022-04424-7</w:t>
        </w:r>
      </w:hyperlink>
    </w:p>
    <w:bookmarkEnd w:id="43"/>
    <w:bookmarkStart w:id="45" w:name="ref-brown2022unc13a"/>
    <w:p>
      <w:pPr>
        <w:pStyle w:val="Bibliography"/>
      </w:pPr>
      <w:r>
        <w:t xml:space="preserve">16.</w:t>
      </w:r>
      <w:r>
        <w:t xml:space="preserve"> </w:t>
      </w:r>
      <w:r>
        <w:t xml:space="preserve">	</w:t>
      </w:r>
      <w:r>
        <w:t xml:space="preserve">Brown A-L, Wilkins OG, Keuss MJ, et al.</w:t>
      </w:r>
      <w:r>
        <w:t xml:space="preserve"> </w:t>
      </w:r>
      <w:r>
        <w:t xml:space="preserve">TDP-43</w:t>
      </w:r>
      <w:r>
        <w:t xml:space="preserve"> </w:t>
      </w:r>
      <w:r>
        <w:t xml:space="preserve">loss and</w:t>
      </w:r>
      <w:r>
        <w:t xml:space="preserve"> </w:t>
      </w:r>
      <w:r>
        <w:t xml:space="preserve">ALS</w:t>
      </w:r>
      <w:r>
        <w:t xml:space="preserve">-risk</w:t>
      </w:r>
      <w:r>
        <w:t xml:space="preserve"> </w:t>
      </w:r>
      <w:r>
        <w:t xml:space="preserve">SNPs</w:t>
      </w:r>
      <w:r>
        <w:t xml:space="preserve"> </w:t>
      </w:r>
      <w:r>
        <w:t xml:space="preserve">drive mis-splicing and depletion of</w:t>
      </w:r>
      <w:r>
        <w:t xml:space="preserve"> </w:t>
      </w:r>
      <w:r>
        <w:t xml:space="preserve">UNC13A</w:t>
      </w:r>
      <w:r>
        <w:t xml:space="preserve">. Nature. 2022;603(7899):131–7. doi:</w:t>
      </w:r>
      <w:hyperlink r:id="rId44">
        <w:r>
          <w:rPr>
            <w:rStyle w:val="Hyperlink"/>
          </w:rPr>
          <w:t xml:space="preserve">10.1038/s41586-022-04436-3</w:t>
        </w:r>
      </w:hyperlink>
    </w:p>
    <w:bookmarkEnd w:id="45"/>
    <w:bookmarkStart w:id="47" w:name="ref-brycesmith2025cryptic"/>
    <w:p>
      <w:pPr>
        <w:pStyle w:val="Bibliography"/>
      </w:pPr>
      <w:r>
        <w:t xml:space="preserve">17.</w:t>
      </w:r>
      <w:r>
        <w:t xml:space="preserve"> </w:t>
      </w:r>
      <w:r>
        <w:t xml:space="preserve">	</w:t>
      </w:r>
      <w:r>
        <w:t xml:space="preserve">Bryce-Smith S, Brown AL, Chien MZYJ, Dattilo D, et al.</w:t>
      </w:r>
      <w:r>
        <w:t xml:space="preserve"> </w:t>
      </w:r>
      <w:r>
        <w:t xml:space="preserve">TDP-43</w:t>
      </w:r>
      <w:r>
        <w:t xml:space="preserve"> </w:t>
      </w:r>
      <w:r>
        <w:t xml:space="preserve">loss induces cryptic polyadenylation in</w:t>
      </w:r>
      <w:r>
        <w:t xml:space="preserve"> </w:t>
      </w:r>
      <w:r>
        <w:t xml:space="preserve">ALS/FTD</w:t>
      </w:r>
      <w:r>
        <w:t xml:space="preserve">. Nature Neuroscience. 2025;28(11):2190–200. doi:</w:t>
      </w:r>
      <w:hyperlink r:id="rId46">
        <w:r>
          <w:rPr>
            <w:rStyle w:val="Hyperlink"/>
          </w:rPr>
          <w:t xml:space="preserve">10.1038/s41593-025-02050-w</w:t>
        </w:r>
      </w:hyperlink>
    </w:p>
    <w:bookmarkEnd w:id="47"/>
    <w:bookmarkStart w:id="49" w:name="ref-harrow2012gencode"/>
    <w:p>
      <w:pPr>
        <w:pStyle w:val="Bibliography"/>
      </w:pPr>
      <w:r>
        <w:t xml:space="preserve">18.</w:t>
      </w:r>
      <w:r>
        <w:t xml:space="preserve"> </w:t>
      </w:r>
      <w:r>
        <w:t xml:space="preserve">	</w:t>
      </w:r>
      <w:r>
        <w:t xml:space="preserve">Harrow J, Frankish A, Gonzalez JM, et al.</w:t>
      </w:r>
      <w:r>
        <w:t xml:space="preserve"> </w:t>
      </w:r>
      <w:r>
        <w:t xml:space="preserve">GENCODE</w:t>
      </w:r>
      <w:r>
        <w:t xml:space="preserve">: The reference human genome annotation for</w:t>
      </w:r>
      <w:r>
        <w:t xml:space="preserve"> </w:t>
      </w:r>
      <w:r>
        <w:t xml:space="preserve">The ENCODE Project</w:t>
      </w:r>
      <w:r>
        <w:t xml:space="preserve">. Genome Research. 2012;22(9):1760–74. doi:</w:t>
      </w:r>
      <w:hyperlink r:id="rId48">
        <w:r>
          <w:rPr>
            <w:rStyle w:val="Hyperlink"/>
          </w:rPr>
          <w:t xml:space="preserve">10.1101/gr.135350.111</w:t>
        </w:r>
      </w:hyperlink>
    </w:p>
    <w:bookmarkEnd w:id="49"/>
    <w:bookmarkStart w:id="51" w:name="ref-deleeuw2015magma"/>
    <w:p>
      <w:pPr>
        <w:pStyle w:val="Bibliography"/>
      </w:pPr>
      <w:r>
        <w:t xml:space="preserve">19.</w:t>
      </w:r>
      <w:r>
        <w:t xml:space="preserve"> </w:t>
      </w:r>
      <w:r>
        <w:t xml:space="preserve">	</w:t>
      </w:r>
      <w:r>
        <w:t xml:space="preserve">Leeuw CA de, Mooij JM, Heskes T, Posthuma D.</w:t>
      </w:r>
      <w:r>
        <w:t xml:space="preserve"> </w:t>
      </w:r>
      <w:r>
        <w:t xml:space="preserve">MAGMA</w:t>
      </w:r>
      <w:r>
        <w:t xml:space="preserve">: Generalized gene-set analysis of</w:t>
      </w:r>
      <w:r>
        <w:t xml:space="preserve"> </w:t>
      </w:r>
      <w:r>
        <w:t xml:space="preserve">GWAS</w:t>
      </w:r>
      <w:r>
        <w:t xml:space="preserve"> </w:t>
      </w:r>
      <w:r>
        <w:t xml:space="preserve">data. PLoS Computational Biology. 2015;11(4):e1004219. doi:</w:t>
      </w:r>
      <w:hyperlink r:id="rId50">
        <w:r>
          <w:rPr>
            <w:rStyle w:val="Hyperlink"/>
          </w:rPr>
          <w:t xml:space="preserve">10.1371/journal.pcbi.1004219</w:t>
        </w:r>
      </w:hyperlink>
    </w:p>
    <w:bookmarkEnd w:id="51"/>
    <w:bookmarkStart w:id="53" w:name="ref-vanrheenen2021als"/>
    <w:p>
      <w:pPr>
        <w:pStyle w:val="Bibliography"/>
      </w:pPr>
      <w:r>
        <w:t xml:space="preserve">20.</w:t>
      </w:r>
      <w:r>
        <w:t xml:space="preserve"> </w:t>
      </w:r>
      <w:r>
        <w:t xml:space="preserve">	</w:t>
      </w:r>
      <w:r>
        <w:t xml:space="preserve">Rheenen W van, Shatunov A, Dekker AM, et al.</w:t>
      </w:r>
      <w:r>
        <w:t xml:space="preserve"> Common and rare variant association analyses in amyotrophic lateral sclerosis identify 15 risk loci with distinct genetic architectures and neuron-specific biology. Nature Genetics. 2022;54(1):16–26. doi:</w:t>
      </w:r>
      <w:hyperlink r:id="rId52">
        <w:r>
          <w:rPr>
            <w:rStyle w:val="Hyperlink"/>
          </w:rPr>
          <w:t xml:space="preserve">10.1038/s41588-021-00973-1</w:t>
        </w:r>
      </w:hyperlink>
    </w:p>
    <w:bookmarkEnd w:id="53"/>
    <w:bookmarkStart w:id="55" w:name="ref-auton20151000g"/>
    <w:p>
      <w:pPr>
        <w:pStyle w:val="Bibliography"/>
      </w:pPr>
      <w:r>
        <w:t xml:space="preserve">21.</w:t>
      </w:r>
      <w:r>
        <w:t xml:space="preserve"> </w:t>
      </w:r>
      <w:r>
        <w:t xml:space="preserve">	</w:t>
      </w:r>
      <w:r>
        <w:t xml:space="preserve">Auton A, Brooks LD, Durbin RM, et al.</w:t>
      </w:r>
      <w:r>
        <w:t xml:space="preserve"> A global reference for human genetic variation. Nature. 2015;526(7571):68–74. doi:</w:t>
      </w:r>
      <w:hyperlink r:id="rId54">
        <w:r>
          <w:rPr>
            <w:rStyle w:val="Hyperlink"/>
          </w:rPr>
          <w:t xml:space="preserve">10.1038/nature15393</w:t>
        </w:r>
      </w:hyperlink>
    </w:p>
    <w:bookmarkEnd w:id="55"/>
    <w:bookmarkEnd w:id="56"/>
    <w:bookmarkEnd w:id="57"/>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4" Type="http://schemas.openxmlformats.org/officeDocument/2006/relationships/hyperlink" Target="https://doi.org/10.1001/archneurol.2008.558" TargetMode="External"/><Relationship Id="rId18" Type="http://schemas.openxmlformats.org/officeDocument/2006/relationships/hyperlink" Target="https://doi.org/10.1007/s00401-007-0226-5" TargetMode="External"/><Relationship Id="rId24" Type="http://schemas.openxmlformats.org/officeDocument/2006/relationships/hyperlink" Target="https://doi.org/10.1007/s00401-023-02599-5" TargetMode="External"/><Relationship Id="rId16" Type="http://schemas.openxmlformats.org/officeDocument/2006/relationships/hyperlink" Target="https://doi.org/10.1016/j.neuron.2011.09.011" TargetMode="External"/><Relationship Id="rId54" Type="http://schemas.openxmlformats.org/officeDocument/2006/relationships/hyperlink" Target="https://doi.org/10.1038/nature15393" TargetMode="External"/><Relationship Id="rId30" Type="http://schemas.openxmlformats.org/officeDocument/2006/relationships/hyperlink" Target="https://doi.org/10.1038/s41467-020-19894-4" TargetMode="External"/><Relationship Id="rId28" Type="http://schemas.openxmlformats.org/officeDocument/2006/relationships/hyperlink" Target="https://doi.org/10.1038/s41467-021-25960-2" TargetMode="External"/><Relationship Id="rId22" Type="http://schemas.openxmlformats.org/officeDocument/2006/relationships/hyperlink" Target="https://doi.org/10.1038/s41467-023-41033-y" TargetMode="External"/><Relationship Id="rId32" Type="http://schemas.openxmlformats.org/officeDocument/2006/relationships/hyperlink" Target="https://doi.org/10.1038/s41467-026-69944-6" TargetMode="External"/><Relationship Id="rId42" Type="http://schemas.openxmlformats.org/officeDocument/2006/relationships/hyperlink" Target="https://doi.org/10.1038/s41586-022-04424-7" TargetMode="External"/><Relationship Id="rId44" Type="http://schemas.openxmlformats.org/officeDocument/2006/relationships/hyperlink" Target="https://doi.org/10.1038/s41586-022-04436-3" TargetMode="External"/><Relationship Id="rId52" Type="http://schemas.openxmlformats.org/officeDocument/2006/relationships/hyperlink" Target="https://doi.org/10.1038/s41588-021-00973-1" TargetMode="External"/><Relationship Id="rId40" Type="http://schemas.openxmlformats.org/officeDocument/2006/relationships/hyperlink" Target="https://doi.org/10.1038/s41593-018-0293-z" TargetMode="External"/><Relationship Id="rId38" Type="http://schemas.openxmlformats.org/officeDocument/2006/relationships/hyperlink" Target="https://doi.org/10.1038/s41593-018-0300-4" TargetMode="External"/><Relationship Id="rId36" Type="http://schemas.openxmlformats.org/officeDocument/2006/relationships/hyperlink" Target="https://doi.org/10.1038/s41593-022-01124-3" TargetMode="External"/><Relationship Id="rId46" Type="http://schemas.openxmlformats.org/officeDocument/2006/relationships/hyperlink" Target="https://doi.org/10.1038/s41593-025-02050-w" TargetMode="External"/><Relationship Id="rId26" Type="http://schemas.openxmlformats.org/officeDocument/2006/relationships/hyperlink" Target="https://doi.org/10.1073/pnas.2419818122" TargetMode="External"/><Relationship Id="rId48" Type="http://schemas.openxmlformats.org/officeDocument/2006/relationships/hyperlink" Target="https://doi.org/10.1101/gr.135350.111" TargetMode="External"/><Relationship Id="rId20" Type="http://schemas.openxmlformats.org/officeDocument/2006/relationships/hyperlink" Target="https://doi.org/10.1111/j.1440-1789.2009.01091.x" TargetMode="External"/><Relationship Id="rId34" Type="http://schemas.openxmlformats.org/officeDocument/2006/relationships/hyperlink" Target="https://doi.org/10.1172/JCI139741" TargetMode="External"/><Relationship Id="rId50" Type="http://schemas.openxmlformats.org/officeDocument/2006/relationships/hyperlink" Target="https://doi.org/10.1371/journal.pcbi.1004219" TargetMode="External"/></Relationships>
</file>

<file path=word/_rels/footnotes.xml.rels><?xml version='1.0' encoding='UTF-8' standalone='yes'?>
<Relationships xmlns="http://schemas.openxmlformats.org/package/2006/relationships"><Relationship Id="rId14" Type="http://schemas.openxmlformats.org/officeDocument/2006/relationships/hyperlink" Target="https://doi.org/10.1001/archneurol.2008.558" TargetMode="External"/><Relationship Id="rId18" Type="http://schemas.openxmlformats.org/officeDocument/2006/relationships/hyperlink" Target="https://doi.org/10.1007/s00401-007-0226-5" TargetMode="External"/><Relationship Id="rId24" Type="http://schemas.openxmlformats.org/officeDocument/2006/relationships/hyperlink" Target="https://doi.org/10.1007/s00401-023-02599-5" TargetMode="External"/><Relationship Id="rId16" Type="http://schemas.openxmlformats.org/officeDocument/2006/relationships/hyperlink" Target="https://doi.org/10.1016/j.neuron.2011.09.011" TargetMode="External"/><Relationship Id="rId54" Type="http://schemas.openxmlformats.org/officeDocument/2006/relationships/hyperlink" Target="https://doi.org/10.1038/nature15393" TargetMode="External"/><Relationship Id="rId30" Type="http://schemas.openxmlformats.org/officeDocument/2006/relationships/hyperlink" Target="https://doi.org/10.1038/s41467-020-19894-4" TargetMode="External"/><Relationship Id="rId28" Type="http://schemas.openxmlformats.org/officeDocument/2006/relationships/hyperlink" Target="https://doi.org/10.1038/s41467-021-25960-2" TargetMode="External"/><Relationship Id="rId22" Type="http://schemas.openxmlformats.org/officeDocument/2006/relationships/hyperlink" Target="https://doi.org/10.1038/s41467-023-41033-y" TargetMode="External"/><Relationship Id="rId32" Type="http://schemas.openxmlformats.org/officeDocument/2006/relationships/hyperlink" Target="https://doi.org/10.1038/s41467-026-69944-6" TargetMode="External"/><Relationship Id="rId42" Type="http://schemas.openxmlformats.org/officeDocument/2006/relationships/hyperlink" Target="https://doi.org/10.1038/s41586-022-04424-7" TargetMode="External"/><Relationship Id="rId44" Type="http://schemas.openxmlformats.org/officeDocument/2006/relationships/hyperlink" Target="https://doi.org/10.1038/s41586-022-04436-3" TargetMode="External"/><Relationship Id="rId52" Type="http://schemas.openxmlformats.org/officeDocument/2006/relationships/hyperlink" Target="https://doi.org/10.1038/s41588-021-00973-1" TargetMode="External"/><Relationship Id="rId40" Type="http://schemas.openxmlformats.org/officeDocument/2006/relationships/hyperlink" Target="https://doi.org/10.1038/s41593-018-0293-z" TargetMode="External"/><Relationship Id="rId38" Type="http://schemas.openxmlformats.org/officeDocument/2006/relationships/hyperlink" Target="https://doi.org/10.1038/s41593-018-0300-4" TargetMode="External"/><Relationship Id="rId36" Type="http://schemas.openxmlformats.org/officeDocument/2006/relationships/hyperlink" Target="https://doi.org/10.1038/s41593-022-01124-3" TargetMode="External"/><Relationship Id="rId46" Type="http://schemas.openxmlformats.org/officeDocument/2006/relationships/hyperlink" Target="https://doi.org/10.1038/s41593-025-02050-w" TargetMode="External"/><Relationship Id="rId26" Type="http://schemas.openxmlformats.org/officeDocument/2006/relationships/hyperlink" Target="https://doi.org/10.1073/pnas.2419818122" TargetMode="External"/><Relationship Id="rId48" Type="http://schemas.openxmlformats.org/officeDocument/2006/relationships/hyperlink" Target="https://doi.org/10.1101/gr.135350.111" TargetMode="External"/><Relationship Id="rId20" Type="http://schemas.openxmlformats.org/officeDocument/2006/relationships/hyperlink" Target="https://doi.org/10.1111/j.1440-1789.2009.01091.x" TargetMode="External"/><Relationship Id="rId34" Type="http://schemas.openxmlformats.org/officeDocument/2006/relationships/hyperlink" Target="https://doi.org/10.1172/JCI139741" TargetMode="External"/><Relationship Id="rId50" Type="http://schemas.openxmlformats.org/officeDocument/2006/relationships/hyperlink" Target="https://doi.org/10.1371/journal.pcbi.10042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2026-08-16T05:47:22Z</dcterms:created>
  <dcterms:modified xsi:type="dcterms:W3CDTF">2026-08-16T05:47:22Z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references/refs.bib</vt:lpwstr>
  </property>
  <property fmtid="{D5CDD505-2E9C-101B-9397-08002B2CF9AE}" pid="3" name="csl">
    <vt:lpwstr>csl/vancouver.csl</vt:lpwstr>
  </property>
</Properties>
</file>