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3C0216">
      <w:pPr>
        <w:pStyle w:val="15"/>
        <w:pageBreakBefore w:val="0"/>
        <w:widowControl/>
        <w:kinsoku/>
        <w:wordWrap w:val="0"/>
        <w:overflowPunct/>
        <w:topLinePunct w:val="0"/>
        <w:autoSpaceDE/>
        <w:autoSpaceDN/>
        <w:bidi w:val="0"/>
        <w:adjustRightInd/>
        <w:snapToGrid/>
        <w:spacing w:after="120" w:line="480" w:lineRule="auto"/>
        <w:jc w:val="center"/>
        <w:textAlignment w:val="auto"/>
        <w:rPr>
          <w:color w:val="auto"/>
        </w:rPr>
      </w:pPr>
      <w:bookmarkStart w:id="0" w:name="ref-brown2022unc13a"/>
      <w:bookmarkEnd w:id="0"/>
      <w:bookmarkStart w:id="1" w:name="ref-vanrheenen2021als"/>
      <w:bookmarkEnd w:id="1"/>
      <w:bookmarkStart w:id="2" w:name="data-availability"/>
      <w:bookmarkEnd w:id="2"/>
      <w:bookmarkStart w:id="3" w:name="refs"/>
      <w:bookmarkEnd w:id="3"/>
      <w:bookmarkStart w:id="4" w:name="abstract"/>
      <w:bookmarkEnd w:id="4"/>
      <w:bookmarkStart w:id="5" w:name="ref-dejesus2011c9orf72"/>
      <w:bookmarkEnd w:id="5"/>
      <w:bookmarkStart w:id="6" w:name="figure-legends"/>
      <w:bookmarkEnd w:id="6"/>
      <w:bookmarkStart w:id="7" w:name="ref-geser2009continuum"/>
      <w:bookmarkEnd w:id="7"/>
      <w:bookmarkStart w:id="8" w:name="ref-auton20151000g"/>
      <w:bookmarkEnd w:id="8"/>
      <w:bookmarkStart w:id="9" w:name="results"/>
      <w:bookmarkEnd w:id="9"/>
      <w:bookmarkStart w:id="10" w:name="ref-kwong2007tdp43"/>
      <w:bookmarkEnd w:id="10"/>
      <w:bookmarkStart w:id="11" w:name="discussion"/>
      <w:bookmarkEnd w:id="11"/>
      <w:bookmarkStart w:id="12" w:name="ref-geser2010spectrum"/>
      <w:bookmarkEnd w:id="12"/>
      <w:bookmarkStart w:id="13" w:name="Xf9efdcf3a8aa1289d080d67bba35eb019727515"/>
      <w:bookmarkEnd w:id="13"/>
      <w:bookmarkStart w:id="14" w:name="introduction"/>
      <w:bookmarkEnd w:id="14"/>
      <w:bookmarkStart w:id="15" w:name="ref-melamed2019premature"/>
      <w:bookmarkEnd w:id="15"/>
      <w:bookmarkStart w:id="16" w:name="ref-gittings2023cryptic"/>
      <w:bookmarkEnd w:id="16"/>
      <w:bookmarkStart w:id="17" w:name="ref-gerrits2022neurovascular"/>
      <w:bookmarkEnd w:id="17"/>
      <w:bookmarkStart w:id="18" w:name="ref-harrow2012gencode"/>
      <w:bookmarkEnd w:id="18"/>
      <w:bookmarkStart w:id="19" w:name="ref-deleeuw2015magma"/>
      <w:bookmarkEnd w:id="19"/>
      <w:bookmarkStart w:id="20" w:name="ref-crowell2020muscat"/>
      <w:bookmarkEnd w:id="20"/>
      <w:bookmarkStart w:id="21" w:name="ref-ruf2026multimodal"/>
      <w:bookmarkEnd w:id="21"/>
      <w:bookmarkStart w:id="22" w:name="ref-klim2019stmn2"/>
      <w:bookmarkEnd w:id="22"/>
      <w:bookmarkStart w:id="23" w:name="ref-li2023divergent"/>
      <w:bookmarkEnd w:id="23"/>
      <w:bookmarkStart w:id="24" w:name="ref-squair2021false"/>
      <w:bookmarkEnd w:id="24"/>
      <w:bookmarkStart w:id="25" w:name="ref-brycesmith2025cryptic"/>
      <w:bookmarkEnd w:id="25"/>
      <w:bookmarkStart w:id="26" w:name="ref-wang2025ptdp"/>
      <w:bookmarkEnd w:id="26"/>
      <w:bookmarkStart w:id="27" w:name="ref-prudencio2020stathmin"/>
      <w:bookmarkEnd w:id="27"/>
      <w:bookmarkStart w:id="28" w:name="ref-ma2022unc13a"/>
      <w:bookmarkEnd w:id="28"/>
      <w:r>
        <w:rPr>
          <w:rFonts w:ascii="Times New Roman" w:hAnsi="Times New Roman" w:eastAsia="Times New Roman"/>
          <w:color w:val="auto"/>
        </w:rPr>
        <w:t>Cell-context programmes across the ALS–FTD spectrum under external same-nucleus multiome testing</w:t>
      </w:r>
    </w:p>
    <w:p w14:paraId="70660122">
      <w:pPr>
        <w:keepNext w:val="0"/>
        <w:keepLines w:val="0"/>
        <w:pageBreakBefore w:val="0"/>
        <w:widowControl/>
        <w:kinsoku/>
        <w:wordWrap w:val="0"/>
        <w:overflowPunct/>
        <w:topLinePunct w:val="0"/>
        <w:autoSpaceDE/>
        <w:autoSpaceDN/>
        <w:bidi w:val="0"/>
        <w:adjustRightInd/>
        <w:snapToGrid/>
        <w:spacing w:line="480" w:lineRule="auto"/>
        <w:jc w:val="left"/>
        <w:textAlignment w:val="auto"/>
        <w:rPr>
          <w:rFonts w:hint="default" w:ascii="Times New Roman" w:hAnsi="Times New Roman" w:eastAsia="宋体" w:cs="Times New Roman"/>
          <w:vertAlign w:val="baseline"/>
          <w:lang w:val="en-US" w:eastAsia="zh-CN"/>
        </w:rPr>
      </w:pPr>
      <w:r>
        <w:rPr>
          <w:rFonts w:ascii="Times New Roman" w:hAnsi="Times New Roman"/>
          <w:b/>
          <w:sz w:val="24"/>
        </w:rPr>
        <w:t xml:space="preserve">Authors: </w:t>
      </w:r>
      <w:r>
        <w:rPr>
          <w:rFonts w:ascii="Times New Roman" w:hAnsi="Times New Roman"/>
          <w:sz w:val="24"/>
        </w:rPr>
        <w:t>Junchen Jiang</w:t>
      </w:r>
      <w:r>
        <w:rPr>
          <w:rFonts w:ascii="Times New Roman" w:hAnsi="Times New Roman"/>
          <w:sz w:val="24"/>
          <w:vertAlign w:val="superscript"/>
        </w:rPr>
        <w:t>a,b,1</w:t>
      </w:r>
      <w:r>
        <w:rPr>
          <w:rFonts w:ascii="Times New Roman" w:hAnsi="Times New Roman"/>
          <w:sz w:val="24"/>
        </w:rPr>
        <w:t xml:space="preserve">, </w:t>
      </w:r>
      <w:r>
        <w:rPr>
          <w:rFonts w:ascii="Times New Roman" w:hAnsi="Times New Roman"/>
          <w:sz w:val="24"/>
        </w:rPr>
        <w:t>Min Wang</w:t>
      </w:r>
      <w:r>
        <w:rPr>
          <w:rFonts w:ascii="Times New Roman" w:hAnsi="Times New Roman"/>
          <w:sz w:val="24"/>
          <w:vertAlign w:val="superscript"/>
        </w:rPr>
        <w:t>a,b,1</w:t>
      </w:r>
      <w:r>
        <w:rPr>
          <w:rFonts w:ascii="Times New Roman" w:hAnsi="Times New Roman"/>
          <w:sz w:val="24"/>
        </w:rPr>
        <w:t xml:space="preserve">, </w:t>
      </w:r>
      <w:r>
        <w:rPr>
          <w:rFonts w:ascii="Times New Roman" w:hAnsi="Times New Roman"/>
          <w:sz w:val="24"/>
        </w:rPr>
        <w:t>Yiren Lv</w:t>
      </w:r>
      <w:r>
        <w:rPr>
          <w:rFonts w:ascii="Times New Roman" w:hAnsi="Times New Roman"/>
          <w:sz w:val="24"/>
          <w:vertAlign w:val="superscript"/>
        </w:rPr>
        <w:t>c,1</w:t>
      </w:r>
      <w:r>
        <w:rPr>
          <w:rFonts w:ascii="Times New Roman" w:hAnsi="Times New Roman"/>
          <w:sz w:val="24"/>
        </w:rPr>
        <w:t xml:space="preserve">, </w:t>
      </w:r>
      <w:r>
        <w:rPr>
          <w:rFonts w:ascii="Times New Roman" w:hAnsi="Times New Roman"/>
          <w:sz w:val="24"/>
        </w:rPr>
        <w:t>Beifen Pan</w:t>
      </w:r>
      <w:r>
        <w:rPr>
          <w:rFonts w:ascii="Times New Roman" w:hAnsi="Times New Roman"/>
          <w:sz w:val="24"/>
          <w:vertAlign w:val="superscript"/>
        </w:rPr>
        <w:t>a,b</w:t>
      </w:r>
      <w:r>
        <w:rPr>
          <w:rFonts w:ascii="Times New Roman" w:hAnsi="Times New Roman"/>
          <w:sz w:val="24"/>
        </w:rPr>
        <w:t xml:space="preserve">, </w:t>
      </w:r>
      <w:r>
        <w:rPr>
          <w:rFonts w:ascii="Times New Roman" w:hAnsi="Times New Roman"/>
          <w:sz w:val="24"/>
        </w:rPr>
        <w:t>Ruge Liu</w:t>
      </w:r>
      <w:r>
        <w:rPr>
          <w:rFonts w:ascii="Times New Roman" w:hAnsi="Times New Roman"/>
          <w:sz w:val="24"/>
          <w:vertAlign w:val="superscript"/>
        </w:rPr>
        <w:t>a,b</w:t>
      </w:r>
      <w:r>
        <w:rPr>
          <w:rFonts w:ascii="Times New Roman" w:hAnsi="Times New Roman"/>
          <w:sz w:val="24"/>
        </w:rPr>
        <w:t xml:space="preserve">, </w:t>
      </w:r>
      <w:r>
        <w:rPr>
          <w:rFonts w:ascii="Times New Roman" w:hAnsi="Times New Roman"/>
          <w:sz w:val="24"/>
        </w:rPr>
        <w:t>Junlong Chen</w:t>
      </w:r>
      <w:r>
        <w:rPr>
          <w:rFonts w:ascii="Times New Roman" w:hAnsi="Times New Roman"/>
          <w:sz w:val="24"/>
          <w:vertAlign w:val="superscript"/>
        </w:rPr>
        <w:t>a,b</w:t>
      </w:r>
      <w:r>
        <w:rPr>
          <w:rFonts w:ascii="Times New Roman" w:hAnsi="Times New Roman"/>
          <w:sz w:val="24"/>
        </w:rPr>
        <w:t xml:space="preserve">, </w:t>
      </w:r>
      <w:r>
        <w:rPr>
          <w:rFonts w:ascii="Times New Roman" w:hAnsi="Times New Roman"/>
          <w:sz w:val="24"/>
        </w:rPr>
        <w:t>Yulin Wang</w:t>
      </w:r>
      <w:r>
        <w:rPr>
          <w:rFonts w:ascii="Times New Roman" w:hAnsi="Times New Roman"/>
          <w:sz w:val="24"/>
          <w:vertAlign w:val="superscript"/>
        </w:rPr>
        <w:t>a,b</w:t>
      </w:r>
      <w:r>
        <w:rPr>
          <w:rFonts w:ascii="Times New Roman" w:hAnsi="Times New Roman"/>
          <w:sz w:val="24"/>
        </w:rPr>
        <w:t xml:space="preserve">, </w:t>
      </w:r>
      <w:r>
        <w:rPr>
          <w:rFonts w:ascii="Times New Roman" w:hAnsi="Times New Roman"/>
          <w:sz w:val="24"/>
        </w:rPr>
        <w:t>Kaiqiang Dong</w:t>
      </w:r>
      <w:r>
        <w:rPr>
          <w:rFonts w:ascii="Times New Roman" w:hAnsi="Times New Roman"/>
          <w:sz w:val="24"/>
          <w:vertAlign w:val="superscript"/>
        </w:rPr>
        <w:t>a,b</w:t>
      </w:r>
      <w:r>
        <w:rPr>
          <w:rFonts w:ascii="Times New Roman" w:hAnsi="Times New Roman"/>
          <w:sz w:val="24"/>
        </w:rPr>
        <w:t xml:space="preserve">, </w:t>
      </w:r>
      <w:r>
        <w:rPr>
          <w:rFonts w:ascii="Times New Roman" w:hAnsi="Times New Roman"/>
          <w:sz w:val="24"/>
        </w:rPr>
        <w:t>Lixian Cui</w:t>
      </w:r>
      <w:r>
        <w:rPr>
          <w:rFonts w:ascii="Times New Roman" w:hAnsi="Times New Roman"/>
          <w:sz w:val="24"/>
          <w:vertAlign w:val="superscript"/>
        </w:rPr>
        <w:t>a,b</w:t>
      </w:r>
      <w:r>
        <w:rPr>
          <w:rFonts w:ascii="Times New Roman" w:hAnsi="Times New Roman"/>
          <w:sz w:val="24"/>
        </w:rPr>
        <w:t xml:space="preserve">, </w:t>
      </w:r>
      <w:r>
        <w:rPr>
          <w:rFonts w:ascii="Times New Roman" w:hAnsi="Times New Roman"/>
          <w:sz w:val="24"/>
        </w:rPr>
        <w:t>Dong Zhang</w:t>
      </w:r>
      <w:r>
        <w:rPr>
          <w:rFonts w:ascii="Times New Roman" w:hAnsi="Times New Roman"/>
          <w:sz w:val="24"/>
          <w:vertAlign w:val="superscript"/>
        </w:rPr>
        <w:t>a,b</w:t>
      </w:r>
      <w:r>
        <w:rPr>
          <w:rFonts w:ascii="Times New Roman" w:hAnsi="Times New Roman"/>
          <w:sz w:val="24"/>
        </w:rPr>
        <w:t xml:space="preserve">, </w:t>
      </w:r>
      <w:r>
        <w:rPr>
          <w:rFonts w:ascii="Times New Roman" w:hAnsi="Times New Roman"/>
          <w:sz w:val="24"/>
        </w:rPr>
        <w:t>Jialin Liu</w:t>
      </w:r>
      <w:r>
        <w:rPr>
          <w:rFonts w:ascii="Times New Roman" w:hAnsi="Times New Roman"/>
          <w:sz w:val="24"/>
          <w:vertAlign w:val="superscript"/>
        </w:rPr>
        <w:t>b,*</w:t>
      </w:r>
      <w:r>
        <w:rPr>
          <w:rFonts w:ascii="Times New Roman" w:hAnsi="Times New Roman"/>
          <w:sz w:val="24"/>
        </w:rPr>
        <w:t xml:space="preserve">, </w:t>
      </w:r>
      <w:r>
        <w:rPr>
          <w:rFonts w:ascii="Times New Roman" w:hAnsi="Times New Roman"/>
          <w:sz w:val="24"/>
        </w:rPr>
        <w:t>Rongjuan Guo</w:t>
      </w:r>
      <w:r>
        <w:rPr>
          <w:rFonts w:ascii="Times New Roman" w:hAnsi="Times New Roman"/>
          <w:sz w:val="24"/>
          <w:vertAlign w:val="superscript"/>
        </w:rPr>
        <w:t>b,*</w:t>
      </w:r>
    </w:p>
    <w:p w14:paraId="12271522">
      <w:pPr>
        <w:keepNext w:val="0"/>
        <w:keepLines w:val="0"/>
        <w:pageBreakBefore w:val="0"/>
        <w:widowControl/>
        <w:kinsoku/>
        <w:wordWrap w:val="0"/>
        <w:overflowPunct/>
        <w:topLinePunct w:val="0"/>
        <w:autoSpaceDE/>
        <w:autoSpaceDN/>
        <w:bidi w:val="0"/>
        <w:adjustRightInd/>
        <w:snapToGrid/>
        <w:spacing w:line="480" w:lineRule="auto"/>
        <w:jc w:val="left"/>
        <w:textAlignment w:val="auto"/>
        <w:rPr>
          <w:rFonts w:hint="default" w:ascii="Times New Roman" w:hAnsi="Times New Roman" w:eastAsia="宋体" w:cs="Times New Roman"/>
          <w:vertAlign w:val="baseline"/>
          <w:lang w:val="en-US" w:eastAsia="zh-CN"/>
        </w:rPr>
      </w:pPr>
      <w:r>
        <w:rPr>
          <w:rFonts w:ascii="Times New Roman" w:hAnsi="Times New Roman"/>
          <w:b/>
          <w:sz w:val="24"/>
        </w:rPr>
        <w:t xml:space="preserve">Affiliations: </w:t>
      </w:r>
      <w:r>
        <w:rPr>
          <w:rFonts w:ascii="Times New Roman" w:hAnsi="Times New Roman"/>
          <w:sz w:val="24"/>
        </w:rPr>
        <w:t>a. Beijing University of Chinese Medicine, Beijing 100029, China</w:t>
      </w:r>
    </w:p>
    <w:p w14:paraId="43A1CCC0">
      <w:pPr>
        <w:keepNext w:val="0"/>
        <w:keepLines w:val="0"/>
        <w:pageBreakBefore w:val="0"/>
        <w:widowControl/>
        <w:kinsoku/>
        <w:wordWrap w:val="0"/>
        <w:overflowPunct/>
        <w:topLinePunct w:val="0"/>
        <w:autoSpaceDE/>
        <w:autoSpaceDN/>
        <w:bidi w:val="0"/>
        <w:adjustRightInd/>
        <w:snapToGrid/>
        <w:spacing w:line="480" w:lineRule="auto"/>
        <w:jc w:val="left"/>
        <w:textAlignment w:val="auto"/>
        <w:rPr>
          <w:rFonts w:hint="default" w:ascii="Times New Roman" w:hAnsi="Times New Roman" w:eastAsia="宋体" w:cs="Times New Roman"/>
          <w:vertAlign w:val="baseline"/>
          <w:lang w:val="en-US" w:eastAsia="zh-CN"/>
        </w:rPr>
      </w:pPr>
      <w:r>
        <w:rPr>
          <w:rFonts w:ascii="Times New Roman" w:hAnsi="Times New Roman"/>
          <w:sz w:val="24"/>
        </w:rPr>
        <w:t>b. Beijing University of Chinese Medicine Oriental Hospital, Beijing 100078, China</w:t>
      </w:r>
    </w:p>
    <w:p w14:paraId="64A4674C">
      <w:pPr>
        <w:keepNext w:val="0"/>
        <w:keepLines w:val="0"/>
        <w:pageBreakBefore w:val="0"/>
        <w:widowControl/>
        <w:kinsoku/>
        <w:wordWrap w:val="0"/>
        <w:overflowPunct/>
        <w:topLinePunct w:val="0"/>
        <w:autoSpaceDE/>
        <w:autoSpaceDN/>
        <w:bidi w:val="0"/>
        <w:adjustRightInd/>
        <w:snapToGrid/>
        <w:spacing w:line="480" w:lineRule="auto"/>
        <w:jc w:val="left"/>
        <w:textAlignment w:val="auto"/>
        <w:rPr>
          <w:rFonts w:hint="default" w:ascii="Times New Roman" w:hAnsi="Times New Roman" w:eastAsia="宋体" w:cs="Times New Roman"/>
          <w:vertAlign w:val="baseline"/>
          <w:lang w:val="en-US" w:eastAsia="zh-CN"/>
        </w:rPr>
      </w:pPr>
      <w:r>
        <w:rPr>
          <w:rFonts w:ascii="Times New Roman" w:hAnsi="Times New Roman"/>
          <w:sz w:val="24"/>
        </w:rPr>
        <w:t>c. Beijing Miyun District Hospital of Traditional Chinese Medicine (Miyun Hospital of the Third Affiliated Hospital of Beijing University of Chinese Medicine), Beijing 101599, China</w:t>
      </w:r>
    </w:p>
    <w:p w14:paraId="6B3C86C9">
      <w:pPr>
        <w:keepNext w:val="0"/>
        <w:keepLines w:val="0"/>
        <w:pageBreakBefore w:val="0"/>
        <w:widowControl/>
        <w:kinsoku/>
        <w:wordWrap w:val="0"/>
        <w:overflowPunct/>
        <w:topLinePunct w:val="0"/>
        <w:autoSpaceDE/>
        <w:autoSpaceDN/>
        <w:bidi w:val="0"/>
        <w:adjustRightInd/>
        <w:snapToGrid/>
        <w:spacing w:line="480" w:lineRule="auto"/>
        <w:jc w:val="left"/>
        <w:textAlignment w:val="auto"/>
        <w:rPr>
          <w:rFonts w:ascii="Times New Roman" w:hAnsi="Times New Roman" w:eastAsia="Times New Roman"/>
          <w:b/>
          <w:bCs/>
          <w:color w:val="auto"/>
        </w:rPr>
      </w:pPr>
      <w:r>
        <w:rPr>
          <w:rFonts w:ascii="Times New Roman" w:hAnsi="Times New Roman"/>
          <w:sz w:val="24"/>
          <w:vertAlign w:val="superscript"/>
        </w:rPr>
        <w:t>1</w:t>
      </w:r>
      <w:r>
        <w:rPr>
          <w:rFonts w:ascii="Times New Roman" w:hAnsi="Times New Roman"/>
          <w:b/>
          <w:sz w:val="24"/>
        </w:rPr>
        <w:t xml:space="preserve"> These authors contributed equally to this work.</w:t>
      </w:r>
    </w:p>
    <w:p w14:paraId="39F4A7C4">
      <w:pPr>
        <w:keepNext w:val="0"/>
        <w:keepLines w:val="0"/>
        <w:pageBreakBefore w:val="0"/>
        <w:widowControl/>
        <w:kinsoku/>
        <w:wordWrap w:val="0"/>
        <w:overflowPunct/>
        <w:topLinePunct w:val="0"/>
        <w:autoSpaceDE/>
        <w:autoSpaceDN/>
        <w:bidi w:val="0"/>
        <w:adjustRightInd/>
        <w:snapToGrid/>
        <w:spacing w:line="480" w:lineRule="auto"/>
        <w:jc w:val="left"/>
        <w:textAlignment w:val="auto"/>
        <w:rPr>
          <w:rFonts w:hint="default" w:ascii="Times New Roman" w:hAnsi="Times New Roman" w:eastAsia="Times New Roman"/>
          <w:color w:val="auto"/>
          <w:lang w:val="en-US"/>
        </w:rPr>
      </w:pPr>
      <w:r>
        <w:rPr>
          <w:rFonts w:ascii="Times New Roman" w:hAnsi="Times New Roman"/>
          <w:b/>
          <w:sz w:val="22"/>
        </w:rPr>
        <w:t xml:space="preserve">Corresponding authors: </w:t>
      </w:r>
      <w:r>
        <w:rPr>
          <w:rFonts w:ascii="Times New Roman" w:hAnsi="Times New Roman"/>
          <w:sz w:val="22"/>
        </w:rPr>
        <w:t>Jialin Liu (jordan181@163.com); Rongjuan Guo (dfguorongjuan@163.com)</w:t>
      </w:r>
    </w:p>
    <w:p w14:paraId="6AB7D478">
      <w:pPr>
        <w:pStyle w:val="3"/>
        <w:keepNext w:val="0"/>
        <w:keepLines w:val="0"/>
        <w:pageBreakBefore w:val="0"/>
        <w:widowControl/>
        <w:kinsoku/>
        <w:wordWrap w:val="0"/>
        <w:overflowPunct/>
        <w:topLinePunct w:val="0"/>
        <w:autoSpaceDE/>
        <w:autoSpaceDN/>
        <w:bidi w:val="0"/>
        <w:adjustRightInd/>
        <w:snapToGrid/>
        <w:spacing w:after="120" w:line="480" w:lineRule="auto"/>
        <w:jc w:val="left"/>
        <w:textAlignment w:val="auto"/>
        <w:rPr>
          <w:color w:val="auto"/>
        </w:rPr>
      </w:pPr>
      <w:r>
        <w:rPr>
          <w:rFonts w:ascii="Times New Roman" w:hAnsi="Times New Roman" w:eastAsia="Times New Roman"/>
          <w:b/>
          <w:bCs/>
          <w:color w:val="auto"/>
        </w:rPr>
        <w:t>Running title:</w:t>
      </w:r>
      <w:r>
        <w:rPr>
          <w:rFonts w:ascii="Times New Roman" w:hAnsi="Times New Roman" w:eastAsia="Times New Roman"/>
          <w:color w:val="auto"/>
        </w:rPr>
        <w:t xml:space="preserve"> ALS–FTD programme portability</w:t>
      </w:r>
    </w:p>
    <w:p w14:paraId="4B6B2D89">
      <w:pPr>
        <w:pStyle w:val="3"/>
        <w:keepNext w:val="0"/>
        <w:keepLines w:val="0"/>
        <w:pageBreakBefore w:val="0"/>
        <w:widowControl/>
        <w:kinsoku/>
        <w:wordWrap w:val="0"/>
        <w:overflowPunct/>
        <w:topLinePunct w:val="0"/>
        <w:autoSpaceDE/>
        <w:autoSpaceDN/>
        <w:bidi w:val="0"/>
        <w:adjustRightInd/>
        <w:snapToGrid/>
        <w:spacing w:after="120" w:line="480" w:lineRule="auto"/>
        <w:jc w:val="left"/>
        <w:textAlignment w:val="auto"/>
        <w:rPr>
          <w:color w:val="auto"/>
        </w:rPr>
      </w:pPr>
      <w:r>
        <w:rPr>
          <w:rFonts w:ascii="Times New Roman" w:hAnsi="Times New Roman" w:eastAsia="Times New Roman"/>
          <w:b/>
          <w:bCs/>
          <w:color w:val="auto"/>
        </w:rPr>
        <w:t>Article type:</w:t>
      </w:r>
      <w:r>
        <w:rPr>
          <w:rFonts w:ascii="Times New Roman" w:hAnsi="Times New Roman" w:eastAsia="Times New Roman"/>
          <w:color w:val="auto"/>
        </w:rPr>
        <w:t xml:space="preserve"> Research</w:t>
      </w:r>
    </w:p>
    <w:p w14:paraId="3FDD40CF">
      <w:pPr>
        <w:pStyle w:val="4"/>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Abstract</w:t>
      </w:r>
    </w:p>
    <w:p w14:paraId="2AF7BBC7">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Background</w:t>
      </w:r>
    </w:p>
    <w:p w14:paraId="70BACF8F">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Amyotrophic lateral sclerosis (ALS) and frontotemporal dementia (FTD) share C9orf72 and TDP-43 biology, but whether cell-type programmes transfer consistently across human brain cohorts remains unclear. We tested programme portability while retaining the donor as the biological unit.</w:t>
      </w:r>
    </w:p>
    <w:p w14:paraId="6F3F7AF8">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Results</w:t>
      </w:r>
    </w:p>
    <w:p w14:paraId="75212B78">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We reanalysed public single-nucleus transcriptomic, chromatin and paired multiome datasets using donor-aware pseudobulk models and a prespecified evidence hierarchy. Across 63 exactly matched axes in two C9 cohorts, 39 (61.9%) agreed in direction (P = 0.077), whereas axon development, small-GTPase signalling and synapse/junction assembly agreed in 21/27 axes (77.8%, P = 0.006). Thirteen axes passed a strict two-cohort gate requiring the same direction, cohort-specific global false-discovery control and donor leave-one-out stability. Frozen testing of seven families and 17 genes in an independent 79-donor, 180,016-nucleus motor-cortex cohort yielded 40/126 robust within-cohort axes but no same-direction ALS-versus-control axis across all three diagnostic cohorts. Pathology-graded multiome analysis linked increasing phosphorylated TDP-43 burden to lower astrocytic protein-stabilization expression and predominantly oligodendroglial accessibility differences, but no complete RNA–ATAC chain. TDP-43 knockdown effects opposed glial pathology trends in 6/6 comparisons (P = 0.031). No programme set was enriched for ALS germline risk; MAPT alone passed the 17-gene Bonferroni threshold.</w:t>
      </w:r>
    </w:p>
    <w:p w14:paraId="0562A8FD">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Conclusions</w:t>
      </w:r>
    </w:p>
    <w:p w14:paraId="2D19B77D">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ALS–FTD molecular programmes recur by mechanism family but remain conditional on cell and cohort context. Frozen external testing, perturbation consistency and genetic anchoring delimit these programmes as downstream, experimentally testable disease states rather than universal biomarkers or causal regulatory chains.</w:t>
      </w:r>
    </w:p>
    <w:p w14:paraId="72126DD0">
      <w:pPr>
        <w:pStyle w:val="3"/>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b/>
          <w:bCs/>
          <w:color w:val="auto"/>
        </w:rPr>
        <w:t xml:space="preserve">Keywords: </w:t>
      </w:r>
      <w:r>
        <w:rPr>
          <w:rFonts w:ascii="Times New Roman" w:hAnsi="Times New Roman" w:eastAsia="Times New Roman"/>
          <w:color w:val="auto"/>
        </w:rPr>
        <w:t>amyotrophic lateral sclerosis; frontotemporal dementia; C9orf72; TDP-43; single-nucleus multiome; donor-aware pseudobulk; replication</w:t>
      </w:r>
    </w:p>
    <w:p w14:paraId="51271494">
      <w:pPr>
        <w:pStyle w:val="4"/>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Background</w:t>
      </w:r>
    </w:p>
    <w:p w14:paraId="56D95CEA">
      <w:pPr>
        <w:pStyle w:val="2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sz w:val="24"/>
        </w:rPr>
        <w:t>Amyotrophic lateral sclerosis (ALS) and frontotemporal dementia (FTD) are increasingly understood as a clinicopathological spectrum rather than fully discrete disorders. The two diseases share genetic causes, most prominently the C9orf72 hexanucleotide repeat expansion, and frequently converge on pathological cytoplasmic aggregation and nuclear loss of function of TAR DNA-binding protein 43 (TDP-43). Nevertheless, patients with related genetic and pathological backgrounds can develop predominantly motor-system degeneration, predominantly behavioural or cognitive impairment, or overlapping phenotypes. Explaining this divergence requires analyses that resolve the cell types and brain regions in which molecular changes occur rather than averaging signals across whole tissue [1–4].</w:t>
      </w:r>
    </w:p>
    <w:p w14:paraId="1FB7ED52">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sz w:val="24"/>
        </w:rPr>
        <w:t>Single-nucleus transcriptomic and epigenomic profiling of frozen human brain tissue has provided an opportunity to study these disease-associated states directly in post-mortem samples. Published C9orf72 datasets have reported cell- and region-dependent neuronal and glial changes, chromatin-accessibility differences and cryptic-exon events, while pathology-graded multiome studies have reported cell-type-specific RNA and chromatin changes in human cortex [5–7]. However, several analytical features complicate synthesis across studies. Cells or nuclei sampled from the same individual are not independent biological replicates; repeated brain regions from one donor require donor blocking; diagnostic contrasts can differ from ordinal pathology-burden trends; and RNA expression, chromatin accessibility and peak-gene correlation measure distinct quantities. Approaches that preserve the sample or donor as the inferential unit reduce false discoveries caused by treating cells as independent replicates [8,9]. Moreover, apparent disease-related expression changes in bulk or pseudobulk tissue may be influenced by shifts in captured cell-type composition.</w:t>
      </w:r>
    </w:p>
    <w:p w14:paraId="152A3B48">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These constraints are especially important when asking whether ALS and FTD share a single disease programme or instead occupy different cell-context states within the C9orf72-TDP-43 spectrum. A simple intersection of differentially expressed genes cannot distinguish a molecular programme that is shared across cell types from one whose direction changes by lineage or region. Likewise, a significant RNA-ATAC correlation does not establish that disease-associated chromatin change causes altered transcription. A rigorous cross-cohort analysis therefore requires prespecified biological programmes, donor-level inference, separation of discovery from independent or orthogonal support, and explicit gates that prevent pathway-level replication from being presented as single-gene or causal validation.</w:t>
      </w:r>
    </w:p>
    <w:p w14:paraId="223A9994">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sz w:val="24"/>
        </w:rPr>
        <w:t>Here, we integrated multiple public human brain datasets using a donor-aware evidence framework. GSE219280 served as the single-nucleus RNA-sequencing discovery cohort, with matched GSE219279 single-nucleus ATAC sequencing treated as same-donor cross-modal context rather than independent validation. A 37-donor C9orf72-spectrum single-nucleus transcriptomic cohort reported by Gittings and colleagues provided the first programme-level replication dataset; no overlap was detected in public donor identifiers, although de-identification precluded proof of complete donor independence. We then used the 79-donor motor-cortex same-nucleus RNA-ATAC cohort reported by Ruf and colleagues as a frozen external diagnostic test across ALS, ALS-FTD and control groups [10]. GSE212630 contributed pathology-graded paired RNA-ATAC measurements from the same nuclei and was analysed under a distinct phosphorylated TDP-43 (pTDP) ordinal estimand. Supporting bulk, cross-genetic FTD and published event-level splicing evidence were incorporated only within their measurement boundaries. Across these data, we tested seven mechanism families and a discovery-derived set of 17 leading-edge candidates that was frozen before the Ruf-cohort test, while retaining the donor as the unit of biological inference.</w:t>
      </w:r>
    </w:p>
    <w:p w14:paraId="0FF89292">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We show that disease-associated molecular differences are organized as cell- and region-dependent programmes rather than a uniformly shared ALS-FTD signature. The first C9 replication highlighted mitochondrial/proteostasis and small-GTPase-synaptic/axonal separation, whereas frozen testing in the larger diagnostic same-nucleus cohort demonstrated strong within-cohort robustness but no strictly concordant ALS programme across all three diagnostic datasets. Pathology-graded paired multiome analysis associated increasing pTDP burden with reduced glial proteostasis expression and oligodendroglial accessibility differences, but neither multiome dataset supported a complete accessibility-to-expression chain. Together, these analyses provide an evidence-constrained model of molecular heterogeneity across the ALS-FTD spectrum and identify programme-level hypotheses for experimental testing.</w:t>
      </w:r>
    </w:p>
    <w:p w14:paraId="1CA11E05">
      <w:pPr>
        <w:pStyle w:val="4"/>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Results</w:t>
      </w:r>
    </w:p>
    <w:p w14:paraId="612FB8B9">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A donor-aware framework separates discovery, replication and orthogonal support</w:t>
      </w:r>
    </w:p>
    <w:p w14:paraId="5D644779">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We constructed an evidence hierarchy to integrate public human brain single-nucleus data without conflating nuclei with biological replicates or combining incompatible estimands (Fig. 1). GSE219280 comprised 17 donors profiled by single-nucleus RNA sequencing across BA4 motor cortex and BA9 frontal cortex and was used as the discovery cohort. GSE219279 originated from the same study and 17-donor panel and was therefore classified as matched cross-modal context. The external C9 transcriptomic replication dataset comprised 37 public donor identifiers across frontal and occipital cortex; no overlap was detected in public identifiers, although de-identification precluded proof of complete donor independence. The Ruf diagnostic same-nucleus cohort comprised 79 motor-cortex donors and 180,016 nuclei across 30 ALS, 10 sporadic ALS-FTD, 7 C9-associated ALS-FTD and 32 control donors. GSE212630 comprised 26 biological donors represented by paired RNA and ATAC assays from the same multiome nuclei; its primary cell-type-resolved pTDP analysis was restricted to 14 annotated Emory donors and 118,261 shared-barcode nuclei. The common GSE212630 peak set contained 300,559 peaks. These nucleus and peak counts describe assay scale, whereas all inferential sample sizes refer to biological donors.</w:t>
      </w:r>
    </w:p>
    <w:p w14:paraId="3D584718">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For all repeated-region datasets, analyses retained the donor as the biological unit through pseudobulk aggregation and donor blocking. We froze seven mechanism families-mitochondrial energy, protein folding, protein stabilization, heat response, small-GTPase regulation, synapse/junction assembly and axon development-and a 17-gene discovery-derived leading-edge shortlist before external-cohort testing. The gene shortlist was not outcome-independent with respect to discovery. Results were assigned to discovery, external transcriptomic replication, same-donor cross-modal support, pathology-burden multiome support, cross-genetic FTD support or external event-level splicing evidence. This hierarchy determined the wording permitted for each result and prevented technical sensitivity, association and external replication from being treated as equivalent forms of evidence.</w:t>
      </w:r>
    </w:p>
    <w:p w14:paraId="24ED4036">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Cell type and phenotype contrast condition the transcriptional architecture of the C9orf72 ALS–FTD spectrum</w:t>
      </w:r>
    </w:p>
    <w:p w14:paraId="5D447B8B">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To test whether ALS- and FTD-associated changes formed uniform or context-specific programmes, we modelled donor-level pseudobulk expression within astrocytes, OPCs and oligodendrocytes and separated ALS-versus-control, FTD-versus-control and ALS-versus-FTD contrasts (Fig. 2). Across the resulting 63 programme axes, 35 passed the global primary FDR threshold. Mitochondrial and proteostasis-related programmes were accompanied by changes in small-GTPase, synaptic and axonal programmes, but their directions were not interchangeable across ALS, FTD and cellular backgrounds.</w:t>
      </w:r>
    </w:p>
    <w:p w14:paraId="66C6307D">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Threshold sensitivity analyses repeated pseudobulk construction using minimum cell-count requirements of 20, 30 and 50 nuclei, and leave-one-donor-out (LOO) analyses quantified direction stability. All 63 displayed programme directions were retained at both the 20- and 50-nucleus sensitivity thresholds relative to the 30-nucleus primary analysis. These tests were used as robustness assessments and not as independent replication. Sparse FTD contrasts, particularly in neuronal subtypes, were retained only where the donor and nucleus eligibility criteria were satisfied; low-powered results were treated as exploratory. The combined results did not justify a universal statement that ALS was exclusively neuronal or FTD exclusively glial. Instead, they supported cell-type-specific programme shifts whose relative pattern separated phenotype-associated states.</w:t>
      </w:r>
    </w:p>
    <w:p w14:paraId="0E2F35F6">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An external C9 brain cohort tests programme-level separation and reveals heterogeneity</w:t>
      </w:r>
    </w:p>
    <w:p w14:paraId="5B80F67D">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We next performed exact-estimand replication by matching disease contrast, major cell type and predefined mechanism family between GSE219280 and the external Gittings C9 transcriptomic cohort (Fig. 3). Public identifiers showed no detected overlap, but de-identification prevented proof of complete donor independence. Among 63 exactly matched axes, 39 (61.9%) were directionally concordant (exact binomial P = 0.077, 95% CI 0.49-0.74, not above chance overall). Concordance was strongly family-stratified: axon development, small-GTPase regulation and synapse/junction assembly pooled 21/27 concordant axes (77.8%, P = 0.006, 95% CI 0.58-0.91), whereas mitochondrial energy was concordant in only 3/9. Thirteen axes were concordant, passed the cohort-specific global false-discovery-rate (FDR) threshold in both datasets and achieved at least 90% LOO direction stability in each cohort. These replicated axes included increased protein folding in ALS OPCs; lower axon-development, small-GTPase and synapse/junction programmes in ALS relative to FTD OPCs; increased axonal, small-GTPase and synaptic programmes in FTD astrocytes and OPCs; and increased mitochondrial, protein-folding and protein-stabilization programmes in FTD oligodendrocytes.</w:t>
      </w:r>
    </w:p>
    <w:p w14:paraId="56588958">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Concordance, in other words, was concentrated rather than pervasive. Among the 35 axes significant in discovery, 24 were concordant (68.6%, P = 0.041); among the 49 significant in either cohort, 32 (65.3%, P = 0.044). Effect sizes themselves correlated only weakly between cohorts (genome-wide Spearman 0.191, P = 0.133), so what transfers is direction, and only within particular families. We therefore treat programme replication as a family-level property: the three transferable families each supply three strict-replication axes, while mitochondrial energy reverses across cohorts - a reversal echoed in its Ruf glial axes below.</w:t>
      </w:r>
    </w:p>
    <w:p w14:paraId="11D49AA7">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Replication was strongest at the programme rather than individual-gene level. Axon development, small-GTPase regulation and synapse/junction assembly each showed direction agreement in 7 of 9 matched cell-type/contrast settings (77.8%), with three axes per family meeting the strict dual-cohort replication gate. By contrast, none of the 153 exactly matched cell-type-contrast-gene axes among the 17 candidates simultaneously showed direction agreement and strict multiple-testing support sufficient for a broad claim of single-gene external replication. Candidate genes were therefore retained as discovery-derived leading-edge contributors and evidence-graded hypotheses rather than replicated biomarkers.</w:t>
      </w:r>
    </w:p>
    <w:p w14:paraId="3C8434C8">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Three axes were globally significant and LOO-stable within both cohorts but showed opposite directions: astrocytic and OPC small-GTPase programmes in ALS versus control, and oligodendroglial mitochondrial energy in ALS versus FTD. Because these effects were not driven by a single donor, they were reported as cohort-, tissue- or sampling-context heterogeneity rather than averaged into a summary effect. The Gittings ALS-versus-FTD comparison was a partition-bridged difference-in-differences, [(C9-ALS - Control_ALS-partition) - (C9-FTD - Control_FTD-partition)], and is labelled accordingly throughout. It was secondary/supportive rather than an unconfounded direct case-case effect.</w:t>
      </w:r>
    </w:p>
    <w:p w14:paraId="4FCF68C5">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Internal donor perturbation supported the stability of the external-cohort results: all 68 Gittings axes passing the global primary FDR threshold retained their direction in at least 90% of the 37 donor omissions, and 66 of 68 retained direction in every omission. An independent 9-donor GRN-FTD boundary cohort contributed three globally significant, 9/9 direction-stable programme axes. Synapse/junction assembly was increased in NEUN-positive (NES = 1.6414; global FDR = 0.0313) and OLIG2-positive populations (NES = 1.7967; global FDR = 0.0144), whereas protein folding was decreased in NEUN-positive nuclei (NES = -1.5808; global FDR = 0.0144). This pattern supported selected programmes across genetic backgrounds while also demonstrating that proteostasis direction was context dependent.</w:t>
      </w:r>
    </w:p>
    <w:p w14:paraId="392E840B">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Frozen testing in a 79-donor same-nucleus cohort shows robust but incomplete programme transportability</w:t>
      </w:r>
    </w:p>
    <w:p w14:paraId="6D9C31F8">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We next tested the already-frozen seven families and 17 genes in the Ruf motor-cortex same-nucleus RNA-ATAC cohort, without redefining the programmes from the new outcomes (Extended Data Fig. 13). Donor-level RNA pseudobulk models covered astrocytes, excitatory neurons, inhibitory neurons, microglia, OPCs and oligodendrocytes. The primary diagnostic design compared ALS with control, combined ALS-FTD with control and ALS with combined ALS-FTD, with sex adjustment; technical-depth, complete-case age, donor-LOO and a source-matched 12-surrogate-variable model were prespecified sensitivities. Of 126 family-by-cell-type-by-contrast axes, 63 passed the base within-cohort gate and 40 passed the final gate requiring global family FDR &lt; 0.05, at least 90% LOO direction stability, technical and age direction retention, and same-direction global FDR &lt; 0.05 in the 12-surrogate-variable model.</w:t>
      </w:r>
    </w:p>
    <w:p w14:paraId="0A2DE699">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Ten final axes concerned ALS versus control. Mitochondrial energy was lower in astrocytes, inhibitory neurons, OPCs and oligodendrocytes; synapse/junction programmes were higher in astrocytes but lower in excitatory and inhibitory neurons; axon development was lower in both neuronal classes; and small-GTPase regulation was lower in inhibitory neurons. Sixteen final axes concerned ALS-FTD versus control, with broad reductions in neuronal and oligodendroglial mitochondrial, proteostasis, synaptic or axonal programmes. Fourteen final axes separated ALS from combined ALS-FTD, primarily reflecting relatively higher proteostasis programmes in ALS and lower inhibitory-neuronal synapse/junction activity. These are cohort-specific diagnostic effects rather than a direct C9 ALS-versus-C9 FTD comparison.</w:t>
      </w:r>
    </w:p>
    <w:p w14:paraId="0E3AC6CE">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The stringent third-cohort test altered the strength, but not the level, of the main claim. No ALS-versus-control programme axis retained the same direction while passing the complete global-FDR and robustness gate in GSE219280, Gittings and Ruf. This zero three-cohort result did not indicate absence of signal: the Ruf cohort itself contained 10 robust ALS axes, and astrocytic synapse/junction activity agreed with the discovery direction and passed the Ruf and discovery global FDR gates. Rather, it showed that effect directions were not universally transportable across region, cohort composition and analysis context. Accordingly, the 13 GSE219280-Gittings strict axes remain two-cohort C9 replications, while Ruf provides an external diagnostic portability test and a boundary against universalization.</w:t>
      </w:r>
    </w:p>
    <w:p w14:paraId="2E0A3167">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The waterfall ran 126 axes down to 65 at global family FDR (Extended Data Fig. 14a), held at 65 through donor-LOO (no axis was lost there), 63 after technical-plus-age direction, 55 after surrogate-variable direction, and 40 after surrogate-variable global FDR: 76 of the 86 eliminations fell at significance gates. The complete three-cohort gate could be evaluated for only 21 glial ALS axes - six of the ten final Ruf ALS axes never enter it, since discovery has no neuronal or microglial mechanism matrix. Of the four evaluable axes, three genuinely reversed (two in both C9 cohorts, one in Gittings) and only one was concordant but underpowered. Attainability tells the same story from the other side: just 3 of 21 evaluable axes had better-than-even odds of passing (median 0.012), and the three mitochondrial axes with odds of 0.66-1.00 were exactly the ones that flipped. The three-cohort zero, decomposed, is structural unattainability plus real reversal - each part now quantified.</w:t>
      </w:r>
    </w:p>
    <w:p w14:paraId="1E0F5802">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Fourteen frozen single-gene axes passed transcriptome-wide FDR, donor-LOO, technical, age and 12-surrogate-variable gates in Ruf. All occurred in comparisons involving ALS-FTD and included HSP90AB1, MAP1B and COX7C in inhibitory neurons and oligodendrocytes, COX5B in oligodendrocytes and BCR in the ALS-versus-ALS-FTD oligodendroglial contrast. No frozen gene passed the final gate for ALS versus control. A seven-donor C9 ALS-FTD sensitivity yielded nine globally significant programme axes but no transcriptome-wide candidate-gene hit; it therefore cannot substitute for a C9 ALS-versus-C9 FTD cohort.</w:t>
      </w:r>
    </w:p>
    <w:p w14:paraId="2C1B3721">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The matched ATAC layer did not close the regulatory chain. One excitatory-neuron STARD13 promoter peak in ALS-FTD versus control passed the primary whole-peak FDR (log2 fold change = 0.5596; FDR = 0.0472), but its technical-adjusted whole-peak FDR was 0.0520. Across frozen promoter peaks and donor-level RNA-ATAC residual associations, no candidate simultaneously passed the RNA diagnostic gate, technical-adjusted peak-wide accessibility gate and peak-gene-association gate. Ruf therefore supplies external same-nucleus diagnostic testing, but not evidence for a complete chromatin-to-expression mechanism.</w:t>
      </w:r>
    </w:p>
    <w:p w14:paraId="168B1F65">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A t-distribution sensitivity reconstruction of the key GSE212630 intervals left every conclusion intact: astrocytic protein stabilization beta = -0.840 (95% CI -1.235 to -0.446, roughly 9 df) and microglial BAG3 beta = -0.985 (95% CI -1.407 to -0.564, roughly 21 df); all 42 pTDP trends with FDR &lt; 0.05 kept intervals clear of zero.</w:t>
      </w:r>
    </w:p>
    <w:p w14:paraId="4530CCAF">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A finite candidate set relates replicated programmes to external TDP-43 splicing evidence</w:t>
      </w:r>
    </w:p>
    <w:p w14:paraId="6D80FA35">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We organized the 17 discovery-derived leading-edge candidates, frozen before external testing, into a finite evidence matrix rather than deriving a decorative causal network (Fig. 4). COX5B, COX7C and PARK7 represented the mitochondrial programme; ARHGAP35, ARHGAP39, DOCK7 and STARD13 represented small-GTPase regulation; and MAP1B, MAPT and BCR represented synaptic/axonal structure. BAG3, HSP90AA1 and HSP90AB1 repeatedly contributed to protein-folding, protein-stabilization and heat-response programmes. The matrix records the exact evidence layer supporting each gene and distinguishes programme membership, transcript-level association, pathology trend and peak-gene correlation.</w:t>
      </w:r>
    </w:p>
    <w:p w14:paraId="4178201A">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TDP-43 biology was anchored using external published event-level evidence. The available GSE219280 gene-count matrix did not support junction-, isoform- or percent-spliced-in analysis. Accordingly, STMN2 and KALRN cryptic-exon observations from the published Gittings C9 study were cited as external event-level support rather than re-detected events in the discovery cohort</w:t>
      </w:r>
      <w:r>
        <w:rPr>
          <w:rFonts w:ascii="Times New Roman" w:hAnsi="Times New Roman" w:eastAsia="Times New Roman"/>
          <w:color w:val="auto"/>
        </w:rPr>
        <w:t xml:space="preserve"> </w:t>
      </w:r>
      <w:r>
        <w:rPr>
          <w:rFonts w:ascii="Times New Roman" w:hAnsi="Times New Roman" w:eastAsia="Times New Roman"/>
          <w:color w:val="auto"/>
        </w:rPr>
        <w:fldChar w:fldCharType="begin"/>
      </w:r>
      <w:r>
        <w:rPr>
          <w:color w:val="auto"/>
        </w:rPr>
        <w:instrText xml:space="preserve"> REF _Ref11613 \r \h  \* MERGEFORMAT</w:instrText>
      </w:r>
      <w:r>
        <w:rPr>
          <w:rFonts w:ascii="Times New Roman" w:hAnsi="Times New Roman" w:eastAsia="Times New Roman"/>
          <w:color w:val="auto"/>
        </w:rPr>
        <w:fldChar w:fldCharType="separate"/>
      </w:r>
      <w:r>
        <w:rPr>
          <w:rFonts w:ascii="Times New Roman" w:hAnsi="Times New Roman" w:eastAsia="Times New Roman"/>
          <w:color w:val="auto"/>
          <w:sz w:val="24"/>
        </w:rPr>
        <w:t>[6]</w:t>
      </w:r>
      <w:r>
        <w:rPr>
          <w:rFonts w:ascii="Times New Roman" w:hAnsi="Times New Roman" w:eastAsia="Times New Roman"/>
          <w:color w:val="auto"/>
        </w:rPr>
        <w:fldChar w:fldCharType="end"/>
      </w:r>
      <w:r>
        <w:rPr>
          <w:rFonts w:ascii="Times New Roman" w:hAnsi="Times New Roman" w:eastAsia="Times New Roman"/>
          <w:color w:val="auto"/>
          <w:sz w:val="24"/>
        </w:rPr>
        <w:t>. UNC13A was retained as an experimentally established TDP-43 cryptic-splicing target [15,16], but was neither detected in the Gittings single-nucleus event analysis nor tested in the primary gene-count input. Gene-expression changes were not interpreted as proof of mis-splicing.</w:t>
      </w:r>
    </w:p>
    <w:p w14:paraId="3AF94C29">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pTDP-graded paired multiome data associate glial proteostasis loss with oligodendroglial accessibility differences</w:t>
      </w:r>
    </w:p>
    <w:p w14:paraId="288814B8">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To place the diagnostic programmes in a pathology-burden context, we analysed GSE212630 under an ordinal pTDP estimand using paired RNA and ATAC measurements from the same nuclei (Fig. 5). In 14 annotated Emory donors, astrocytic protein stabilization decreased with each higher pTDP level (beta = -0.8402, normal-approximation 95% CI -1.1820 to -0.4984; global FDR = 0.0399). This effect remained similar after adjustment for the astrocyte composition coordinate (beta = -0.8426; global FDR = 0.0405), indicating that the association was not explained by the measured captured-cell proportion in this dataset.</w:t>
      </w:r>
    </w:p>
    <w:p w14:paraId="1401576B">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Within the 17-gene candidate set, eight cell-type-specific RNA trends passed candidate-set correction and retained their direction in all 14 donor-LOO iterations. For this multiome candidate audit, LOO direction stability was recomputed by design-matched ordinary least squares on the normalized filtered matrices; edgeR dispersion and quasi-likelihood components were not refitted. These included HSP90AB1, HSP90AA1 and COX5B in astrocytes; BAG3, HSP90AA1, MAP1B and STARD13 in microglia; and COX5B in OPCs. Microglial BAG3 decreased by 0.9854 log2 units per pTDP category (candidate-set global FDR = 0.0048) and was the only highlighted target also passing transcriptome-wide FDR (0.0443). These data prioritize a BAG3-HSP90-related glial proteostasis programme while remaining associative.</w:t>
      </w:r>
    </w:p>
    <w:p w14:paraId="7D2B1A17">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Genome-wide ATAC analysis identified 409 pTDP-associated differentially accessible regions (DARs), of which 406 occurred in oligodendrocytes and 3 in microglia. Same-nucleus analyses identified seven significant adjusted peak-gene correlations involving DOCK7, COX5B, COX7C, MAP1B and ARHGAP39 (Spearman rho range, -0.8550 to 0.8901; correlation FDR range, 0.0099 to 0.0347). However, candidate-proximal peaks did not pass the strict disease-trend correction, and no candidate met the complete prespecified gate requiring an RNA pTDP trend, an accessibility pTDP trend and a peak-gene link. We therefore describe these findings as predominantly oligodendroglial accessibility differences and candidate peak-gene association context, not enhancer-to-gene regulation or an ATAC-to-RNA causal cascade. Motif/chromVAR results were not interpreted because no prespecified, technically adjusted donor-level model passed the required quality and donor leave-one-out stability checks.</w:t>
      </w:r>
    </w:p>
    <w:p w14:paraId="5F7F25D9">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Two independent TDP-43 knockdown datasets provide perturbation-level evidence for context dependence (Extended Data Fig. 14)</w:t>
      </w:r>
    </w:p>
    <w:p w14:paraId="1A4CF72B">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TARDBP fell sharply in both lines (log2FC -1.79 in GSE296710 and -2.89 in GSE296714, FDR &lt; 1e-8), and the two knockdown signatures tracked each other closely (genome-wide Spearman rho = 0.335; of 1,074 genes changing by more than |log2FC| 0.5, 859 moved the same way, P = 1.3e-91). Set against the GSE212630 pTDP trends for the 17 candidates, the knockdown effects split cleanly by lineage: negative in all three glial populations of both lines (6/6, exact binomial P = 0.031; astrocytes -0.510 and -0.240, oligodendrocytes -0.625 and -0.449, OPC -0.699 and -0.510) yet positive in excitatory neurons (+0.350 and +0.123). TDP-43 loss itself quieted the inducible chaperone arm - HSPH1, DNAJB1, CHORDC1 and BAG3 all fell in both datasets, with DNAJB1 at -1.58, HSPH1 at -1.19 and CHORDC1 at -0.93 in the Humphrey line (FDR &lt; 0.005) - while mitochondrial-energy members rose almost unanimously (21/22, P = 1.1e-05). Loss of TDP-43, in short, moves the same molecules the glial programmes contain, but in the opposite direction to the glial disease trend, which argues against these glial states being the simple cell-autonomous echo of neuronal TDP-43 depletion.</w:t>
      </w:r>
    </w:p>
    <w:p w14:paraId="38C7629A">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Programme gene sets are not enriched for ALS germline risk; MAPT passes correction (Extended Data Fig. 14)</w:t>
      </w:r>
    </w:p>
    <w:p w14:paraId="685E33CB">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sz w:val="24"/>
        </w:rPr>
        <w:t>The pipeline behaved as it should, placing C9orf72 third genome-wide (Z = 6.96, P = 1.7e-12), UNC13A seventh (P = 6.4e-09) and TBK1 ninth (P = 3.7e-08) among 18,901 genes. Against that backdrop the gene-set result is unambiguous: not one of the nine sets cleared P = 0.05 (mitochondrial energy at 0.17 and axon development at 0.20 came closest), so the replicated programmes are not a functional outlet of ALS germline risk. At the single-gene level, MAPT alone survived Bonferroni correction among the 17 candidates (Z = 3.30, P = 4.8e-04 against a 0.0029 threshold), COA3 (P = 0.029) and COX5B (P = 0.047) showed nominal association, and BAG3 sat at the margin (P = 0.094). UNC13A, for its part, now carries three independent layers - genome-wide association in the top ten, classic TDP-43-dependent cryptic-splicing biology, and event-level detection in an external C9 cohort [6,15,16].</w:t>
      </w:r>
    </w:p>
    <w:p w14:paraId="280E7912">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Composition and sensitivity analyses bound cell-state interpretations</w:t>
      </w:r>
    </w:p>
    <w:p w14:paraId="7FB5769F">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We finally tested whether captured cell-type proportions could account for the principal programme associations (Fig. 2d). Donor-level centred-log-ratio (CLR) models were applied to GSE219280, the Gittings ALS and FTD sampling frames, and the 14 annotated Emory donors in GSE212630, while bulk GSE153960 was evaluated by reference-based NNLS deconvolution and composition-adjusted sensitivity modelling. These estimates represent captured nuclei or reference-derived proportions and not absolute tissue abundance.</w:t>
      </w:r>
    </w:p>
    <w:p w14:paraId="002B05D5">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In GSE219280, significant composition differences included increased endothelial and OPC coordinates and reduced intermediate excitatory-neuron coordinates in FTD-related contrasts after global correction; the full set of effects and donor-LOO results is reported in Source Data. No GSE212630 cell-type composition trend passed FDR correction for ordinal pTDP burden. In GSE153960, primary and composition-adjusted gene effects remained highly correlated across ALS contrasts (Pearson r = 0.93-0.96), although the number of genes meeting the most stringent effect-size-aware criterion decreased after adjustment. These findings indicate that major expression directions were not simply erased by composition adjustment, but they also delimit any claim that pseudobulk changes represent pure within-cell-state biology.</w:t>
      </w:r>
    </w:p>
    <w:p w14:paraId="4C7DA917">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Frozen result boundaries</w:t>
      </w:r>
    </w:p>
    <w:p w14:paraId="3380E884">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The 17-gene audit is not evidence of universal gene-level replication. The fourteen Ruf gene axes are cohort-specific external replications involving ALS-FTD contrasts, not three-cohort biomarkers. Zero programme axes passed the complete three-diagnostic-cohort ALS gate. The seven GSE212630 peak-gene correlations and Ruf residual associations are associations and not causal links. Neither multiome cohort produced a complete RNA-ATAC chain. LOO is an internal robustness test and not an additional validation cohort.</w:t>
      </w:r>
    </w:p>
    <w:p w14:paraId="3E85BBB6">
      <w:pPr>
        <w:pStyle w:val="4"/>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Discussion</w:t>
      </w:r>
    </w:p>
    <w:p w14:paraId="0210DD92">
      <w:pPr>
        <w:pStyle w:val="2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This integrative analysis supports a model in which molecular differences across the C9orf72-TDP-43 ALS-FTD spectrum are organized by cellular and regional context rather than by a single, uniformly directed disease signature. The strongest evidence came from programme-level replication across donor-aware single-nucleus transcriptomic cohorts. Mitochondrial and proteostasis programmes, together with small-GTPase, synaptic and axonal programmes, repeatedly separated diagnostic states, but their directions varied across cell types and sampling contexts. This combination of replication and bounded heterogeneity is biologically more informative than a simple intersection of differentially expressed genes: it identifies molecular systems that recur while preserving the cellular settings in which their effects differ.</w:t>
      </w:r>
    </w:p>
    <w:p w14:paraId="233BAEFA">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The external C9 transcriptomic cohort, for which no public-identifier overlap was detected but complete donor independence could not be proved, strengthened this interpretation in two ways. First, exact matching of disease contrast, cell type and the frozen mechanism families produced a finite set of strict replicated axes that were stable to donor exclusion. Second, several axes were statistically strong and LOO-stable in both cohorts yet pointed in opposite directions. These discordant results should not be treated as failed replication or averaged away. They may reflect brain-region sampling, disease-stage composition, tissue preservation, case selection or other cohort-specific factors. Because the available datasets cannot fully distinguish these explanations, our conclusion is deliberately restricted to context-dependent programme architecture rather than a universal direction for each pathway.</w:t>
      </w:r>
    </w:p>
    <w:p w14:paraId="2D2DCF79">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The binomial test sharpens what replication means here and is consistent with the family-stratified pattern in Fig. 3a,b. Overall concordance of 61.9% is statistically indistinguishable from a coin flip (P = 0.077), yet the axon-small-GTPase-synapse layer agrees well beyond chance (77.8%, P = 0.006) - and it is precisely these three families that contribute three strict-replication axes apiece, while mitochondrial energy reverses across cohorts in a pattern its Ruf glial axes repeat. Portability, on this evidence, belongs to programme families rather than to the transcriptome at large.</w:t>
      </w:r>
    </w:p>
    <w:p w14:paraId="523D0B76">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The larger Ruf same-nucleus cohort provided a more stringent test because the family and gene registry was frozen before its outcomes were examined. Forty axes remained significant after multiple testing and survived donor omission, technical, age and 12-surrogate-variable sensitivity gates, confirming that the programmes capture reproducible diagnostic structure within an external motor-cortex dataset. Yet no ALS-versus-control axis passed the complete same-direction gate across GSE219280, Gittings and Ruf. We regard this as a substantive transportability result, not a reason to select a more favourable subset. The cohorts differ in cortical region, genetic composition, phenotype composition, tissue processing and sampling frame, and a programme can therefore be internally robust without having a universal direction across every setting. This sharpens the conclusion from “replicated pathways” to “recurrent biological systems whose direction is conditional on cell and cohort context.”</w:t>
      </w:r>
    </w:p>
    <w:p w14:paraId="7C5DFD55">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The glial proteostasis findings add a pathology-burden dimension to the diagnostic comparisons. In the paired multiome cohort, higher pTDP burden was associated with lower astrocytic protein-stabilization expression, including convergent candidate-level changes in BAG3 and HSP90-family genes across astrocytes and microglia. Composition adjustment left the astrocytic programme coefficient largely unchanged, making simple shifts in captured astrocyte proportion an unlikely explanation within this cohort. These associations prioritize a BAG3-HSP90-related glial state for functional investigation, but they do not demonstrate that this pathway causes TDP-43 accumulation or determines ALS versus FTD phenotype.</w:t>
      </w:r>
    </w:p>
    <w:p w14:paraId="105D9C05">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The knockdown data give this context dependence a direction. Losing TDP-43 in neurons is enough to suppress the inducible chaperone arm, which ties the glial proteostasis signal to TDP-43 biology; but the uniformly negative glial correlations (6/6) show that glial programmes are not the same-direction, cell-autonomous product of neuronal depletion - non-cell-autonomous signalling, compensation or reactive gliosis all fit better. Either way, the direction itself is perturbation-level evidence for the cell-context model, and it points functional validation towards proteostasis control within glia rather than towards rescuing TDP-43 in neurons.</w:t>
      </w:r>
    </w:p>
    <w:p w14:paraId="5DE114D8">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Chromatin accessibility provided an additional but incomplete layer of evidence. In GSE212630, pTDP-associated DARs were concentrated in oligodendrocytes, and several same-nucleus peak-gene correlations involved genes from the predefined mitochondrial, small-GTPase and axonal programmes. In Ruf, one STARD13 promoter peak passed the primary whole-peak correction but narrowly missed the technical-adjusted threshold. Neither cohort met the full joint gate combining RNA change, peak change and peak-gene association. Furthermore, motif-level interpretation failed the technical quality gate in the pathology-graded cohort. The appropriate conclusion is therefore that multiome data provide bounded chromatin context; they do not establish an enhancer-to-gene cascade or transcription-factor mechanism.</w:t>
      </w:r>
    </w:p>
    <w:p w14:paraId="3BC7E43C">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Genetic anchoring draws one more boundary. With no prespecified gene set enriched for germline risk, the programmes are best read as output of the disease process rather than as the cellular gateway of risk variants - a reading that fits their observational evidence tier and that should temper any claim that they are the cellular correlate of genetic susceptibility. At the gene level, MAPT clearing Bonferroni gives the synaptic/axonal candidate layer limited but genuine genetic footing, while the UNC13A top-ten association adds a third, independent layer to a gene already anchored by TDP-43-dependent splicing biology and external event-level detection - convergence of external evidence, not local replication.</w:t>
      </w:r>
    </w:p>
    <w:p w14:paraId="5FB3F155">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The study also clarifies how TDP-43 splicing evidence can be integrated without overclaiming assay capability. Gene-count matrices from the discovery cohort cannot directly test cryptic-exon junctions or isoforms. We therefore used published event-level STMN2 and KALRN observations as external disease-specific anchors and treated UNC13A as established literature evidence. This links the programme architecture to known TDP-43 biology while preserving the distinction between expression, splicing and chromatin accessibility. A future matched dataset that measures diagnosis, pathology grade, full-length or junction-resolved RNA and chromatin accessibility in the same donors would allow these layers to be tested directly.</w:t>
      </w:r>
    </w:p>
    <w:p w14:paraId="1192AE37">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Several limitations define the scope of the work. All data were generated by previous studies, and reanalysis cannot eliminate differences in dissection, case ascertainment, nuclei recovery, sequencing chemistry or annotation. The discovery cohort contained 17 donors, with limited power for some FTD neuronal contrasts. Public donor identifiers allowed us to detect no overlap for the Gittings cohort, but de-identification prevented proof of complete donor independence across all studies. The Gittings ALS-versus-FTD estimate was a partition-bridged difference-in-differences anchored to controls within each source partition and should not be interpreted as an unconfounded direct case comparison. In Ruf, the ALS-FTD group combined 10 sporadic and 7 C9-associated donors; there was no C9 ALS arm for a genetic-matched phenotype comparison, and exact public clinical-table age matching was available for 70 of 79 donors. Captured nuclei proportions and reference-derived bulk deconvolution are not equivalent to histological cell abundance. Finally, both multiome analyses were associative, and no wet-laboratory perturbation was available. Sample sizes were determined by public-data availability and eligibility rather than prospective power calculations; randomization and blinding of original biospecimen collection were outside this secondary analysis, and analysts were not masked to the labels needed for the planned contrasts.</w:t>
      </w:r>
    </w:p>
    <w:p w14:paraId="351B22AD">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These limitations also define specific next experiments. Priority tests include perturbing BAG3-HSP90 proteostasis in human astrocyte or microglial models under TDP-43 loss-of-function or aggregation stress; validating oligodendroglial DARs with targeted chromatin assays; and measuring STMN2, KALRN and UNC13A junctions together with programme expression in region-matched ALS and FTD tissue. Until such data are available, the present study provides a reproducible, donor-aware map of candidate molecular programmes and their evidence boundaries rather than a causal mechanism or clinical biomarker panel.</w:t>
      </w:r>
    </w:p>
    <w:p w14:paraId="1F4BBA05">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Relation to the source studies and study-specific advance</w:t>
      </w:r>
    </w:p>
    <w:p w14:paraId="6214A620">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The source GSE219279/280 study described divergent C9-ALS and C9-FTD transcriptomic and epigenomic changes across cell types and cortical regions</w:t>
      </w:r>
      <w:r>
        <w:rPr>
          <w:rFonts w:ascii="Times New Roman" w:hAnsi="Times New Roman" w:eastAsia="Times New Roman"/>
          <w:color w:val="auto"/>
        </w:rPr>
        <w:t xml:space="preserve"> </w:t>
      </w:r>
      <w:r>
        <w:rPr>
          <w:rFonts w:ascii="Times New Roman" w:hAnsi="Times New Roman" w:eastAsia="Times New Roman"/>
          <w:color w:val="auto"/>
        </w:rPr>
        <w:fldChar w:fldCharType="begin"/>
      </w:r>
      <w:r>
        <w:rPr>
          <w:color w:val="auto"/>
        </w:rPr>
        <w:instrText xml:space="preserve"> REF _Ref11606 \r \h  \* MERGEFORMAT</w:instrText>
      </w:r>
      <w:r>
        <w:rPr>
          <w:rFonts w:ascii="Times New Roman" w:hAnsi="Times New Roman" w:eastAsia="Times New Roman"/>
          <w:color w:val="auto"/>
        </w:rPr>
        <w:fldChar w:fldCharType="separate"/>
      </w:r>
      <w:r>
        <w:rPr>
          <w:rFonts w:ascii="Times New Roman" w:hAnsi="Times New Roman" w:eastAsia="Times New Roman"/>
          <w:color w:val="auto"/>
          <w:sz w:val="24"/>
        </w:rPr>
        <w:t>[5]</w:t>
      </w:r>
      <w:r>
        <w:rPr>
          <w:rFonts w:ascii="Times New Roman" w:hAnsi="Times New Roman" w:eastAsia="Times New Roman"/>
          <w:color w:val="auto"/>
        </w:rPr>
        <w:fldChar w:fldCharType="end"/>
      </w:r>
      <w:r>
        <w:rPr>
          <w:rFonts w:ascii="Times New Roman" w:hAnsi="Times New Roman" w:eastAsia="Times New Roman"/>
          <w:color w:val="auto"/>
        </w:rPr>
        <w:t xml:space="preserve">, the Gittings study reported transcriptomic changes and cryptic-exon events across C9-linked ALS-FTD </w:t>
      </w:r>
      <w:r>
        <w:rPr>
          <w:rFonts w:ascii="Times New Roman" w:hAnsi="Times New Roman" w:eastAsia="Times New Roman"/>
          <w:color w:val="auto"/>
        </w:rPr>
        <w:fldChar w:fldCharType="begin"/>
      </w:r>
      <w:r>
        <w:rPr>
          <w:color w:val="auto"/>
        </w:rPr>
        <w:instrText xml:space="preserve"> REF _Ref11613 \r \h  \* MERGEFORMAT</w:instrText>
      </w:r>
      <w:r>
        <w:rPr>
          <w:rFonts w:ascii="Times New Roman" w:hAnsi="Times New Roman" w:eastAsia="Times New Roman"/>
          <w:color w:val="auto"/>
        </w:rPr>
        <w:fldChar w:fldCharType="separate"/>
      </w:r>
      <w:r>
        <w:rPr>
          <w:rFonts w:ascii="Times New Roman" w:hAnsi="Times New Roman" w:eastAsia="Times New Roman"/>
          <w:color w:val="auto"/>
          <w:sz w:val="24"/>
        </w:rPr>
        <w:t>[6]</w:t>
      </w:r>
      <w:r>
        <w:rPr>
          <w:rFonts w:ascii="Times New Roman" w:hAnsi="Times New Roman" w:eastAsia="Times New Roman"/>
          <w:color w:val="auto"/>
        </w:rPr>
        <w:fldChar w:fldCharType="end"/>
      </w:r>
      <w:r>
        <w:rPr>
          <w:rFonts w:ascii="Times New Roman" w:hAnsi="Times New Roman" w:eastAsia="Times New Roman"/>
          <w:color w:val="auto"/>
        </w:rPr>
        <w:t xml:space="preserve">, GSE212630 related cortical pTDP-43 grade to cell-type-specific multiome changes </w:t>
      </w:r>
      <w:r>
        <w:rPr>
          <w:rFonts w:ascii="Times New Roman" w:hAnsi="Times New Roman" w:eastAsia="Times New Roman"/>
          <w:color w:val="auto"/>
        </w:rPr>
        <w:fldChar w:fldCharType="begin"/>
      </w:r>
      <w:r>
        <w:rPr>
          <w:color w:val="auto"/>
        </w:rPr>
        <w:instrText xml:space="preserve"> REF _Ref11619 \r \h  \* MERGEFORMAT</w:instrText>
      </w:r>
      <w:r>
        <w:rPr>
          <w:rFonts w:ascii="Times New Roman" w:hAnsi="Times New Roman" w:eastAsia="Times New Roman"/>
          <w:color w:val="auto"/>
        </w:rPr>
        <w:fldChar w:fldCharType="separate"/>
      </w:r>
      <w:r>
        <w:rPr>
          <w:rFonts w:ascii="Times New Roman" w:hAnsi="Times New Roman" w:eastAsia="Times New Roman"/>
          <w:color w:val="auto"/>
          <w:sz w:val="24"/>
        </w:rPr>
        <w:t>[7]</w:t>
      </w:r>
      <w:r>
        <w:rPr>
          <w:rFonts w:ascii="Times New Roman" w:hAnsi="Times New Roman" w:eastAsia="Times New Roman"/>
          <w:color w:val="auto"/>
        </w:rPr>
        <w:fldChar w:fldCharType="end"/>
      </w:r>
      <w:r>
        <w:rPr>
          <w:rFonts w:ascii="Times New Roman" w:hAnsi="Times New Roman" w:eastAsia="Times New Roman"/>
          <w:color w:val="auto"/>
        </w:rPr>
        <w:t xml:space="preserve">, and Ruf 2026 mapped diagnostic TDP-43 pathology in motor-cortex same-nucleus multiome data </w:t>
      </w:r>
      <w:r>
        <w:rPr>
          <w:rFonts w:ascii="Times New Roman" w:hAnsi="Times New Roman" w:eastAsia="Times New Roman"/>
          <w:color w:val="auto"/>
        </w:rPr>
        <w:fldChar w:fldCharType="begin"/>
      </w:r>
      <w:r>
        <w:rPr>
          <w:color w:val="auto"/>
        </w:rPr>
        <w:instrText xml:space="preserve"> REF _Ref15822 \r \h  \* MERGEFORMAT</w:instrText>
      </w:r>
      <w:r>
        <w:rPr>
          <w:rFonts w:ascii="Times New Roman" w:hAnsi="Times New Roman" w:eastAsia="Times New Roman"/>
          <w:color w:val="auto"/>
        </w:rPr>
        <w:fldChar w:fldCharType="separate"/>
      </w:r>
      <w:r>
        <w:rPr>
          <w:rFonts w:ascii="Times New Roman" w:hAnsi="Times New Roman" w:eastAsia="Times New Roman"/>
          <w:color w:val="auto"/>
          <w:sz w:val="24"/>
        </w:rPr>
        <w:t>[10]</w:t>
      </w:r>
      <w:r>
        <w:rPr>
          <w:rFonts w:ascii="Times New Roman" w:hAnsi="Times New Roman" w:eastAsia="Times New Roman"/>
          <w:color w:val="auto"/>
        </w:rPr>
        <w:fldChar w:fldCharType="end"/>
      </w:r>
      <w:r>
        <w:rPr>
          <w:rFonts w:ascii="Times New Roman" w:hAnsi="Times New Roman" w:eastAsia="Times New Roman"/>
          <w:color w:val="auto"/>
        </w:rPr>
        <w:t>. The present advance is therefore not the first observation of C9-associated cell states, cryptic splicing or multiome differences. It is the donor-aware, exact-estimand testing of a programme registry that was frozen before the 79-donor external diagnostic analysis; explicit separation of two-cohort replication, third-cohort transportability and cohort-specific gene support; and transparent reporting that neither multiome cohort produced a complete RNA-change, accessibility-change and peak-gene-association chain. These features support a rigorous cross-cohort synthesis and a bounded set of testable hypotheses, not a newly proven molecular mechanism.</w:t>
      </w:r>
    </w:p>
    <w:p w14:paraId="7B200F43">
      <w:pPr>
        <w:pStyle w:val="4"/>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Conclusions</w:t>
      </w:r>
    </w:p>
    <w:p w14:paraId="280F65A4">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In summary, the results argue against collapsing the ALS-FTD spectrum into one shared molecular signature. Two-cohort C9 programme replication, frozen testing in a larger diagnostic same-nucleus cohort, pathology-graded paired multiome analysis and explicit sensitivity testing instead support a cell-context model that links neuronal mitochondrial/synaptic systems and glial proteostasis/chromatin states (Fig. 6). The absence of a universal three-cohort ALS axis, once decomposed, becomes part of that conclusion: the gate is structurally out of reach for most evaluable axes (median attainable probability 1.2%), the mitochondrial axes best placed to clear it are direction-flipped, concordance sorts by family (77.8% pooled, P = 0.006), and both perturbation and genetic anchoring place the programmes downstream of disease process. This framework yields experimentally testable hypotheses while retaining the distinction between cohort-level robustness, cross-cohort portability, external mechanistic anchors and incomplete regulatory evidence.</w:t>
      </w:r>
    </w:p>
    <w:p w14:paraId="438A5B94">
      <w:pPr>
        <w:pStyle w:val="4"/>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Methods</w:t>
      </w:r>
    </w:p>
    <w:p w14:paraId="6088E5A6">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Study design and evidence hierarchy</w:t>
      </w:r>
    </w:p>
    <w:p w14:paraId="3097155A">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This study reanalysed public post-mortem human brain transcriptomic and epigenomic datasets to test whether molecular differences across the C9orf72-TDP-43 ALS-FTD spectrum were organized as cell- and region-dependent programmes. The analysis was designed around the biological donor as the unit of inference. Individual nuclei were aggregated within donor, brain region and annotated cell type where appropriate; repeated regions from the same donor were handled by donor blocking or repeated-measure correlation. Evidence was classified as discovery, external transcriptomic replication, cross-genetic support, same-donor cross-modal context, pathology-burden paired multiome support or external published event-level splicing evidence. Public identifiers were used to audit detectable donor overlap, but de-identification prevented proof of complete donor independence.</w:t>
      </w:r>
    </w:p>
    <w:p w14:paraId="6174C50C">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Public datasets</w:t>
      </w:r>
    </w:p>
    <w:p w14:paraId="014C3440">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GSE219280 and GSE219279</w:t>
      </w:r>
    </w:p>
    <w:p w14:paraId="4DF6C65F">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 xml:space="preserve">GSE219280 single-nucleus RNA-sequencing data from 17 donors across BA4 motor cortex and BA9/frontal cortex were used for discovery </w:t>
      </w:r>
      <w:r>
        <w:rPr>
          <w:rFonts w:ascii="Times New Roman" w:hAnsi="Times New Roman" w:eastAsia="Times New Roman"/>
          <w:color w:val="auto"/>
        </w:rPr>
        <w:fldChar w:fldCharType="begin"/>
      </w:r>
      <w:r>
        <w:rPr>
          <w:color w:val="auto"/>
        </w:rPr>
        <w:instrText xml:space="preserve"> REF _Ref11606 \r \h  \* MERGEFORMAT</w:instrText>
      </w:r>
      <w:r>
        <w:rPr>
          <w:rFonts w:ascii="Times New Roman" w:hAnsi="Times New Roman" w:eastAsia="Times New Roman"/>
          <w:color w:val="auto"/>
        </w:rPr>
        <w:fldChar w:fldCharType="separate"/>
      </w:r>
      <w:r>
        <w:rPr>
          <w:rFonts w:ascii="Times New Roman" w:hAnsi="Times New Roman" w:eastAsia="Times New Roman"/>
          <w:color w:val="auto"/>
          <w:sz w:val="24"/>
        </w:rPr>
        <w:t>[5]</w:t>
      </w:r>
      <w:r>
        <w:rPr>
          <w:rFonts w:ascii="Times New Roman" w:hAnsi="Times New Roman" w:eastAsia="Times New Roman"/>
          <w:color w:val="auto"/>
        </w:rPr>
        <w:fldChar w:fldCharType="end"/>
      </w:r>
      <w:r>
        <w:rPr>
          <w:rFonts w:ascii="Times New Roman" w:hAnsi="Times New Roman" w:eastAsia="Times New Roman"/>
          <w:color w:val="auto"/>
        </w:rPr>
        <w:t>. GSE219279 single-nucleus ATAC-sequencing data were generated in the same study from the same 17-donor panel and were treated as matched same-donor cross-modal support, not independent validation. The primary all-disease programme matrix was restricted to astrocytes, OPCs and oligodendrocytes, for which all three diagnostic contrasts were eligible at the prespecified threshold.</w:t>
      </w:r>
    </w:p>
    <w:p w14:paraId="303CB641">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Gittings 2023 C9orf72-spectrum cohort</w:t>
      </w:r>
    </w:p>
    <w:p w14:paraId="6871CEF3">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sz w:val="24"/>
        </w:rPr>
        <w:t>The principal replication dataset comprised 37 public donor identifiers across four CELLxGENE assets and frontal/occipital cortex [6]. Public donor identifiers indicated no overlap with the other study namespaces, although complete identity resolution across de-identified studies was not possible. Repeated cortical regions were donor blocked. ALS and FTD cases originated in distinct sampling assets; ALS-versus-FTD results were therefore calculated as a partition-bridged difference-in-differences. In region r, the symbolic contrast was [(C9-ALS_r - Control_ALS-partition,r) - (C9-FTD_r - Control_FTD-partition,r)], with coefficient weights +1, -1, -1, +1, respectively. The controls within the ALS/ALS-FTD asset and the FTD asset were the corresponding partition-specific anchors. This estimand was supportive and could retain sampling-partition confounding; it was not treated as an unconfounded direct case-case effect.</w:t>
      </w:r>
    </w:p>
    <w:p w14:paraId="485C30AD">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GSE212630 paired multiome cohort</w:t>
      </w:r>
    </w:p>
    <w:p w14:paraId="7EBC56DD">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sz w:val="24"/>
        </w:rPr>
        <w:t>GSE212630 comprised 26 biological donors represented by 52 RNA and ATAC assay records generated from paired 10x Multiome nuclei in BA9 [7]. Analyses used 118,261 shared-barcode cells and a common set of 300,559 peaks. Primary cell-type-resolved pTDP analyses used the 14 annotated Emory donors, which were institutionally separate from the Mayo discovery study. RNA and ATAC measurements from the same nuclei were not treated as independent observations.</w:t>
      </w:r>
    </w:p>
    <w:p w14:paraId="76FC98D3">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Ruf 2026 diagnostic same-nucleus cohort</w:t>
      </w:r>
    </w:p>
    <w:p w14:paraId="14F7EACD">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 xml:space="preserve">The external diagnostic same-nucleus RNA-ATAC cohort reported by Ruf and colleagues comprised 79 post-mortem primary motor-cortex donors and 180,016 nuclei </w:t>
      </w:r>
      <w:r>
        <w:rPr>
          <w:rFonts w:ascii="Times New Roman" w:hAnsi="Times New Roman" w:eastAsia="Times New Roman"/>
          <w:color w:val="auto"/>
        </w:rPr>
        <w:fldChar w:fldCharType="begin"/>
      </w:r>
      <w:r>
        <w:rPr>
          <w:color w:val="auto"/>
        </w:rPr>
        <w:instrText xml:space="preserve"> REF _Ref15822 \r \h  \* MERGEFORMAT</w:instrText>
      </w:r>
      <w:r>
        <w:rPr>
          <w:rFonts w:ascii="Times New Roman" w:hAnsi="Times New Roman" w:eastAsia="Times New Roman"/>
          <w:color w:val="auto"/>
        </w:rPr>
        <w:fldChar w:fldCharType="separate"/>
      </w:r>
      <w:r>
        <w:rPr>
          <w:rFonts w:ascii="Times New Roman" w:hAnsi="Times New Roman" w:eastAsia="Times New Roman"/>
          <w:color w:val="auto"/>
          <w:sz w:val="24"/>
        </w:rPr>
        <w:t>[10]</w:t>
      </w:r>
      <w:r>
        <w:rPr>
          <w:rFonts w:ascii="Times New Roman" w:hAnsi="Times New Roman" w:eastAsia="Times New Roman"/>
          <w:color w:val="auto"/>
        </w:rPr>
        <w:fldChar w:fldCharType="end"/>
      </w:r>
      <w:r>
        <w:rPr>
          <w:rFonts w:ascii="Times New Roman" w:hAnsi="Times New Roman" w:eastAsia="Times New Roman"/>
          <w:color w:val="auto"/>
        </w:rPr>
        <w:t>. Diagnostic groups were ALS (n = 30), sporadic ALS-FTD (n = 10), C9-associated ALS-FTD (n = 7) and control (n = 32). Published WNN_L2 annotations were harmonized to astrocytes, excitatory neurons, inhibitory neurons, microglia, OPCs and oligodendrocytes. The primary diagnostic analyses combined the 17 ALS-FTD donors; the seven C9 ALS-FTD donors were analysed only in a labelled sensitivity comparison against controls. Because the cohort did not contain a corresponding C9 ALS group, it could not estimate a C9 ALS-versus-C9 FTD contrast. Seventy of 79 analysis identifiers had exact matches to the public clinical supplement used for age sensitivity; the remaining nine were not assigned inferred ages.</w:t>
      </w:r>
    </w:p>
    <w:p w14:paraId="60BEE436">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Supporting datasets</w:t>
      </w:r>
    </w:p>
    <w:p w14:paraId="153C7C79">
      <w:pPr>
        <w:pStyle w:val="3"/>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sz w:val="24"/>
        </w:rPr>
        <w:t>Bulk GSE153960 was used for tissue-level expression and composition sensitivity [11]. GSE163122 provided cross-genetic GRN-FTD support in 9 donors and was not treated as direct C9 replication [12]. Published event-level splicing observations for STMN2 and KALRN [6,11,13,14] and established literature evidence for UNC13A [15,16] were used only to anchor TDP-43 biology. Accession identifiers and permanent article identifiers are listed in the cohort manifest; file-level retrieval dates and checksums will accompany the public code archive https://github.com/liolio202070/als-ftd-cell-context-programmes.</w:t>
      </w:r>
    </w:p>
    <w:p w14:paraId="3144D88E">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Cell annotations and quality control</w:t>
      </w:r>
    </w:p>
    <w:p w14:paraId="34501AC5">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Published cell-type annotations were mapped to harmonized major-cell-type labels for exact cross-cohort comparisons. Cohort-specific quality-control filters were applied before aggregation. For the discovery pseudobulk analysis, the primary eligibility threshold was at least 30 nuclei and at least 10,000 CellBender counts per donor-region-cell-type unit; minimum thresholds of 20 and 50 nuclei were used as sensitivity settings. At the primary threshold, the core glial models contained 31 donor-region samples from 16 donors for astrocytes and 33 samples from 17 donors for each of OPCs and oligodendrocytes. Multiome quality control retained barcodes shared between RNA and ATAC assays. Motif/chromVAR results were withheld because a prespecified donor-level model incorporating technical adjustment and donor leave-one-out stability assessment was not available; no transcription-factor activity inference was therefore made.</w:t>
      </w:r>
    </w:p>
    <w:p w14:paraId="294E094B">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Donor-level pseudobulk expression analysis</w:t>
      </w:r>
    </w:p>
    <w:p w14:paraId="0607D878">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Raw counts were summed within donor, brain region and cell type. In GSE219280, genes were retained with edgeR::filterByExpr using diagnostic-region group membership, a minimum count of 10 and a minimum total count of 15. Libraries were TMM normalized, transformed with limma::voom and fitted using donor-blocked linear models with duplicate correlation. The design encoded diagnostic-region group, sex, scaled age and sequencing batch. Gittings used the corresponding donor-blocked voom/limma workflow with sex and scaled age; its gene filter used a minimum count of 5 and minimum total count of 15. Primary contrasts separated ALS versus control, FTD versus control and ALS versus FTD; region-interaction contrasts were secondary and tested as explicit difference-of-differences coefficients. A within-region effect or a visual difference between panels was not treated as evidence of interaction. Region-dependent language was reserved for a formal interaction coefficient with its applicable FDR; otherwise patterns were described as regional or tissue-context differences without an interaction claim. Effects were reported with Benjamini-Hochberg FDR values. Intervals reconstructed as estimate ± 1.96 standard errors, including the cross-cohort gene and multiome-family intervals, were labelled normal-approximation 95% confidence intervals rather than exact t-, likelihood- or quasi-likelihood intervals.</w:t>
      </w:r>
    </w:p>
    <w:p w14:paraId="6F09385F">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For Ruf, the public RNA Matrix Market file was streamed into donor-by-cell-type pseudobulk count matrices with a C++17 parser to avoid loading the full sparse coordinate table into memory. Donor-cell-type strata required at least 30 nuclei. Genes were filtered within each cell type and modelled by edgeR robust quasi-likelihood with diagnosis and sex. Primary contrasts were ALS versus control, combined ALS-FTD versus control and ALS versus combined ALS-FTD. Sensitivity models additionally adjusted for RNA library depth; repeated the analysis in the exact-ID age complete case; omitted each donor in turn; and reproduced the source-study strategy by estimating 12 surrogate variables from normalized counts with a diagnosis-plus-sex full model and sex-only null model. The seven-family global FDR was calculated across all eligible family-by-cell-type-by-contrast axes. The final Ruf programme gate required primary global FDR &lt; 0.05, at least 90% LOO direction retention, technical and age direction agreement, and same-direction 12-surrogate-variable global FDR &lt; 0.05.</w:t>
      </w:r>
    </w:p>
    <w:p w14:paraId="71352ABB">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Prespecified mechanism-family enrichment</w:t>
      </w:r>
    </w:p>
    <w:p w14:paraId="5A74E8FB">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Seven mechanism families were frozen before external-cohort testing: mitochondrial energy, protein folding, protein stabilization, heat response, small-GTPase regulation, synapse/junction assembly and axon development. Gene-level ranked statistics from each eligible pseudobulk contrast were analysed with preranked gene-set enrichment analysis. Normalized enrichment scores (NES), nominal P values and FDR values were recorded. The global primary FDR was calculated across the frozen family-by-cell-type-by-contrast testing universe within each cohort. Leading-edge genes were retained only as programme contributors unless a gene-specific test independently met its correction threshold.</w:t>
      </w:r>
    </w:p>
    <w:p w14:paraId="0E51F7F8">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Cross-cohort programme replication</w:t>
      </w:r>
    </w:p>
    <w:p w14:paraId="4630DAF4">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Replication required exact matching of diagnostic contrast, harmonized cell type and mechanism family. An axis was classified as strict programme replication when the NES direction agreed between GSE219280 and Gittings, each cohort passed its predefined global FDR threshold, and donor-LOO direction stability was at least 90% in both cohorts. LOO analysis was a robustness assessment and not an independent replication dataset. Because GSE212630 estimated an ordinal pTDP coefficient rather than a diagnostic NES, it was not pooled with diagnostic cohorts. No fixed- or random-effects meta-analysis was applied across incompatible estimands or scales.</w:t>
      </w:r>
    </w:p>
    <w:p w14:paraId="3E6BA7F8">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Exact binomial tests (two-sided, p = 0.5, with Clopper-Pearson 95% confidence intervals) asked whether directional concordance among the 63 matched axes exceeded chance. Tests were stratified by mechanism family (nine axes each), estimand and cell type, with two layers pooled a priori - the three families later found to be most concordant (axon development, small-GTPase, synapse/junction; 27 axes) and mitochondrial energy (nine axes) - plus sensitivity subsets restricted to axes significant in discovery or in either cohort. These tests gauge whether concordance beats a coin flip; they do not replace the dual-cohort replication gate.</w:t>
      </w:r>
    </w:p>
    <w:p w14:paraId="1743FE64">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Ruf was evaluated as a frozen external diagnostic portability test. Three-cohort ALS support required the same ALS-versus-control direction in GSE219280, Gittings and Ruf, cohort-specific global FDR &lt; 0.05 in all three, the original cohort-specific LOO criteria and the final Ruf gate above. The absence of an axis meeting this gate was retained as a result; no family, cell type, contrast or correction universe was changed after inspection of Ruf outcomes. Programme NES values were not numerically meta-analysed across cohorts.</w:t>
      </w:r>
    </w:p>
    <w:p w14:paraId="3AFD8C1E">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Candidate-gene evidence audit</w:t>
      </w:r>
    </w:p>
    <w:p w14:paraId="6677A049">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Seventeen genes were selected from recurrent discovery-cohort leading edges and biological anchoring, then frozen before external-cohort testing: BAG3, HSP90AA1, HSP90AB1, CHORDC1, ARHGAP35, PARK7, CCT5, ARHGAP39, COX5B, COX7C, MAP1B, MAPT, BCR, CCT8, COA3, DOCK7 and STARD13. The shortlist was therefore not outcome-independent with respect to discovery. For exact transcript-level cross-cohort comparison, effects were aligned by gene, cell type and diagnostic contrast and displayed with cohort-specific normal-approximation 95% confidence intervals (estimate ± 1.96 standard errors). Direction agreement, cohort-specific multiplicity control and evidence source were reported separately. Absence of strict dual-cohort support precluded claims of gene-level replication or biomarker validation.</w:t>
      </w:r>
    </w:p>
    <w:p w14:paraId="3A326715">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Differential cell-type composition</w:t>
      </w:r>
    </w:p>
    <w:p w14:paraId="255090C7">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For single-nucleus cohorts, a complete sample-by-cell-type grid was constructed and missing counts were set to zero. Counts were converted to log proportions as log[(n + 0.5)/(N + 0.5K)], where n is the cell-type count, N the total retained nuclei and K the number of harmonized cell types; the within-sample mean log proportion was then subtracted to obtain the centred-log-ratio (CLR). GSE219280 and Gittings were analysed with limma models incorporating donor blocking and available age, sex, batch or sampling-frame covariates. GSE212630 composition was modelled as a linear trend across ordinal pTDP level in the 14 annotated Emory donors, with total retained cells added in sensitivity analysis. Exponentiated CLR coefficients were reported as compositional fold ratios with normal-approximation 95% confidence intervals. Prespecified primary composition contrasts and secondary region-interaction contrasts retained separate analysis roles and multiplicity fields; interaction rows without a primary global FDR were descriptive/secondary and were not interpreted as primary multiplicity-controlled findings. These quantities describe relative captured-cell composition rather than absolute tissue abundance.</w:t>
      </w:r>
    </w:p>
    <w:p w14:paraId="78EDE57F">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Bulk deconvolution sensitivity</w:t>
      </w:r>
    </w:p>
    <w:p w14:paraId="50482CA3">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GSE153960 bulk samples were deconvolved using non-negative least squares against a single-nucleus reference. CLR-transformed composition components or principal components were added to the primary subject-blocked expression model. Primary and composition-adjusted gene effects were compared using Pearson and Spearman correlations, direction retention among highly ranked genes and effect-size-aware differential-expression thresholds. Reference-derived fractions were used only as sensitivity covariates.</w:t>
      </w:r>
    </w:p>
    <w:p w14:paraId="10217143">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Paired multiome RNA analysis</w:t>
      </w:r>
    </w:p>
    <w:p w14:paraId="01EC5C38">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Within the 14 annotated Emory donors, RNA expression was aggregated by donor and major cell type, requiring at least 50 nuclei per donor-cell-type unit. Ordinal pTDP level was modelled as a one-step linear trend. EdgeR quasi-likelihood models included pTDP order and standardized median TSS enrichment, fragment count and RNA UMI count. Composition-adjusted sensitivity models added the corresponding CLR cell-type coordinate. Global FDR was applied across the predefined family testing universe; candidate-set and transcriptome-wide FDRs were reported separately for candidate genes. For candidate-level multiome LOO direction-stability stress testing, normalized filtered donor-level logCPM or log-accessibility matrices were re-analysed after each donor omission by ordinary least squares using the design terms matched to the full analysis. The fraction of omission coefficients retaining the full-data direction was recorded. This procedure did not refit edgeR dispersions or quasi-likelihood models and was not treated as independent replication.</w:t>
      </w:r>
    </w:p>
    <w:p w14:paraId="70CDA5F0">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Differential accessibility and peak–gene analysis</w:t>
      </w:r>
    </w:p>
    <w:p w14:paraId="5223CE31">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ATAC fragments were processed with ArchR and MACS3 to define a common set of 300,559 peaks. pTDP-associated differential accessibility was tested within each cell type using edgeR quasi-likelihood models adjusted for standardized median TSS enrichment, fragment count and RNA UMI count; whole-tissue models additionally included cohort. Candidate-nearest-peak tests and genome-wide DAR analyses used separate multiple-testing families. Same-nucleus peak-gene associations were estimated as Spearman correlations after residualizing accessibility and RNA values for TSS enrichment, fragment count and RNA UMI count at the donor-cell-type metacell level. A complete joint regulatory candidate required: (i) an RNA pTDP trend passing its prespecified correction, (ii) a peak pTDP trend passing its correction and (iii) a significant adjusted peak-gene association. Correlation alone was not interpreted as an enhancer-target relationship or causal direction.</w:t>
      </w:r>
    </w:p>
    <w:p w14:paraId="71DB4E76">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For Ruf, the public peak-by-nucleus Matrix Market file was streamed to donor-by-cell-type pseudobulk counts. All retained peaks were fitted separately within the six cell types using low-memory limma-trend models for the three diagnostic contrasts; peak-wide Benjamini-Hochberg FDR was therefore calculated over each complete retained peak universe before frozen promoter peaks were selected. Promoter peaks were defined as overlaps with ±2 kb transcription-start-site windows for the 17 frozen genes. A technical sensitivity added standardized ATAC library depth. Donor-level same-cell-type RNA and accessibility values were residualized for diagnosis, sex and respective library depth before Spearman association. A complete Ruf joint chain required a transcriptome-wide RNA diagnostic hit, a technical-adjusted peak-wide ATAC hit and a corrected residual association in the same cell type and contrast.</w:t>
      </w:r>
    </w:p>
    <w:p w14:paraId="08702518">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TDP-43 event-level evidence</w:t>
      </w:r>
    </w:p>
    <w:p w14:paraId="7E8DEC2C">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The GSE219280 gene-count input did not permit junction-, isoform- or PSI-level analysis. STMN2 and KALRN event-level findings were therefore extracted from the independent published C9 single-nucleus study and labelled as external published support. UNC13A was treated as an established mechanistic literature target but was not claimed as locally replicated. Expression changes and ATAC GeneScore signals were not used as proxies for cryptic-exon inclusion.</w:t>
      </w:r>
    </w:p>
    <w:p w14:paraId="444EB9F1">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Multiple testing and robustness analyses</w:t>
      </w:r>
    </w:p>
    <w:p w14:paraId="435288D8">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All P values were two-sided unless the underlying published event analysis specified otherwise. Benjamini-Hochberg correction was applied within prospectively defined testing families. Primary claims required the global FDR gate appropriate to the analysis; nominal P values were not used to claim replication. Sensitivity analyses included donor LOO, nucleus-count thresholds, covariate ablation, composition adjustment and technical-quality adjustment. A stable LOO direction was interpreted as resistance to single-donor influence, not independent confirmation.</w:t>
      </w:r>
    </w:p>
    <w:p w14:paraId="4CA69830">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Sample size, allocation and masking</w:t>
      </w:r>
    </w:p>
    <w:p w14:paraId="0BDEF536">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Sample sizes were determined by availability in the public source datasets and by the frozen donor-, region-, cell-type- and quality-eligibility rules; no prospective power calculation was performed. This was a secondary analysis of previously generated observational data, so prospective randomization and blinding of biospecimen collection or assay generation were not applicable to this reanalysis. Analysts were not masked to diagnosis or pathology labels because those labels were required to construct the prespecified contrasts and ordinal pTDP design. Manual quality-control and candidate-freezing decisions were therefore not blinded; their timing, objective thresholds and evidence boundaries are reported to limit outcome-dependent interpretation.</w:t>
      </w:r>
    </w:p>
    <w:p w14:paraId="324BF0CF">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Gate waterfall and attainability. The five Ruf gates were decomposed cumulatively - global family FDR, donor leave-one-out direction stability of at least 90%, technical and age direction retention, surrogate-variable direction, and surrogate-variable global FDR - and each axis was attributed to the first gate it failed. The complete three-cohort gate could be evaluated only for the 21 glial ALS axes represented in the discovery mechanism matrix. For attainability, cohort-specific global FDR values were converted to z statistics and the joint probability of concordant significance was computed under two scenarios: the Ruf-observed effect as shared truth (optimistic), or a constant standardized effect with z scaled by the square root of donor counts (realistic). Confidence intervals for the key GSE212630 pTDP trends were rebuilt as t intervals, with degrees of freedom solved numerically from F(1, df) and the exact P value.</w:t>
      </w:r>
    </w:p>
    <w:p w14:paraId="1544E52E">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sz w:val="24"/>
        </w:rPr>
        <w:t>TDP-43 perturbation signatures. Two public iPSC cortical-neuron TDP-43 knockdown datasets from a single study were reanalysed (GSE296710, Zanovello line, four knockdown against four control; GSE296714, Humphrey line, six against six) [17]. Ensembl identifiers were mapped to gene symbols with GENCODE v19 [18], knockdown log2 fold changes were estimated with edgeR robust quasi-likelihood models, and depletion of TARDBP itself served as the validity control. Signature concordance between the two datasets used genome-wide Spearman correlation plus direction binomial tests among genes changing by more than |log2FC| 0.5. Alignment with the disease data correlated the 17 frozen candidates’ knockdown effects against GSE212630 pTDP trends within each cell type, with binomial tests at the family level. Because the perturbation acts in neurons while the disease trends are glial, this analysis speaks to cross-context mechanistic consistency rather than cell-type replication.</w:t>
      </w:r>
    </w:p>
    <w:p w14:paraId="50F0D863">
      <w:pPr>
        <w:pStyle w:val="3"/>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sz w:val="24"/>
        </w:rPr>
        <w:t>Genetic anchoring against ALS GWAS. Gene-level association was run in MAGMA v1.10 [19] on the van Rheenen et al. summary statistics (GCST90027164; 29,612 cases, 122,656 controls; GRCh37; 10,461,756 variants) [20], using the 1000 Genomes European panel (503 individuals) [21], GENCODE v19 protein-coding boundaries with a 10-kb window, the SNPwise-mean model with per-variant sample size, and 18,901 genes carrying at least one of the 9,448,726 matched variants. Competitive gene-set tests covered the nine prespecified sets (seven families, the pooled transferable layer, and the union of strict-replication leading edges), conditioning on gene size, gene density, mean sample size and inverse minor-allele count; the 17 frozen candidates were held to a Bonferroni threshold of 0.05/17. Recovery of the canonical ALS loci C9orf72, UNC13A and TBK1 served as the pipeline control.</w:t>
      </w:r>
    </w:p>
    <w:p w14:paraId="72BBE043">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Software and reproducibility</w:t>
      </w:r>
    </w:p>
    <w:p w14:paraId="042122C3">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sz w:val="24"/>
        </w:rPr>
        <w:t>Analyses and all final figures were generated in R. The principal enrichment environment used R 4.6.1 on macOS 26.5.2 with fgsea 1.38.0, data.table 1.18.4 and ggplot2 4.0.3; edgeR and limma versions are recorded in the module-specific session-information files distributed with the analysis outputs. The Ruf sensitivity environment used edgeR 4.10.1, limma 3.68.4, sva 3.60.0 and a C++17 streaming aggregator. The composition workflow used seed 20260813. All source-data tables include cohort, statistical unit, estimand, effect scale, confidence interval where estimable, correction family and evidence role. Large public inputs will be referenced by accession and checksum rather than redistributed where repository terms prohibit redistribution. The public analysis repository is available at https://github.com/liolio202070/als-ftd-cell-context-programmes. The immutable Zenodo archive DOI and reuse licence will be added before submission.</w:t>
      </w:r>
    </w:p>
    <w:p w14:paraId="6D1C13F0">
      <w:pPr>
        <w:pStyle w:val="4"/>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Abbreviations</w:t>
      </w:r>
    </w:p>
    <w:p w14:paraId="21800499">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ALS, amyotrophic lateral sclerosis; ATAC, assay for transposase-accessible chromatin; CLR, centred-log-ratio; DAR, differentially accessible region; FDR, false discovery rate; FTD, frontotemporal dementia; GWAS, genome-wide association study; LOO, leave-one-out; NES, normalized enrichment score; OPC, oligodendrocyte precursor cell; pTDP, phosphorylated TDP-43; PSI, percent spliced in; RNA, ribonucleic acid; TDP-43, TAR DNA-binding protein 43.</w:t>
      </w:r>
    </w:p>
    <w:p w14:paraId="647A0134">
      <w:pPr>
        <w:pStyle w:val="4"/>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Declarations</w:t>
      </w:r>
    </w:p>
    <w:p w14:paraId="1BA5EFE9">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Ethics approval and consent to participate</w:t>
      </w:r>
    </w:p>
    <w:p w14:paraId="537DDB12">
      <w:pPr>
        <w:pStyle w:val="3"/>
        <w:keepNext/>
        <w:keepLines/>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rFonts w:hint="eastAsia" w:ascii="Times New Roman" w:hAnsi="Times New Roman" w:eastAsia="Times New Roman"/>
          <w:b w:val="0"/>
          <w:bCs/>
          <w:color w:val="auto"/>
          <w:highlight w:val="none"/>
        </w:rPr>
      </w:pPr>
      <w:r>
        <w:rPr>
          <w:rFonts w:hint="eastAsia" w:ascii="Times New Roman" w:hAnsi="Times New Roman" w:eastAsia="Times New Roman"/>
          <w:b w:val="0"/>
          <w:bCs/>
          <w:color w:val="auto"/>
          <w:highlight w:val="none"/>
        </w:rPr>
        <w:t>No new ethical approval was required for this study, as it involved the reanalysis of publicly available, de-identified datasets that were generated in accordance with relevant ethical regulations and with informed consent from the original participants. The original studies (e.g., Li et al., 2023; Gittings et al., 2023; Wang et al., 2025; Ruf et al., 2026) were approved by their respective institutional review boards, and participants provided informed consent. This research complies with all relevant ethical regulations regarding the use of publicly archived human data.</w:t>
      </w:r>
    </w:p>
    <w:p w14:paraId="32354CA1">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Consent for publication</w:t>
      </w:r>
    </w:p>
    <w:p w14:paraId="4A2BBE96">
      <w:pPr>
        <w:pStyle w:val="3"/>
        <w:pageBreakBefore w:val="0"/>
        <w:widowControl/>
        <w:kinsoku/>
        <w:wordWrap w:val="0"/>
        <w:overflowPunct/>
        <w:topLinePunct w:val="0"/>
        <w:autoSpaceDE/>
        <w:autoSpaceDN/>
        <w:bidi w:val="0"/>
        <w:adjustRightInd/>
        <w:snapToGrid/>
        <w:spacing w:after="120" w:line="480" w:lineRule="auto"/>
        <w:jc w:val="both"/>
        <w:textAlignment w:val="auto"/>
        <w:rPr>
          <w:rFonts w:hint="eastAsia" w:ascii="Times New Roman" w:hAnsi="Times New Roman" w:eastAsia="Times New Roman"/>
          <w:b w:val="0"/>
          <w:bCs/>
          <w:color w:val="auto"/>
          <w:highlight w:val="none"/>
        </w:rPr>
      </w:pPr>
      <w:r>
        <w:rPr>
          <w:rFonts w:hint="eastAsia" w:ascii="Times New Roman" w:hAnsi="Times New Roman" w:eastAsia="Times New Roman"/>
          <w:b w:val="0"/>
          <w:bCs/>
          <w:color w:val="auto"/>
          <w:highlight w:val="none"/>
        </w:rPr>
        <w:t>Not applicable.</w:t>
      </w:r>
    </w:p>
    <w:p w14:paraId="2E927046">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Availability of data and materials</w:t>
      </w:r>
    </w:p>
    <w:p w14:paraId="00E9B01F">
      <w:pPr>
        <w:pStyle w:val="2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sz w:val="24"/>
        </w:rPr>
        <w:t>All datasets analysed in this study are publicly available. Single-nucleus RNA-sequencing discovery data are available from the NCBI Gene Expression Omnibus under accession GSE219280, and matched same-donor single-nucleus ATAC-sequencing data are available under GSE219279. Paired RNA-ATAC multiome data are available under GSE212630. The Ruf 2026 diagnostic same-nucleus RNA-ATAC matrices and metadata are available under Zenodo DOI 10.5281/zenodo.18370645 (record 18370646; https://zenodo.org/records/18370646). The external C9orf72-spectrum single-nucleus transcriptomic cohort reported by Gittings and colleagues, with no donor overlap detected in public identifiers but no claim of proven complete independence, is available through CELLxGENE collection aee9c366-f2fb-470b-8937-577d5d87d3fc. Supporting bulk and FTD datasets are available under GSE153960 and GSE163122, respectively. Published event-level TDP-43 splicing evidence was obtained from the cited source studies. No new human participants were recruited and no new primary biospecimens were generated for this work. Twenty-two current panel- or component-level source-data tables supporting Figures 1-6 are included in the locked submission package, together with a manifest that maps each file to the displayed figure component. Their public repository location is https://github.com/liolio202070/als-ftd-cell-context-programmes; the corresponding immutable Zenodo DOI will be added before submission. Where repository licences or file size prevent redistribution of raw matrices or fragments, the source-data package will provide accession identifiers, retrieval dates, checksums and scripts required to reconstruct the analysed objects. Public donor identifiers are reported only at the level already released by the source studies.</w:t>
      </w:r>
    </w:p>
    <w:p w14:paraId="303A0849">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eastAsia="Times New Roman"/>
          <w:color w:val="auto"/>
        </w:rPr>
        <w:t>The additional analyses drew on ALS GWAS summary statistics (GCST90027164, GWAS Catalog), two TDP-43 knockdown series (GSE296710 and GSE296714, GEO), MAGMA v1.10 with the g1000_eur reference panel (Zenodo record 14142263), and GENCODE v19. The new scripts - binomial concordance testing, gate waterfall and attainability, t-interval rebuilding, perturbation signature consistency, and genetic anchoring - ship with the analysis package together with their source-data tables.</w:t>
      </w:r>
    </w:p>
    <w:p w14:paraId="471367F0">
      <w:pPr>
        <w:pStyle w:val="3"/>
        <w:keepNext w:val="0"/>
        <w:keepLines w:val="0"/>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color w:val="auto"/>
        </w:rPr>
      </w:pPr>
      <w:r>
        <w:rPr>
          <w:rFonts w:ascii="Times New Roman" w:hAnsi="Times New Roman"/>
          <w:sz w:val="24"/>
        </w:rPr>
        <w:t>All analysis and figure-generation code is publicly available at https://github.com/liolio202070/als-ftd-cell-context-programmes. The repository will include: - data-retrieval and checksum manifests; - cohort and donor-identity audits; - donor-level pseudobulk and differential-expression workflows; - predefined gene-set enrichment and cross-cohort evidence integration; - differential composition and bulk deconvolution sensitivity analyses; - paired multiome RNA, ATAC and peak-gene workflows; - donor leave-one-out and covariate-sensitivity scripts; - Figure 1-6 and Extended Data Figures 13-14 generation scripts and per-panel Source Data; - software lock files, random seeds and complete session information. The immutable Zenodo archive DOI and final release commit hash will be added before submission; local execution instructions are included in the submission package README.</w:t>
      </w:r>
    </w:p>
    <w:p w14:paraId="472C9AE7">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Competing interests</w:t>
      </w:r>
    </w:p>
    <w:p w14:paraId="4BD60A65">
      <w:pPr>
        <w:pStyle w:val="3"/>
        <w:pageBreakBefore w:val="0"/>
        <w:widowControl/>
        <w:kinsoku/>
        <w:wordWrap w:val="0"/>
        <w:overflowPunct/>
        <w:topLinePunct w:val="0"/>
        <w:autoSpaceDE/>
        <w:autoSpaceDN/>
        <w:bidi w:val="0"/>
        <w:adjustRightInd/>
        <w:snapToGrid/>
        <w:spacing w:after="120" w:line="480" w:lineRule="auto"/>
        <w:jc w:val="both"/>
        <w:textAlignment w:val="auto"/>
        <w:rPr>
          <w:rFonts w:hint="eastAsia" w:ascii="Times New Roman" w:hAnsi="Times New Roman" w:eastAsia="Times New Roman"/>
          <w:b w:val="0"/>
          <w:bCs/>
          <w:color w:val="auto"/>
        </w:rPr>
      </w:pPr>
      <w:r>
        <w:rPr>
          <w:rFonts w:hint="eastAsia" w:ascii="Times New Roman" w:hAnsi="Times New Roman" w:eastAsia="Times New Roman"/>
          <w:b w:val="0"/>
          <w:bCs/>
          <w:color w:val="auto"/>
        </w:rPr>
        <w:t>The authors declare no competing interests.</w:t>
      </w:r>
    </w:p>
    <w:p w14:paraId="2CCFCB18">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Funding</w:t>
      </w:r>
    </w:p>
    <w:p w14:paraId="16ED9F73">
      <w:pPr>
        <w:pStyle w:val="3"/>
        <w:pageBreakBefore w:val="0"/>
        <w:widowControl/>
        <w:kinsoku/>
        <w:wordWrap w:val="0"/>
        <w:overflowPunct/>
        <w:topLinePunct w:val="0"/>
        <w:autoSpaceDE/>
        <w:autoSpaceDN/>
        <w:bidi w:val="0"/>
        <w:adjustRightInd/>
        <w:snapToGrid/>
        <w:spacing w:after="120" w:line="480" w:lineRule="auto"/>
        <w:jc w:val="both"/>
        <w:textAlignment w:val="auto"/>
        <w:rPr>
          <w:rFonts w:hint="eastAsia" w:ascii="Times New Roman" w:hAnsi="Times New Roman" w:eastAsia="Times New Roman"/>
          <w:b w:val="0"/>
          <w:bCs/>
          <w:color w:val="auto"/>
        </w:rPr>
      </w:pPr>
      <w:r>
        <w:rPr>
          <w:rFonts w:hint="eastAsia" w:ascii="Times New Roman" w:hAnsi="Times New Roman" w:eastAsia="Times New Roman"/>
          <w:b w:val="0"/>
          <w:bCs/>
          <w:color w:val="auto"/>
        </w:rPr>
        <w:t>The authors received no specific funding for this work.</w:t>
      </w:r>
    </w:p>
    <w:p w14:paraId="248F7B56">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Authors’ contributions</w:t>
      </w:r>
    </w:p>
    <w:p w14:paraId="46F41DB3">
      <w:pPr>
        <w:keepNext w:val="0"/>
        <w:keepLines w:val="0"/>
        <w:pageBreakBefore w:val="0"/>
        <w:widowControl/>
        <w:suppressLineNumbers w:val="0"/>
        <w:kinsoku/>
        <w:wordWrap w:val="0"/>
        <w:overflowPunct/>
        <w:topLinePunct w:val="0"/>
        <w:autoSpaceDE/>
        <w:autoSpaceDN/>
        <w:bidi w:val="0"/>
        <w:adjustRightInd/>
        <w:snapToGrid/>
        <w:ind w:firstLine="480" w:firstLineChars="200"/>
        <w:jc w:val="both"/>
        <w:textAlignment w:val="auto"/>
        <w:rPr>
          <w:rFonts w:hint="default" w:ascii="Times New Roman" w:hAnsi="Times New Roman" w:cs="Times New Roman"/>
        </w:rPr>
      </w:pPr>
      <w:r>
        <w:rPr>
          <w:rFonts w:hint="default" w:ascii="Times New Roman" w:hAnsi="Times New Roman" w:eastAsia="宋体" w:cs="Times New Roman"/>
          <w:kern w:val="0"/>
          <w:sz w:val="24"/>
          <w:szCs w:val="24"/>
          <w:lang w:val="en-US" w:eastAsia="zh-CN" w:bidi="ar"/>
        </w:rPr>
        <w:t>Junchen Jiang: Conceptualization, Methodology, Software, Validation, Formal analysis, Investigation, Data Curation, Writing – Original Draft, Visualization. Min Wang: Conceptualization, Methodology, Software, Validation, Formal analysis, Investigation, Data Curation, Writing – Original Draft. Yiren Lv: Conceptualization, Methodology, Validation, Formal analysis, Investigation. Beifen Pan: Validation, Investigation, Data Curation. Ruge Liu: Validation, Investigation, Data Curation. Junlong Chen: Validation, Investigation. Yulin Wang: Validation, Investigation. Kaiqiang Dong: Validation, Investigation. Lixian Cui: Validation, Investigation. Dong Zhang: Validation, Investigation. Jialin Liu: Conceptualization, Resources, Supervision, Funding acquisition, Writing – Review &amp; Editing. Rongjuan Guo: Conceptualization, Resources, Supervision, Funding acquisition, Writing – Review &amp; Editing.</w:t>
      </w:r>
    </w:p>
    <w:p w14:paraId="20A58493">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Acknowledgements</w:t>
      </w:r>
    </w:p>
    <w:p w14:paraId="74A926E3">
      <w:pPr>
        <w:pStyle w:val="3"/>
        <w:keepNext/>
        <w:keepLines/>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rFonts w:hint="eastAsia" w:ascii="Times New Roman" w:hAnsi="Times New Roman" w:eastAsia="Times New Roman"/>
          <w:b w:val="0"/>
          <w:bCs/>
          <w:color w:val="auto"/>
        </w:rPr>
      </w:pPr>
      <w:r>
        <w:rPr>
          <w:rFonts w:hint="eastAsia" w:ascii="Times New Roman" w:hAnsi="Times New Roman" w:eastAsia="Times New Roman"/>
          <w:b w:val="0"/>
          <w:bCs/>
          <w:color w:val="auto"/>
        </w:rPr>
        <w:t>The authors would like to thank the colleagues at Beijing University of Chinese Medicine and Beijing University of Chinese Medicine Oriental Hospital for their technical support and valuable discussions. We also acknowledge the use of public datasets that made this work possible. The authors received no specific external funding for this work; internal resources were used to support this research.</w:t>
      </w:r>
    </w:p>
    <w:p w14:paraId="65F853F3">
      <w:pPr>
        <w:pStyle w:val="5"/>
        <w:keepNext/>
        <w:keepLines/>
        <w:pageBreakBefore w:val="0"/>
        <w:widowControl/>
        <w:kinsoku/>
        <w:wordWrap w:val="0"/>
        <w:overflowPunct/>
        <w:topLinePunct w:val="0"/>
        <w:autoSpaceDE/>
        <w:autoSpaceDN/>
        <w:bidi w:val="0"/>
        <w:adjustRightInd/>
        <w:snapToGrid/>
        <w:spacing w:after="120" w:line="480" w:lineRule="auto"/>
        <w:jc w:val="both"/>
        <w:textAlignment w:val="auto"/>
        <w:rPr>
          <w:b/>
          <w:bCs w:val="0"/>
          <w:color w:val="auto"/>
        </w:rPr>
      </w:pPr>
      <w:r>
        <w:rPr>
          <w:rFonts w:ascii="Times New Roman" w:hAnsi="Times New Roman" w:eastAsia="Times New Roman"/>
          <w:b/>
          <w:bCs w:val="0"/>
          <w:color w:val="auto"/>
        </w:rPr>
        <w:t>Authors’ information</w:t>
      </w:r>
    </w:p>
    <w:p w14:paraId="2589775E">
      <w:pPr>
        <w:pStyle w:val="3"/>
        <w:pageBreakBefore w:val="0"/>
        <w:widowControl/>
        <w:kinsoku/>
        <w:wordWrap w:val="0"/>
        <w:overflowPunct/>
        <w:topLinePunct w:val="0"/>
        <w:autoSpaceDE/>
        <w:autoSpaceDN/>
        <w:bidi w:val="0"/>
        <w:adjustRightInd/>
        <w:snapToGrid/>
        <w:spacing w:after="120" w:line="480" w:lineRule="auto"/>
        <w:jc w:val="both"/>
        <w:textAlignment w:val="auto"/>
        <w:rPr>
          <w:rFonts w:hint="eastAsia" w:ascii="Times New Roman" w:hAnsi="Times New Roman" w:eastAsia="Times New Roman"/>
          <w:b w:val="0"/>
          <w:bCs/>
          <w:color w:val="auto"/>
        </w:rPr>
      </w:pPr>
      <w:r>
        <w:rPr>
          <w:rFonts w:hint="eastAsia" w:ascii="Times New Roman" w:hAnsi="Times New Roman" w:eastAsia="Times New Roman"/>
          <w:b w:val="0"/>
          <w:bCs/>
          <w:color w:val="auto"/>
        </w:rPr>
        <w:t>Not applicable.</w:t>
      </w:r>
    </w:p>
    <w:p w14:paraId="792ABA05">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Artificial intelligence assistance disclosure</w:t>
      </w:r>
    </w:p>
    <w:p w14:paraId="07898A34">
      <w:pPr>
        <w:pStyle w:val="3"/>
        <w:keepNext/>
        <w:keepLines/>
        <w:pageBreakBefore w:val="0"/>
        <w:widowControl/>
        <w:kinsoku/>
        <w:wordWrap w:val="0"/>
        <w:overflowPunct/>
        <w:topLinePunct w:val="0"/>
        <w:autoSpaceDE/>
        <w:autoSpaceDN/>
        <w:bidi w:val="0"/>
        <w:adjustRightInd/>
        <w:snapToGrid/>
        <w:spacing w:after="120" w:line="480" w:lineRule="auto"/>
        <w:ind w:firstLine="480" w:firstLineChars="200"/>
        <w:jc w:val="both"/>
        <w:textAlignment w:val="auto"/>
        <w:rPr>
          <w:rFonts w:hint="eastAsia" w:ascii="Times New Roman" w:hAnsi="Times New Roman" w:eastAsia="Times New Roman"/>
          <w:b w:val="0"/>
          <w:bCs/>
          <w:color w:val="auto"/>
          <w:lang w:val="en-US" w:eastAsia="zh-CN"/>
        </w:rPr>
      </w:pPr>
      <w:r>
        <w:rPr>
          <w:rFonts w:hint="eastAsia" w:ascii="Times New Roman" w:hAnsi="Times New Roman" w:eastAsia="Times New Roman"/>
          <w:b w:val="0"/>
          <w:bCs/>
          <w:color w:val="auto"/>
          <w:lang w:val="en-US" w:eastAsia="zh-CN"/>
        </w:rPr>
        <w:t>During the preparation of this work, the authors used ChatGPT (OpenAI) for language polishing, translation, and formatting assistance. After using this tool, the authors reviewed and edited the content as needed and take full r</w:t>
      </w:r>
      <w:bookmarkStart w:id="50" w:name="_GoBack"/>
      <w:bookmarkEnd w:id="50"/>
      <w:r>
        <w:rPr>
          <w:rFonts w:hint="eastAsia" w:ascii="Times New Roman" w:hAnsi="Times New Roman" w:eastAsia="Times New Roman"/>
          <w:b w:val="0"/>
          <w:bCs/>
          <w:color w:val="auto"/>
          <w:lang w:val="en-US" w:eastAsia="zh-CN"/>
        </w:rPr>
        <w:t>esponsibility for the content of the publication.</w:t>
      </w:r>
    </w:p>
    <w:p w14:paraId="41541671">
      <w:pPr>
        <w:pStyle w:val="4"/>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Additional files</w:t>
      </w:r>
    </w:p>
    <w:p w14:paraId="2C7382B2">
      <w:pPr>
        <w:pStyle w:val="3"/>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Additional file 1: Supplementary data guide.</w:t>
      </w:r>
    </w:p>
    <w:p w14:paraId="611FA3FC">
      <w:pPr>
        <w:pStyle w:val="3"/>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Additional file 2: Table S1, prespecified mechanism families.</w:t>
      </w:r>
    </w:p>
    <w:p w14:paraId="7A216AD8">
      <w:pPr>
        <w:pStyle w:val="3"/>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Additional file 3: Table S2, limitations and safeguards.</w:t>
      </w:r>
    </w:p>
    <w:p w14:paraId="3351A28D">
      <w:pPr>
        <w:pStyle w:val="3"/>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Additional files 4–14: Extended Data 01–09, 11 and 13 tabular results.</w:t>
      </w:r>
    </w:p>
    <w:p w14:paraId="6CACA5B3">
      <w:pPr>
        <w:pStyle w:val="3"/>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Additional file 15: Extended Data Figure 13, frozen Ruf-cohort testing.</w:t>
      </w:r>
    </w:p>
    <w:p w14:paraId="346A9080">
      <w:pPr>
        <w:pStyle w:val="3"/>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Additional file 16: Extended Data Figure 14, statistical decomposition, perturbation consistency and genetic anchoring.</w:t>
      </w:r>
    </w:p>
    <w:p w14:paraId="098A9BF3">
      <w:pPr>
        <w:pStyle w:val="3"/>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Additional file 17: Source data for Figures 1–6, including a file manifest.</w:t>
      </w:r>
    </w:p>
    <w:p w14:paraId="4D2B8E28">
      <w:pPr>
        <w:pStyle w:val="3"/>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Extended Data 10 and 12 are deposited with the research compendium because the former exceeds the journal's per-file upload limit; repository identifiers remain to be completed before submission.</w:t>
      </w:r>
    </w:p>
    <w:p w14:paraId="665461C7">
      <w:pPr>
        <w:pStyle w:val="4"/>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Figure legends</w:t>
      </w:r>
    </w:p>
    <w:p w14:paraId="106EF30B">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Figure 1 | Donor-aware study design and evidence framework across the ALS–FTD spectrum</w:t>
      </w:r>
    </w:p>
    <w:p w14:paraId="35A4995C">
      <w:pPr>
        <w:pStyle w:val="3"/>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Overview of the public human-brain datasets, donor-level analytical workflow and prespecified evidence roles used in this study. GSE219280 provided single-nucleus RNA-sequencing discovery data, with matched same-donor GSE219279 single-nucleus ATAC-sequencing data providing chromatin context across BA4 motor and BA9 frontal cortex in 17 donors. External testing included the Gittings C9 cohort (37 donor identifiers), the Ruf diagnostic same-nucleus cohort (79 donors) and the GSE153960 bulk RNA-sequencing cohort (229 donors). GSE212630 (26 donors) and GSE163122 (9 donors) provided pathology-graded paired multiome and cross-genetic GRN-FTD context, respectively. Two iPSC-neuron TDP-43-loss datasets (GSE296710 and GSE296714) and ALS GWAS/MAGMA analysis (29,612 cases and 122,656 controls) served as mechanistic and genetic anchors. Nuclei or reads were grouped by donor, brain region and cell type, aggregated to pseudobulk and analysed using donor-blocked models where regions were repeated within donors. Each dataset was assigned one primary interpretive role—discovery, replication, portability or orthogonal support—to distinguish direct replication from contextual or mechanistic evidence. Biological donors, rather than individual nuclei, defined the inferential sample size.</w:t>
      </w:r>
    </w:p>
    <w:p w14:paraId="1FD04293">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Figure 2 | Cell-type- and region-dependent programmes in the discovery cohort</w:t>
      </w:r>
    </w:p>
    <w:p w14:paraId="5F03F75A">
      <w:pPr>
        <w:pStyle w:val="3"/>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a, Normalized enrichment score (NES) matrix for 63 axes formed by seven prespecified mechanism families, three major cell types and ALS-versus-control, FTD-versus-control and ALS-versus-FTD contrasts in GSE219280; 35 axes pass Benjamini-Hochberg global primary FDR &lt; 0.05 across the frozen family-by-cell-type-by-contrast universe. Colour indicates direction and white circles indicate this gate. FGSEA used gene rankings from limma donor-blocked pseudobulk models with diagnosis-by-region fixed effects and duplicate-correlation adjustment for repeated regions. The biological unit was the donor: 16 donors for astrocytes and 17 each for OPCs and oligodendrocytes; panel-specific sample counts and exact nominal and adjusted values are in Source Data. b, Descriptive phenotype-direction classes derived from the three contrast-specific NES values in the same 16/17-donor models; the classes have no separate inferential test. c, Threshold robustness. All 63 programme directions were retained at both the 20- and 50-nucleus sensitivity thresholds relative to the 30-nucleus primary analysis. The source table reports 16 astrocyte and 17 OPC/oligodendrocyte donor omissions for the corresponding primary axes. This is internal sensitivity analysis, not external replication. d, Donor-level centred-log-ratio (CLR) composition effects with normal-approximation 95% confidence intervals in 33 donor-region samples from 17 biological donors. Diagnosis/region contrasts were tested in donor-blocked limma linear models. Primary composition contrasts and secondary formal region-interaction coefficients have separate roles and correction fields; Benjamini-Hochberg global primary FDR is applied only to the prespecified primary CLR contrasts, while interaction rows without a primary global FDR are descriptive/secondary. Exact nominal P values and adjusted values are in Source Data. CLR effects refer to relative captured-nucleus composition rather than absolute tissue abundance.</w:t>
      </w:r>
    </w:p>
    <w:p w14:paraId="29E294D6">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Figure 3 | Exact-estimand programme replication and its boundaries across C9 and GRN cohorts</w:t>
      </w:r>
    </w:p>
    <w:p w14:paraId="5617B829">
      <w:pPr>
        <w:pStyle w:val="3"/>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a, Discovery-versus-Gittings NES values for all 63 axes matched exactly by diagnostic estimand, harmonized cell type and frozen mechanism family. Thirty-nine axes share direction, 13 pass the strict two-cohort gate of same direction, cohort-specific global FDR &lt; 0.05 and donor-LOO direction stability of at least 90%, and three are significant and LOO-stable in both cohorts but directionally discordant. Shape denotes cell type; teal and amber denote strict replicated and stable-discordant axes, respectively. The Gittings ALS-versus-FTD estimate is a partition-bridged difference-in-differences and is not an unconfounded direct case comparison. b, Number of globally significant Gittings cell-type axes for each family and estimand; colour denotes whether significant axes are consistently positive, consistently negative or mixed, and zero denotes no significant axis. c, Donor-LOO robustness among the 68 globally significant Gittings axes: all retain direction in at least 90% of valid refits and 66 retain direction in every valid refit; 65 axes had 37 valid refits and three had 36. d, Cross-genetic GRN-FTD boundary in GSE163122: three axes are direction-stable in all nine donor omissions. NES values are shown without confidence intervals. e, Same-direction frequency for each frozen candidate gene across its nine matched settings. No single-gene axis passes the strict dual-cohort replication gate (0/153), so the panel describes directional agreement rather than gene-level replication.</w:t>
      </w:r>
    </w:p>
    <w:p w14:paraId="17FF5545">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Figure 4 | Discovery-derived leading-edge candidates and external TDP-43 event-level evidence</w:t>
      </w:r>
    </w:p>
    <w:p w14:paraId="5E739AB2">
      <w:pPr>
        <w:pStyle w:val="3"/>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a, Matrix of 17 discovery-derived candidate genes, frozen before external-cohort testing, by evidence layer, distinguishing programme membership, transcript-level association, pathology trend, chromatin context and published splicing evidence. b, Non-causal contributor map grouped by mitochondrial, proteostasis, small-GTPase and synaptic/axonal programmes. Node size indicates the number of supporting comparisons or evidence layers; lines denote shared programme membership and not regulation. c, Published event-level evidence: STMN2, maximum absolute delta PSI 0.706 and minimum LeafCutter FDR 4.82 × 10^-6; KALRN, 0.831 and 2.26 × 10^-12; and UNC13A, 0.836 and 1.17 × 10^-8. STMN2 and KALRN were detected in the published C9 single-nucleus study, whereas UNC13A was not detected in that 3-prime-biased single-nucleus dataset and is retained as established literature evidence. d, Assay-capability audit showing that the GSE219280 gene-count matrix supports gene-level expression but not junction, isoform or PSI testing. e, Author-reported group-level event counts provide descriptive context and are not independently recomputed inference.</w:t>
      </w:r>
    </w:p>
    <w:p w14:paraId="6D64DE45">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Figure 5 | pTDP-associated glial proteostasis and chromatin context in paired multiome data</w:t>
      </w:r>
    </w:p>
    <w:p w14:paraId="0EF1093A">
      <w:pPr>
        <w:pStyle w:val="3"/>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a, Astrocytic protein-stabilization RNA trend across ordinal pTDP categories in 14 Emory donors (beta per category = -0.8402, 95% CI -1.1820 to -0.4984; two-sided coefficient P = 0.000950; global FDR = 0.0399). The donor-score model adjusted for TSS enrichment, fragment depth and RNA UMI; the fitted effect is shown because frozen raw donor scores were unavailable. b, Eight candidate-adjusted RNA trends from edgeR robust quasi-likelihood models retained direction across all 14 donor omissions: HSP90AB1, HSP90AA1 and COX5B in astrocytes; BAG3, HSP90AA1, MAP1B and STARD13 in microglia; and COX5B in OPCs. Candidate FDR was controlled across 119 frozen RNA tests and transcriptome-wide FDR within each model; only microglial BAG3 passed both. Coefficients are shown without confidence intervals because these were absent from the frozen export. c, Distribution of 409 genome-wide pTDP-associated differentially accessible regions from the same 14 donors: 406 in oligodendrocytes and three in microglia. FDR was controlled across retained peaks within each cell-type model. d, Seven adjusted Spearman correlations between donor-metacell RNA and accessibility residuals involving ARHGAP39, COX5B, COX7C, MAP1B and DOCK7. Correlations are shown without confidence intervals; correction was within cell type. e, Joint-evidence gate for RNA trend, nearest-peak trend and peak–gene association; no candidate passed all components. Layer-specific correction families were retained, and no combined P value or causal enhancer–target claim was made. Exact statistics and test universes are in Source Data.</w:t>
      </w:r>
    </w:p>
    <w:p w14:paraId="410D0A4E">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Figure 6 | Evidence-constrained synthesis of cell-context programmes across the ALS–FTD spectrum</w:t>
      </w:r>
    </w:p>
    <w:p w14:paraId="0D1A7E48">
      <w:pPr>
        <w:pStyle w:val="3"/>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Circular synthesis of the prespecified evidence hierarchy. The central conclusion is that ALS–FTD programmes transfer by mechanism family but depend on cellular and cohort context. The discovery cohort yielded 35 of 63 globally significant programme axes; exact-estimand comparison with the external C9 cohort yielded 13 strict two-cohort replications; and frozen testing in the 79-donor Ruf cohort yielded 40 of 126 robust within-cohort axes but no universal three-cohort ALS axis. The pathology-graded multiome analysis narrowed 409 differential accessibility regions to seven adjusted peak–gene correlations and zero complete RNA–ATAC chains. In two TDP-43-loss lines, all six glial perturbation–pathology correlations were negative (exact binomial P = 0.031). None of nine prespecified programme sets was enriched for ALS germline risk at P &lt; 0.05, although MAPT passed the 0.05/17 candidate-gene threshold. The inner programme arcs distinguish recurrent mitochondrial/proteostasis and small-GTPase/synaptic/axonal systems; the outer arcs separate supported findings, validation priorities and established negative boundaries. Dashed spokes denote evidence relationships only and imply no causal direction.</w:t>
      </w:r>
    </w:p>
    <w:p w14:paraId="28A6947F">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Extended Data Figure 13 | Frozen external testing in the Ruf 2026 diagnostic same-nucleus cohort</w:t>
      </w:r>
    </w:p>
    <w:p w14:paraId="26A0EF56">
      <w:pPr>
        <w:pStyle w:val="3"/>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a, Diagnostic composition of the 79-donor motor-cortex cohort: ALS, n = 30; sporadic ALS-FTD, n = 10; C9-associated ALS-FTD, n = 7; and control, n = 32. b, Number of programme axes passing the base within-cohort gate, the final gate including the source-matched 12-surrogate-variable sensitivity, and the complete three-diagnostic-cohort ALS gate. The zero at the three-cohort gate is a retained result, not a missing analysis. c, NES matrix for all 126 frozen family-by-cell-type-by-contrast tests. White circles mark 40 axes satisfying primary global FDR &lt; 0.05, at least 90% donor-LOO direction retention, technical and age direction agreement, and same-direction 12-surrogate-variable global FDR &lt; 0.05. d, Fourteen frozen genes passing transcriptome-wide FDR and all Ruf robustness gates; all concern comparisons involving ALS-FTD and none is an ALS-versus-control universal biomarker. e, Joint-evidence audit showing 14 final RNA gene axes, one primary whole-peak ATAC hit, zero technical-adjusted whole-peak hits and zero complete RNA-ATAC chains. The primary STARD13 promoter peak had FDR = 0.0472 and technical-adjusted FDR = 0.0520. RNA and ATAC derive from the same nuclei and are not independent observations.</w:t>
      </w:r>
    </w:p>
    <w:p w14:paraId="071AE381">
      <w:pPr>
        <w:pStyle w:val="5"/>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Extended Data Figure 14 | Statistical decomposition, perturbation consistency and genetic anchoring</w:t>
      </w:r>
    </w:p>
    <w:p w14:paraId="2D2DD1E6">
      <w:pPr>
        <w:pStyle w:val="3"/>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a, Cumulative five-gate attrition of the 126 frozen programme axes in the Ruf cohort. Counts retained after global family FDR, donor-LOO, technical-plus-age direction, 12-surrogate-variable direction and 12-surrogate-variable global FDR are shown, with first-failure attribution below; donor-LOO eliminates no axis. b, Attainable probability of the complete three-cohort gate under the Ruf-observed-effect scenario versus absolute Ruf z score for the 21 estimable glial ALS axes. Only three axes exceed 50%, and all three are direction-flipped in at least one C9 cohort. c, Spearman correlation between TDP-43-knockdown effects in two iPSC cortical-neuron lines and GSE212630 pTDP trends of the 17 frozen candidates, by cell type. Asterisks denote nominal P &lt; 0.05; all six glial correlations are negative (exact binomial P = 0.031). d, RNA log2 fold changes of chaperone-arm genes after TDP-43 knockdown in both lines; colour identifies the dataset and opacity indicates FDR &lt; 0.05. HSPH1, DNAJB1 and CHORDC1 decrease consistently, most strongly in the Humphrey line. e, MAGMA competitive enrichment for nine prespecified programme or candidate sets in ALS GWAS summary statistics from 29,612 cases and 122,656 controls; no set passes P &lt; 0.05. f, Gene-level ALS associations for the 17 frozen candidates. The dashed line marks Bonferroni P = 0.05/17; MAPT alone passes correction.</w:t>
      </w:r>
    </w:p>
    <w:p w14:paraId="5B7591F3">
      <w:pPr>
        <w:pStyle w:val="4"/>
        <w:pageBreakBefore w:val="0"/>
        <w:widowControl/>
        <w:kinsoku/>
        <w:wordWrap w:val="0"/>
        <w:overflowPunct/>
        <w:topLinePunct w:val="0"/>
        <w:autoSpaceDE/>
        <w:autoSpaceDN/>
        <w:bidi w:val="0"/>
        <w:adjustRightInd/>
        <w:snapToGrid/>
        <w:spacing w:after="120" w:line="480" w:lineRule="auto"/>
        <w:jc w:val="both"/>
        <w:textAlignment w:val="auto"/>
        <w:rPr>
          <w:color w:val="auto"/>
        </w:rPr>
      </w:pPr>
      <w:r>
        <w:rPr>
          <w:rFonts w:ascii="Times New Roman" w:hAnsi="Times New Roman" w:eastAsia="Times New Roman"/>
          <w:color w:val="auto"/>
        </w:rPr>
        <w:t>References</w:t>
      </w:r>
    </w:p>
    <w:p w14:paraId="6D918874">
      <w:pPr>
        <w:pStyle w:val="30"/>
        <w:pageBreakBefore w:val="0"/>
        <w:widowControl/>
        <w:numPr>
          <w:ilvl w:val="0"/>
          <w:numId w:val="1"/>
        </w:numPr>
        <w:kinsoku/>
        <w:wordWrap w:val="0"/>
        <w:overflowPunct/>
        <w:topLinePunct w:val="0"/>
        <w:autoSpaceDE/>
        <w:autoSpaceDN/>
        <w:bidi w:val="0"/>
        <w:adjustRightInd/>
        <w:snapToGrid/>
        <w:spacing w:after="120" w:line="480" w:lineRule="auto"/>
        <w:ind w:left="0" w:leftChars="0" w:firstLine="0" w:firstLineChars="0"/>
        <w:jc w:val="both"/>
        <w:textAlignment w:val="auto"/>
        <w:rPr>
          <w:color w:val="auto"/>
        </w:rPr>
      </w:pPr>
      <w:bookmarkStart w:id="29" w:name="_Ref11388"/>
      <w:r>
        <w:rPr>
          <w:rFonts w:ascii="Times New Roman" w:hAnsi="Times New Roman" w:eastAsia="Times New Roman"/>
          <w:color w:val="auto"/>
        </w:rPr>
        <w:t>Geser F, Martinez-Lage M, Robinson J, et al. Clinical and pathological continuum of multisystem TDP-43 proteinopathies. Archives of Neurology. 2009;66(2):180–9. doi:</w:t>
      </w:r>
      <w:r>
        <w:rPr>
          <w:color w:val="auto"/>
        </w:rPr>
        <w:fldChar w:fldCharType="begin"/>
      </w:r>
      <w:r>
        <w:rPr>
          <w:color w:val="auto"/>
        </w:rPr>
        <w:instrText xml:space="preserve"> HYPERLINK "https://doi.org/10.1001/archneurol.2008.558" \h </w:instrText>
      </w:r>
      <w:r>
        <w:rPr>
          <w:color w:val="auto"/>
        </w:rPr>
        <w:fldChar w:fldCharType="separate"/>
      </w:r>
      <w:r>
        <w:rPr>
          <w:rStyle w:val="20"/>
          <w:color w:val="auto"/>
        </w:rPr>
        <w:t>10.1001/archneurol.2008.558</w:t>
      </w:r>
      <w:r>
        <w:rPr>
          <w:rStyle w:val="20"/>
          <w:color w:val="auto"/>
        </w:rPr>
        <w:fldChar w:fldCharType="end"/>
      </w:r>
      <w:r>
        <w:rPr>
          <w:rStyle w:val="20"/>
          <w:rFonts w:hint="eastAsia" w:eastAsia="宋体"/>
          <w:color w:val="auto"/>
          <w:lang w:val="en-US" w:eastAsia="zh-CN"/>
        </w:rPr>
        <w:t>.</w:t>
      </w:r>
      <w:bookmarkEnd w:id="29"/>
    </w:p>
    <w:p w14:paraId="2B5D7391">
      <w:pPr>
        <w:pStyle w:val="30"/>
        <w:pageBreakBefore w:val="0"/>
        <w:widowControl/>
        <w:numPr>
          <w:ilvl w:val="0"/>
          <w:numId w:val="1"/>
        </w:numPr>
        <w:kinsoku/>
        <w:wordWrap w:val="0"/>
        <w:overflowPunct/>
        <w:topLinePunct w:val="0"/>
        <w:autoSpaceDE/>
        <w:autoSpaceDN/>
        <w:bidi w:val="0"/>
        <w:adjustRightInd/>
        <w:snapToGrid/>
        <w:spacing w:after="120" w:line="480" w:lineRule="auto"/>
        <w:ind w:left="0" w:leftChars="0" w:firstLine="0" w:firstLineChars="0"/>
        <w:jc w:val="both"/>
        <w:textAlignment w:val="auto"/>
        <w:rPr>
          <w:color w:val="auto"/>
        </w:rPr>
      </w:pPr>
      <w:bookmarkStart w:id="30" w:name="_Ref11391"/>
      <w:r>
        <w:rPr>
          <w:rFonts w:ascii="Times New Roman" w:hAnsi="Times New Roman" w:eastAsia="Times New Roman"/>
          <w:color w:val="auto"/>
        </w:rPr>
        <w:t>DeJesus-Hernandez M, Mackenzie IR, Boeve BF, et al. Expanded GGGGCC hexanucleotide repeat in noncoding region of C9ORF72 causes chromosome 9p-linked FTD and ALS. Neuron. 2011;72(2):245–56. doi:</w:t>
      </w:r>
      <w:r>
        <w:rPr>
          <w:color w:val="auto"/>
        </w:rPr>
        <w:fldChar w:fldCharType="begin"/>
      </w:r>
      <w:r>
        <w:rPr>
          <w:color w:val="auto"/>
        </w:rPr>
        <w:instrText xml:space="preserve"> HYPERLINK "https://doi.org/10.1016/j.neuron.2011.09.011" \h </w:instrText>
      </w:r>
      <w:r>
        <w:rPr>
          <w:color w:val="auto"/>
        </w:rPr>
        <w:fldChar w:fldCharType="separate"/>
      </w:r>
      <w:r>
        <w:rPr>
          <w:rStyle w:val="20"/>
          <w:color w:val="auto"/>
        </w:rPr>
        <w:t>10.1016/j.neuron.2011.09.011</w:t>
      </w:r>
      <w:r>
        <w:rPr>
          <w:rStyle w:val="20"/>
          <w:color w:val="auto"/>
        </w:rPr>
        <w:fldChar w:fldCharType="end"/>
      </w:r>
      <w:r>
        <w:rPr>
          <w:rStyle w:val="20"/>
          <w:rFonts w:hint="eastAsia" w:eastAsia="宋体"/>
          <w:color w:val="auto"/>
          <w:lang w:val="en-US" w:eastAsia="zh-CN"/>
        </w:rPr>
        <w:t>.</w:t>
      </w:r>
      <w:bookmarkEnd w:id="30"/>
    </w:p>
    <w:p w14:paraId="14B70124">
      <w:pPr>
        <w:pStyle w:val="30"/>
        <w:pageBreakBefore w:val="0"/>
        <w:widowControl/>
        <w:numPr>
          <w:ilvl w:val="0"/>
          <w:numId w:val="1"/>
        </w:numPr>
        <w:kinsoku/>
        <w:wordWrap w:val="0"/>
        <w:overflowPunct/>
        <w:topLinePunct w:val="0"/>
        <w:autoSpaceDE/>
        <w:autoSpaceDN/>
        <w:bidi w:val="0"/>
        <w:adjustRightInd/>
        <w:snapToGrid/>
        <w:spacing w:after="120" w:line="480" w:lineRule="auto"/>
        <w:ind w:left="0" w:leftChars="0" w:firstLine="0" w:firstLineChars="0"/>
        <w:jc w:val="both"/>
        <w:textAlignment w:val="auto"/>
        <w:rPr>
          <w:color w:val="auto"/>
        </w:rPr>
      </w:pPr>
      <w:bookmarkStart w:id="31" w:name="_Ref11397"/>
      <w:r>
        <w:rPr>
          <w:rFonts w:ascii="Times New Roman" w:hAnsi="Times New Roman" w:eastAsia="Times New Roman"/>
          <w:color w:val="auto"/>
        </w:rPr>
        <w:t>Kwong LK, Neumann M, Sampathu DM, Lee VM-Y, Trojanowski JQ. TDP-43 proteinopathy: The neuropathology underlying major forms of sporadic and familial frontotemporal lobar degeneration and motor neuron disease. Acta Neuropathologica. 2007;114(1):63–70. doi:</w:t>
      </w:r>
      <w:r>
        <w:rPr>
          <w:color w:val="auto"/>
        </w:rPr>
        <w:fldChar w:fldCharType="begin"/>
      </w:r>
      <w:r>
        <w:rPr>
          <w:color w:val="auto"/>
        </w:rPr>
        <w:instrText xml:space="preserve"> HYPERLINK "https://doi.org/10.1007/s00401-007-0226-5" \h </w:instrText>
      </w:r>
      <w:r>
        <w:rPr>
          <w:color w:val="auto"/>
        </w:rPr>
        <w:fldChar w:fldCharType="separate"/>
      </w:r>
      <w:r>
        <w:rPr>
          <w:rStyle w:val="20"/>
          <w:color w:val="auto"/>
        </w:rPr>
        <w:t>10.1007/s00401-007-0226-5</w:t>
      </w:r>
      <w:r>
        <w:rPr>
          <w:rStyle w:val="20"/>
          <w:color w:val="auto"/>
        </w:rPr>
        <w:fldChar w:fldCharType="end"/>
      </w:r>
      <w:r>
        <w:rPr>
          <w:rStyle w:val="20"/>
          <w:rFonts w:hint="eastAsia" w:eastAsia="宋体"/>
          <w:color w:val="auto"/>
          <w:lang w:val="en-US" w:eastAsia="zh-CN"/>
        </w:rPr>
        <w:t>.</w:t>
      </w:r>
      <w:bookmarkEnd w:id="31"/>
    </w:p>
    <w:p w14:paraId="2EA405AE">
      <w:pPr>
        <w:pStyle w:val="30"/>
        <w:pageBreakBefore w:val="0"/>
        <w:widowControl/>
        <w:numPr>
          <w:ilvl w:val="0"/>
          <w:numId w:val="1"/>
        </w:numPr>
        <w:kinsoku/>
        <w:wordWrap w:val="0"/>
        <w:overflowPunct/>
        <w:topLinePunct w:val="0"/>
        <w:autoSpaceDE/>
        <w:autoSpaceDN/>
        <w:bidi w:val="0"/>
        <w:adjustRightInd/>
        <w:snapToGrid/>
        <w:spacing w:after="120" w:line="480" w:lineRule="auto"/>
        <w:ind w:left="0" w:leftChars="0" w:firstLine="0" w:firstLineChars="0"/>
        <w:jc w:val="both"/>
        <w:textAlignment w:val="auto"/>
        <w:rPr>
          <w:color w:val="auto"/>
        </w:rPr>
      </w:pPr>
      <w:bookmarkStart w:id="32" w:name="_Ref11401"/>
      <w:r>
        <w:rPr>
          <w:rFonts w:ascii="Times New Roman" w:hAnsi="Times New Roman" w:eastAsia="Times New Roman"/>
          <w:color w:val="auto"/>
        </w:rPr>
        <w:t>Geser F, Lee VM-Y, Trojanowski JQ. Amyotrophic lateral sclerosis and frontotemporal lobar degeneration: A spectrum of TDP-43 proteinopathies. Neuropathology. 2010;30(2):103–12. doi:</w:t>
      </w:r>
      <w:r>
        <w:rPr>
          <w:color w:val="auto"/>
        </w:rPr>
        <w:fldChar w:fldCharType="begin"/>
      </w:r>
      <w:r>
        <w:rPr>
          <w:color w:val="auto"/>
        </w:rPr>
        <w:instrText xml:space="preserve"> HYPERLINK "https://doi.org/10.1111/j.1440-1789.2009.01091.x" \h </w:instrText>
      </w:r>
      <w:r>
        <w:rPr>
          <w:color w:val="auto"/>
        </w:rPr>
        <w:fldChar w:fldCharType="separate"/>
      </w:r>
      <w:r>
        <w:rPr>
          <w:rStyle w:val="20"/>
          <w:color w:val="auto"/>
        </w:rPr>
        <w:t>10.1111/j.1440-1789.2009.01091.x</w:t>
      </w:r>
      <w:r>
        <w:rPr>
          <w:rStyle w:val="20"/>
          <w:color w:val="auto"/>
        </w:rPr>
        <w:fldChar w:fldCharType="end"/>
      </w:r>
      <w:r>
        <w:rPr>
          <w:rStyle w:val="20"/>
          <w:rFonts w:hint="eastAsia" w:eastAsia="宋体"/>
          <w:color w:val="auto"/>
          <w:lang w:val="en-US" w:eastAsia="zh-CN"/>
        </w:rPr>
        <w:t>.</w:t>
      </w:r>
      <w:bookmarkEnd w:id="32"/>
    </w:p>
    <w:p w14:paraId="3E4E6FAE">
      <w:pPr>
        <w:pStyle w:val="30"/>
        <w:pageBreakBefore w:val="0"/>
        <w:widowControl/>
        <w:numPr>
          <w:ilvl w:val="0"/>
          <w:numId w:val="1"/>
        </w:numPr>
        <w:kinsoku/>
        <w:wordWrap w:val="0"/>
        <w:overflowPunct/>
        <w:topLinePunct w:val="0"/>
        <w:autoSpaceDE/>
        <w:autoSpaceDN/>
        <w:bidi w:val="0"/>
        <w:adjustRightInd/>
        <w:snapToGrid/>
        <w:spacing w:after="120" w:line="480" w:lineRule="auto"/>
        <w:ind w:left="0" w:leftChars="0" w:firstLine="0" w:firstLineChars="0"/>
        <w:jc w:val="both"/>
        <w:textAlignment w:val="auto"/>
        <w:rPr>
          <w:color w:val="auto"/>
        </w:rPr>
      </w:pPr>
      <w:bookmarkStart w:id="33" w:name="_Ref11606"/>
      <w:r>
        <w:rPr>
          <w:rFonts w:ascii="Times New Roman" w:hAnsi="Times New Roman" w:eastAsia="Times New Roman"/>
          <w:color w:val="auto"/>
        </w:rPr>
        <w:t>Li J, Jaiswal MK, Chien J-F, et al. Divergent single cell transcriptome and epigenome alterations in ALS and FTD patients with C9orf72 mutation. Nature Communications. 2023;14(1):5714. doi:</w:t>
      </w:r>
      <w:r>
        <w:rPr>
          <w:color w:val="auto"/>
        </w:rPr>
        <w:fldChar w:fldCharType="begin"/>
      </w:r>
      <w:r>
        <w:rPr>
          <w:color w:val="auto"/>
        </w:rPr>
        <w:instrText xml:space="preserve"> HYPERLINK "https://doi.org/10.1038/s41467-023-41033-y" \h </w:instrText>
      </w:r>
      <w:r>
        <w:rPr>
          <w:color w:val="auto"/>
        </w:rPr>
        <w:fldChar w:fldCharType="separate"/>
      </w:r>
      <w:r>
        <w:rPr>
          <w:rStyle w:val="20"/>
          <w:color w:val="auto"/>
        </w:rPr>
        <w:t>10.1038/s41467-023-41033-y</w:t>
      </w:r>
      <w:r>
        <w:rPr>
          <w:rStyle w:val="20"/>
          <w:color w:val="auto"/>
        </w:rPr>
        <w:fldChar w:fldCharType="end"/>
      </w:r>
      <w:r>
        <w:rPr>
          <w:rStyle w:val="20"/>
          <w:rFonts w:hint="eastAsia" w:eastAsia="宋体"/>
          <w:color w:val="auto"/>
          <w:lang w:val="en-US" w:eastAsia="zh-CN"/>
        </w:rPr>
        <w:t>.</w:t>
      </w:r>
      <w:bookmarkEnd w:id="33"/>
    </w:p>
    <w:p w14:paraId="69B5526C">
      <w:pPr>
        <w:pStyle w:val="30"/>
        <w:pageBreakBefore w:val="0"/>
        <w:widowControl/>
        <w:numPr>
          <w:ilvl w:val="0"/>
          <w:numId w:val="1"/>
        </w:numPr>
        <w:kinsoku/>
        <w:wordWrap w:val="0"/>
        <w:overflowPunct/>
        <w:topLinePunct w:val="0"/>
        <w:autoSpaceDE/>
        <w:autoSpaceDN/>
        <w:bidi w:val="0"/>
        <w:adjustRightInd/>
        <w:snapToGrid/>
        <w:spacing w:after="120" w:line="480" w:lineRule="auto"/>
        <w:ind w:left="0" w:leftChars="0" w:firstLine="0" w:firstLineChars="0"/>
        <w:jc w:val="both"/>
        <w:textAlignment w:val="auto"/>
        <w:rPr>
          <w:color w:val="auto"/>
        </w:rPr>
      </w:pPr>
      <w:bookmarkStart w:id="34" w:name="_Ref11613"/>
      <w:r>
        <w:rPr>
          <w:rFonts w:ascii="Times New Roman" w:hAnsi="Times New Roman" w:eastAsia="Times New Roman"/>
          <w:color w:val="auto"/>
        </w:rPr>
        <w:t>Gittings LM, Alsop EB, Antone J, Singer M, Whitsett TG, Sattler R, et al. Cryptic exon detection and transcriptomic changes revealed in single-nuclei RNA sequencing of C9ORF72 patients spanning the ALS-FTD spectrum. Acta Neuropathologica. 2023;146(3):433–50. doi:</w:t>
      </w:r>
      <w:r>
        <w:rPr>
          <w:color w:val="auto"/>
        </w:rPr>
        <w:fldChar w:fldCharType="begin"/>
      </w:r>
      <w:r>
        <w:rPr>
          <w:color w:val="auto"/>
        </w:rPr>
        <w:instrText xml:space="preserve"> HYPERLINK "https://doi.org/10.1007/s00401-023-02599-5" \h </w:instrText>
      </w:r>
      <w:r>
        <w:rPr>
          <w:color w:val="auto"/>
        </w:rPr>
        <w:fldChar w:fldCharType="separate"/>
      </w:r>
      <w:r>
        <w:rPr>
          <w:rStyle w:val="20"/>
          <w:color w:val="auto"/>
        </w:rPr>
        <w:t>10.1007/s00401-023-02599-5</w:t>
      </w:r>
      <w:r>
        <w:rPr>
          <w:rStyle w:val="20"/>
          <w:color w:val="auto"/>
        </w:rPr>
        <w:fldChar w:fldCharType="end"/>
      </w:r>
      <w:r>
        <w:rPr>
          <w:rStyle w:val="20"/>
          <w:rFonts w:hint="eastAsia" w:eastAsia="宋体"/>
          <w:color w:val="auto"/>
          <w:lang w:val="en-US" w:eastAsia="zh-CN"/>
        </w:rPr>
        <w:t>.</w:t>
      </w:r>
      <w:bookmarkEnd w:id="34"/>
    </w:p>
    <w:p w14:paraId="068961E6">
      <w:pPr>
        <w:pStyle w:val="30"/>
        <w:pageBreakBefore w:val="0"/>
        <w:widowControl/>
        <w:numPr>
          <w:ilvl w:val="0"/>
          <w:numId w:val="1"/>
        </w:numPr>
        <w:kinsoku/>
        <w:wordWrap w:val="0"/>
        <w:overflowPunct/>
        <w:topLinePunct w:val="0"/>
        <w:autoSpaceDE/>
        <w:autoSpaceDN/>
        <w:bidi w:val="0"/>
        <w:adjustRightInd/>
        <w:snapToGrid/>
        <w:spacing w:after="120" w:line="480" w:lineRule="auto"/>
        <w:ind w:left="0" w:leftChars="0" w:firstLine="0" w:firstLineChars="0"/>
        <w:jc w:val="both"/>
        <w:textAlignment w:val="auto"/>
        <w:rPr>
          <w:color w:val="auto"/>
        </w:rPr>
      </w:pPr>
      <w:bookmarkStart w:id="35" w:name="_Ref11619"/>
      <w:r>
        <w:rPr>
          <w:rFonts w:ascii="Times New Roman" w:hAnsi="Times New Roman" w:eastAsia="Times New Roman"/>
          <w:color w:val="auto"/>
        </w:rPr>
        <w:t>Wang H-LV, Xiang J-F, Yuan C, et al. pTDP-43 levels correlate with cell type-specific molecular alterations in the prefrontal cortex of C9orf72 ALS/FTD patients. Proceedings of the National Academy of Sciences. 2025;122(9):e2419818122. doi:</w:t>
      </w:r>
      <w:r>
        <w:rPr>
          <w:color w:val="auto"/>
        </w:rPr>
        <w:fldChar w:fldCharType="begin"/>
      </w:r>
      <w:r>
        <w:rPr>
          <w:color w:val="auto"/>
        </w:rPr>
        <w:instrText xml:space="preserve"> HYPERLINK "https://doi.org/10.1073/pnas.2419818122" \h </w:instrText>
      </w:r>
      <w:r>
        <w:rPr>
          <w:color w:val="auto"/>
        </w:rPr>
        <w:fldChar w:fldCharType="separate"/>
      </w:r>
      <w:r>
        <w:rPr>
          <w:rStyle w:val="20"/>
          <w:color w:val="auto"/>
        </w:rPr>
        <w:t>10.1073/pnas.2419818122</w:t>
      </w:r>
      <w:r>
        <w:rPr>
          <w:rStyle w:val="20"/>
          <w:color w:val="auto"/>
        </w:rPr>
        <w:fldChar w:fldCharType="end"/>
      </w:r>
      <w:r>
        <w:rPr>
          <w:rStyle w:val="20"/>
          <w:rFonts w:hint="eastAsia" w:eastAsia="宋体"/>
          <w:color w:val="auto"/>
          <w:lang w:val="en-US" w:eastAsia="zh-CN"/>
        </w:rPr>
        <w:t>.</w:t>
      </w:r>
      <w:bookmarkEnd w:id="35"/>
    </w:p>
    <w:p w14:paraId="2F9E34DF">
      <w:pPr>
        <w:pStyle w:val="30"/>
        <w:pageBreakBefore w:val="0"/>
        <w:widowControl/>
        <w:numPr>
          <w:ilvl w:val="0"/>
          <w:numId w:val="1"/>
        </w:numPr>
        <w:kinsoku/>
        <w:wordWrap w:val="0"/>
        <w:overflowPunct/>
        <w:topLinePunct w:val="0"/>
        <w:autoSpaceDE/>
        <w:autoSpaceDN/>
        <w:bidi w:val="0"/>
        <w:adjustRightInd/>
        <w:snapToGrid/>
        <w:spacing w:after="120" w:line="480" w:lineRule="auto"/>
        <w:ind w:left="0" w:leftChars="0" w:firstLine="0" w:firstLineChars="0"/>
        <w:jc w:val="both"/>
        <w:textAlignment w:val="auto"/>
        <w:rPr>
          <w:color w:val="auto"/>
        </w:rPr>
      </w:pPr>
      <w:bookmarkStart w:id="36" w:name="_Ref11783"/>
      <w:r>
        <w:rPr>
          <w:rFonts w:ascii="Times New Roman" w:hAnsi="Times New Roman" w:eastAsia="Times New Roman"/>
          <w:color w:val="auto"/>
        </w:rPr>
        <w:t>Squair JW, Gautier M, Kathe C, et al. Confronting false discoveries in single-cell differential expression. Nature Communications. 2021;12(1):5692. doi:</w:t>
      </w:r>
      <w:r>
        <w:rPr>
          <w:color w:val="auto"/>
        </w:rPr>
        <w:fldChar w:fldCharType="begin"/>
      </w:r>
      <w:r>
        <w:rPr>
          <w:color w:val="auto"/>
        </w:rPr>
        <w:instrText xml:space="preserve"> HYPERLINK "https://doi.org/10.1038/s41467-021-25960-2" \h </w:instrText>
      </w:r>
      <w:r>
        <w:rPr>
          <w:color w:val="auto"/>
        </w:rPr>
        <w:fldChar w:fldCharType="separate"/>
      </w:r>
      <w:r>
        <w:rPr>
          <w:rStyle w:val="20"/>
          <w:color w:val="auto"/>
        </w:rPr>
        <w:t>10.1038/s41467-021-25960-2</w:t>
      </w:r>
      <w:r>
        <w:rPr>
          <w:rStyle w:val="20"/>
          <w:color w:val="auto"/>
        </w:rPr>
        <w:fldChar w:fldCharType="end"/>
      </w:r>
      <w:r>
        <w:rPr>
          <w:rStyle w:val="20"/>
          <w:rFonts w:hint="eastAsia" w:eastAsia="宋体"/>
          <w:color w:val="auto"/>
          <w:lang w:val="en-US" w:eastAsia="zh-CN"/>
        </w:rPr>
        <w:t>.</w:t>
      </w:r>
      <w:bookmarkEnd w:id="36"/>
    </w:p>
    <w:p w14:paraId="5E39F37E">
      <w:pPr>
        <w:pStyle w:val="30"/>
        <w:pageBreakBefore w:val="0"/>
        <w:widowControl/>
        <w:numPr>
          <w:ilvl w:val="0"/>
          <w:numId w:val="1"/>
        </w:numPr>
        <w:kinsoku/>
        <w:wordWrap w:val="0"/>
        <w:overflowPunct/>
        <w:topLinePunct w:val="0"/>
        <w:autoSpaceDE/>
        <w:autoSpaceDN/>
        <w:bidi w:val="0"/>
        <w:adjustRightInd/>
        <w:snapToGrid/>
        <w:spacing w:after="120" w:line="480" w:lineRule="auto"/>
        <w:ind w:left="0" w:leftChars="0" w:firstLine="0" w:firstLineChars="0"/>
        <w:jc w:val="both"/>
        <w:textAlignment w:val="auto"/>
        <w:rPr>
          <w:color w:val="auto"/>
        </w:rPr>
      </w:pPr>
      <w:bookmarkStart w:id="37" w:name="_Ref11789"/>
      <w:r>
        <w:rPr>
          <w:rFonts w:ascii="Times New Roman" w:hAnsi="Times New Roman" w:eastAsia="Times New Roman"/>
          <w:color w:val="auto"/>
        </w:rPr>
        <w:t>Crowell HL, Soneson C, Germain P-L, et al. Muscat detects subpopulation-specific state transitions from multi-sample multi-condition single-cell transcriptomics data. Nature Communications. 2020;11(1):6077. doi:</w:t>
      </w:r>
      <w:r>
        <w:rPr>
          <w:color w:val="auto"/>
        </w:rPr>
        <w:fldChar w:fldCharType="begin"/>
      </w:r>
      <w:r>
        <w:rPr>
          <w:color w:val="auto"/>
        </w:rPr>
        <w:instrText xml:space="preserve"> HYPERLINK "https://doi.org/10.1038/s41467-020-19894-4" \h </w:instrText>
      </w:r>
      <w:r>
        <w:rPr>
          <w:color w:val="auto"/>
        </w:rPr>
        <w:fldChar w:fldCharType="separate"/>
      </w:r>
      <w:r>
        <w:rPr>
          <w:rStyle w:val="20"/>
          <w:color w:val="auto"/>
        </w:rPr>
        <w:t>10.1038/s41467-020-19894-4</w:t>
      </w:r>
      <w:r>
        <w:rPr>
          <w:rStyle w:val="20"/>
          <w:color w:val="auto"/>
        </w:rPr>
        <w:fldChar w:fldCharType="end"/>
      </w:r>
      <w:r>
        <w:rPr>
          <w:rStyle w:val="20"/>
          <w:rFonts w:hint="eastAsia" w:eastAsia="宋体"/>
          <w:color w:val="auto"/>
          <w:lang w:val="en-US" w:eastAsia="zh-CN"/>
        </w:rPr>
        <w:t>.</w:t>
      </w:r>
      <w:bookmarkEnd w:id="37"/>
    </w:p>
    <w:p w14:paraId="53824F1E">
      <w:pPr>
        <w:pStyle w:val="30"/>
        <w:pageBreakBefore w:val="0"/>
        <w:widowControl/>
        <w:numPr>
          <w:ilvl w:val="0"/>
          <w:numId w:val="1"/>
        </w:numPr>
        <w:kinsoku/>
        <w:wordWrap w:val="0"/>
        <w:overflowPunct/>
        <w:topLinePunct w:val="0"/>
        <w:autoSpaceDE/>
        <w:autoSpaceDN/>
        <w:bidi w:val="0"/>
        <w:adjustRightInd/>
        <w:snapToGrid/>
        <w:spacing w:after="120" w:line="480" w:lineRule="auto"/>
        <w:ind w:left="0" w:leftChars="0" w:firstLine="0" w:firstLineChars="0"/>
        <w:jc w:val="both"/>
        <w:textAlignment w:val="auto"/>
        <w:rPr>
          <w:color w:val="auto"/>
        </w:rPr>
      </w:pPr>
      <w:bookmarkStart w:id="38" w:name="_Ref15822"/>
      <w:r>
        <w:rPr>
          <w:rFonts w:ascii="Times New Roman" w:hAnsi="Times New Roman" w:eastAsia="Times New Roman"/>
          <w:color w:val="auto"/>
        </w:rPr>
        <w:t>Ruf WP, Kühlwein JK, Meier L, et al. Multi-modal dissection of cell-type specific TDP-43 pathology in the motor cortex. Nature Communications. 2026;17(1):2406. doi:</w:t>
      </w:r>
      <w:r>
        <w:rPr>
          <w:color w:val="auto"/>
        </w:rPr>
        <w:fldChar w:fldCharType="begin"/>
      </w:r>
      <w:r>
        <w:rPr>
          <w:color w:val="auto"/>
        </w:rPr>
        <w:instrText xml:space="preserve"> HYPERLINK "https://doi.org/10.1038/s41467-026-69944-6" \h </w:instrText>
      </w:r>
      <w:r>
        <w:rPr>
          <w:color w:val="auto"/>
        </w:rPr>
        <w:fldChar w:fldCharType="separate"/>
      </w:r>
      <w:r>
        <w:rPr>
          <w:rStyle w:val="20"/>
          <w:color w:val="auto"/>
        </w:rPr>
        <w:t>10.1038/s41467-026-69944-6</w:t>
      </w:r>
      <w:r>
        <w:rPr>
          <w:rStyle w:val="20"/>
          <w:color w:val="auto"/>
        </w:rPr>
        <w:fldChar w:fldCharType="end"/>
      </w:r>
      <w:r>
        <w:rPr>
          <w:rStyle w:val="20"/>
          <w:rFonts w:hint="eastAsia" w:eastAsia="宋体"/>
          <w:color w:val="auto"/>
          <w:lang w:val="en-US" w:eastAsia="zh-CN"/>
        </w:rPr>
        <w:t>.</w:t>
      </w:r>
      <w:bookmarkEnd w:id="38"/>
    </w:p>
    <w:p w14:paraId="0811B824">
      <w:pPr>
        <w:pStyle w:val="30"/>
        <w:pageBreakBefore w:val="0"/>
        <w:widowControl/>
        <w:numPr>
          <w:ilvl w:val="0"/>
          <w:numId w:val="1"/>
        </w:numPr>
        <w:kinsoku/>
        <w:wordWrap w:val="0"/>
        <w:overflowPunct/>
        <w:topLinePunct w:val="0"/>
        <w:autoSpaceDE/>
        <w:autoSpaceDN/>
        <w:bidi w:val="0"/>
        <w:adjustRightInd/>
        <w:snapToGrid/>
        <w:spacing w:after="120" w:line="480" w:lineRule="auto"/>
        <w:ind w:left="0" w:leftChars="0" w:firstLine="0" w:firstLineChars="0"/>
        <w:jc w:val="both"/>
        <w:textAlignment w:val="auto"/>
        <w:rPr>
          <w:color w:val="auto"/>
        </w:rPr>
      </w:pPr>
      <w:bookmarkStart w:id="39" w:name="_Ref25673"/>
      <w:r>
        <w:rPr>
          <w:rFonts w:ascii="Times New Roman" w:hAnsi="Times New Roman" w:eastAsia="Times New Roman"/>
          <w:color w:val="auto"/>
        </w:rPr>
        <w:t>Prudencio M, Humphrey J, Pickles S, et al. Truncated stathmin-2 is a marker of TDP-43 pathology in frontotemporal dementia. Journal of Clinical Investigation. 2020;130(11):6080–92. doi:</w:t>
      </w:r>
      <w:r>
        <w:rPr>
          <w:color w:val="auto"/>
        </w:rPr>
        <w:fldChar w:fldCharType="begin"/>
      </w:r>
      <w:r>
        <w:rPr>
          <w:color w:val="auto"/>
        </w:rPr>
        <w:instrText xml:space="preserve"> HYPERLINK "https://doi.org/10.1172/JCI139741" \h </w:instrText>
      </w:r>
      <w:r>
        <w:rPr>
          <w:color w:val="auto"/>
        </w:rPr>
        <w:fldChar w:fldCharType="separate"/>
      </w:r>
      <w:r>
        <w:rPr>
          <w:rStyle w:val="20"/>
          <w:color w:val="auto"/>
        </w:rPr>
        <w:t>10.1172/JCI139741</w:t>
      </w:r>
      <w:r>
        <w:rPr>
          <w:rStyle w:val="20"/>
          <w:color w:val="auto"/>
        </w:rPr>
        <w:fldChar w:fldCharType="end"/>
      </w:r>
      <w:r>
        <w:rPr>
          <w:rStyle w:val="20"/>
          <w:rFonts w:hint="eastAsia" w:eastAsia="宋体"/>
          <w:color w:val="auto"/>
          <w:lang w:val="en-US" w:eastAsia="zh-CN"/>
        </w:rPr>
        <w:t>.</w:t>
      </w:r>
      <w:bookmarkEnd w:id="39"/>
    </w:p>
    <w:p w14:paraId="52CE1B1D">
      <w:pPr>
        <w:pStyle w:val="30"/>
        <w:pageBreakBefore w:val="0"/>
        <w:widowControl/>
        <w:numPr>
          <w:ilvl w:val="0"/>
          <w:numId w:val="1"/>
        </w:numPr>
        <w:kinsoku/>
        <w:wordWrap w:val="0"/>
        <w:overflowPunct/>
        <w:topLinePunct w:val="0"/>
        <w:autoSpaceDE/>
        <w:autoSpaceDN/>
        <w:bidi w:val="0"/>
        <w:adjustRightInd/>
        <w:snapToGrid/>
        <w:spacing w:after="120" w:line="480" w:lineRule="auto"/>
        <w:ind w:left="0" w:leftChars="0" w:firstLine="0" w:firstLineChars="0"/>
        <w:jc w:val="both"/>
        <w:textAlignment w:val="auto"/>
        <w:rPr>
          <w:color w:val="auto"/>
        </w:rPr>
      </w:pPr>
      <w:bookmarkStart w:id="40" w:name="_Ref25716"/>
      <w:r>
        <w:rPr>
          <w:rFonts w:ascii="Times New Roman" w:hAnsi="Times New Roman" w:eastAsia="Times New Roman"/>
          <w:color w:val="auto"/>
        </w:rPr>
        <w:t>Gerrits E, Giannini LAA, Brouwer N, et al. Neurovascular dysfunction in GRN-associated frontotemporal dementia identified by single-nucleus RNA sequencing of human cerebral cortex. Nature Neuroscience. 2022;25(8):1034–48. doi:</w:t>
      </w:r>
      <w:r>
        <w:rPr>
          <w:color w:val="auto"/>
        </w:rPr>
        <w:fldChar w:fldCharType="begin"/>
      </w:r>
      <w:r>
        <w:rPr>
          <w:color w:val="auto"/>
        </w:rPr>
        <w:instrText xml:space="preserve"> HYPERLINK "https://doi.org/10.1038/s41593-022-01124-3" \h </w:instrText>
      </w:r>
      <w:r>
        <w:rPr>
          <w:color w:val="auto"/>
        </w:rPr>
        <w:fldChar w:fldCharType="separate"/>
      </w:r>
      <w:r>
        <w:rPr>
          <w:rStyle w:val="20"/>
          <w:color w:val="auto"/>
        </w:rPr>
        <w:t>10.1038/s41593-022-01124-3</w:t>
      </w:r>
      <w:r>
        <w:rPr>
          <w:rStyle w:val="20"/>
          <w:color w:val="auto"/>
        </w:rPr>
        <w:fldChar w:fldCharType="end"/>
      </w:r>
      <w:r>
        <w:rPr>
          <w:rStyle w:val="20"/>
          <w:rFonts w:hint="eastAsia" w:eastAsia="宋体"/>
          <w:color w:val="auto"/>
          <w:lang w:val="en-US" w:eastAsia="zh-CN"/>
        </w:rPr>
        <w:t>.</w:t>
      </w:r>
      <w:bookmarkEnd w:id="40"/>
    </w:p>
    <w:p w14:paraId="248A7CB9">
      <w:pPr>
        <w:pStyle w:val="30"/>
        <w:pageBreakBefore w:val="0"/>
        <w:widowControl/>
        <w:numPr>
          <w:ilvl w:val="0"/>
          <w:numId w:val="1"/>
        </w:numPr>
        <w:kinsoku/>
        <w:wordWrap w:val="0"/>
        <w:overflowPunct/>
        <w:topLinePunct w:val="0"/>
        <w:autoSpaceDE/>
        <w:autoSpaceDN/>
        <w:bidi w:val="0"/>
        <w:adjustRightInd/>
        <w:snapToGrid/>
        <w:spacing w:after="120" w:line="480" w:lineRule="auto"/>
        <w:ind w:left="0" w:leftChars="0" w:firstLine="0" w:firstLineChars="0"/>
        <w:jc w:val="both"/>
        <w:textAlignment w:val="auto"/>
        <w:rPr>
          <w:color w:val="auto"/>
        </w:rPr>
      </w:pPr>
      <w:bookmarkStart w:id="41" w:name="_Ref25797"/>
      <w:r>
        <w:rPr>
          <w:rFonts w:ascii="Times New Roman" w:hAnsi="Times New Roman" w:eastAsia="Times New Roman"/>
          <w:color w:val="auto"/>
        </w:rPr>
        <w:t>Klim JR, Williams LA, Limone F, et al. ALS-implicated protein TDP-43 sustains levels of STMN2, a mediator of motor neuron growth and repair. Nature Neuroscience. 2019;22(2):167–79. doi:</w:t>
      </w:r>
      <w:r>
        <w:rPr>
          <w:color w:val="auto"/>
        </w:rPr>
        <w:fldChar w:fldCharType="begin"/>
      </w:r>
      <w:r>
        <w:rPr>
          <w:color w:val="auto"/>
        </w:rPr>
        <w:instrText xml:space="preserve"> HYPERLINK "https://doi.org/10.1038/s41593-018-0300-4" \h </w:instrText>
      </w:r>
      <w:r>
        <w:rPr>
          <w:color w:val="auto"/>
        </w:rPr>
        <w:fldChar w:fldCharType="separate"/>
      </w:r>
      <w:r>
        <w:rPr>
          <w:rStyle w:val="20"/>
          <w:color w:val="auto"/>
        </w:rPr>
        <w:t>10.1038/s41593-018-0300-4</w:t>
      </w:r>
      <w:r>
        <w:rPr>
          <w:rStyle w:val="20"/>
          <w:color w:val="auto"/>
        </w:rPr>
        <w:fldChar w:fldCharType="end"/>
      </w:r>
      <w:r>
        <w:rPr>
          <w:rStyle w:val="20"/>
          <w:rFonts w:hint="eastAsia" w:eastAsia="宋体"/>
          <w:color w:val="auto"/>
          <w:lang w:val="en-US" w:eastAsia="zh-CN"/>
        </w:rPr>
        <w:t>.</w:t>
      </w:r>
      <w:bookmarkEnd w:id="41"/>
    </w:p>
    <w:p w14:paraId="603011CA">
      <w:pPr>
        <w:pStyle w:val="30"/>
        <w:pageBreakBefore w:val="0"/>
        <w:widowControl/>
        <w:numPr>
          <w:ilvl w:val="0"/>
          <w:numId w:val="1"/>
        </w:numPr>
        <w:kinsoku/>
        <w:wordWrap w:val="0"/>
        <w:overflowPunct/>
        <w:topLinePunct w:val="0"/>
        <w:autoSpaceDE/>
        <w:autoSpaceDN/>
        <w:bidi w:val="0"/>
        <w:adjustRightInd/>
        <w:snapToGrid/>
        <w:spacing w:after="120" w:line="480" w:lineRule="auto"/>
        <w:ind w:left="0" w:leftChars="0" w:firstLine="0" w:firstLineChars="0"/>
        <w:jc w:val="both"/>
        <w:textAlignment w:val="auto"/>
        <w:rPr>
          <w:color w:val="auto"/>
        </w:rPr>
      </w:pPr>
      <w:bookmarkStart w:id="42" w:name="_Ref25801"/>
      <w:r>
        <w:rPr>
          <w:rFonts w:ascii="Times New Roman" w:hAnsi="Times New Roman" w:eastAsia="Times New Roman"/>
          <w:color w:val="auto"/>
        </w:rPr>
        <w:t>Melamed Z, López-Erauskin J, Baughn MW, et al. Premature polyadenylation-mediated loss of stathmin-2 is a hallmark of TDP-43-dependent neurodegeneration. Nature Neuroscience. 2019;22(2):180–90. doi:</w:t>
      </w:r>
      <w:r>
        <w:rPr>
          <w:color w:val="auto"/>
        </w:rPr>
        <w:fldChar w:fldCharType="begin"/>
      </w:r>
      <w:r>
        <w:rPr>
          <w:color w:val="auto"/>
        </w:rPr>
        <w:instrText xml:space="preserve"> HYPERLINK "https://doi.org/10.1038/s41593-018-0293-z" \h </w:instrText>
      </w:r>
      <w:r>
        <w:rPr>
          <w:color w:val="auto"/>
        </w:rPr>
        <w:fldChar w:fldCharType="separate"/>
      </w:r>
      <w:r>
        <w:rPr>
          <w:rStyle w:val="20"/>
          <w:color w:val="auto"/>
        </w:rPr>
        <w:t>10.1038/s41593-018-0293-z</w:t>
      </w:r>
      <w:r>
        <w:rPr>
          <w:rStyle w:val="20"/>
          <w:color w:val="auto"/>
        </w:rPr>
        <w:fldChar w:fldCharType="end"/>
      </w:r>
      <w:r>
        <w:rPr>
          <w:rStyle w:val="20"/>
          <w:rFonts w:hint="eastAsia" w:eastAsia="宋体"/>
          <w:color w:val="auto"/>
          <w:lang w:val="en-US" w:eastAsia="zh-CN"/>
        </w:rPr>
        <w:t>.</w:t>
      </w:r>
      <w:bookmarkEnd w:id="42"/>
    </w:p>
    <w:p w14:paraId="0E881190">
      <w:pPr>
        <w:pStyle w:val="30"/>
        <w:pageBreakBefore w:val="0"/>
        <w:widowControl/>
        <w:numPr>
          <w:ilvl w:val="0"/>
          <w:numId w:val="1"/>
        </w:numPr>
        <w:kinsoku/>
        <w:wordWrap w:val="0"/>
        <w:overflowPunct/>
        <w:topLinePunct w:val="0"/>
        <w:autoSpaceDE/>
        <w:autoSpaceDN/>
        <w:bidi w:val="0"/>
        <w:adjustRightInd/>
        <w:snapToGrid/>
        <w:spacing w:after="120" w:line="480" w:lineRule="auto"/>
        <w:ind w:left="0" w:leftChars="0" w:firstLine="0" w:firstLineChars="0"/>
        <w:jc w:val="both"/>
        <w:textAlignment w:val="auto"/>
        <w:rPr>
          <w:color w:val="auto"/>
        </w:rPr>
      </w:pPr>
      <w:bookmarkStart w:id="43" w:name="_Ref18320"/>
      <w:r>
        <w:rPr>
          <w:rFonts w:ascii="Times New Roman" w:hAnsi="Times New Roman" w:eastAsia="Times New Roman"/>
          <w:color w:val="auto"/>
        </w:rPr>
        <w:t>Ma XR, Prudencio M, Koike Y, et al. TDP-43 represses cryptic exon inclusion in the FTD-ALS gene UNC13A. Nature. 2022;603(7899):124–30. doi:</w:t>
      </w:r>
      <w:r>
        <w:rPr>
          <w:color w:val="auto"/>
        </w:rPr>
        <w:fldChar w:fldCharType="begin"/>
      </w:r>
      <w:r>
        <w:rPr>
          <w:color w:val="auto"/>
        </w:rPr>
        <w:instrText xml:space="preserve"> HYPERLINK "https://doi.org/10.1038/s41586-022-04424-7" \h </w:instrText>
      </w:r>
      <w:r>
        <w:rPr>
          <w:color w:val="auto"/>
        </w:rPr>
        <w:fldChar w:fldCharType="separate"/>
      </w:r>
      <w:r>
        <w:rPr>
          <w:rStyle w:val="20"/>
          <w:color w:val="auto"/>
        </w:rPr>
        <w:t>10.1038/s41586-022-04424-7</w:t>
      </w:r>
      <w:r>
        <w:rPr>
          <w:rStyle w:val="20"/>
          <w:color w:val="auto"/>
        </w:rPr>
        <w:fldChar w:fldCharType="end"/>
      </w:r>
      <w:r>
        <w:rPr>
          <w:rStyle w:val="20"/>
          <w:rFonts w:hint="eastAsia" w:eastAsia="宋体"/>
          <w:color w:val="auto"/>
          <w:lang w:val="en-US" w:eastAsia="zh-CN"/>
        </w:rPr>
        <w:t>.</w:t>
      </w:r>
      <w:bookmarkEnd w:id="43"/>
    </w:p>
    <w:p w14:paraId="7473C4B9">
      <w:pPr>
        <w:pStyle w:val="30"/>
        <w:pageBreakBefore w:val="0"/>
        <w:widowControl/>
        <w:numPr>
          <w:ilvl w:val="0"/>
          <w:numId w:val="1"/>
        </w:numPr>
        <w:kinsoku/>
        <w:wordWrap w:val="0"/>
        <w:overflowPunct/>
        <w:topLinePunct w:val="0"/>
        <w:autoSpaceDE/>
        <w:autoSpaceDN/>
        <w:bidi w:val="0"/>
        <w:adjustRightInd/>
        <w:snapToGrid/>
        <w:spacing w:after="120" w:line="480" w:lineRule="auto"/>
        <w:ind w:left="0" w:leftChars="0" w:firstLine="0" w:firstLineChars="0"/>
        <w:jc w:val="both"/>
        <w:textAlignment w:val="auto"/>
        <w:rPr>
          <w:color w:val="auto"/>
        </w:rPr>
      </w:pPr>
      <w:bookmarkStart w:id="44" w:name="_Ref18333"/>
      <w:r>
        <w:rPr>
          <w:rFonts w:ascii="Times New Roman" w:hAnsi="Times New Roman" w:eastAsia="Times New Roman"/>
          <w:color w:val="auto"/>
        </w:rPr>
        <w:t>Brown A-L, Wilkins OG, Keuss MJ, et al. TDP-43 loss and ALS-risk SNPs drive mis-splicing and depletion of UNC13A. Nature. 2022;603(7899):131–7. doi:</w:t>
      </w:r>
      <w:r>
        <w:rPr>
          <w:color w:val="auto"/>
        </w:rPr>
        <w:fldChar w:fldCharType="begin"/>
      </w:r>
      <w:r>
        <w:rPr>
          <w:color w:val="auto"/>
        </w:rPr>
        <w:instrText xml:space="preserve"> HYPERLINK "https://doi.org/10.1038/s41586-022-04436-3" \h </w:instrText>
      </w:r>
      <w:r>
        <w:rPr>
          <w:color w:val="auto"/>
        </w:rPr>
        <w:fldChar w:fldCharType="separate"/>
      </w:r>
      <w:r>
        <w:rPr>
          <w:rStyle w:val="20"/>
          <w:color w:val="auto"/>
        </w:rPr>
        <w:t>10.1038/s41586-022-04436-3</w:t>
      </w:r>
      <w:r>
        <w:rPr>
          <w:rStyle w:val="20"/>
          <w:color w:val="auto"/>
        </w:rPr>
        <w:fldChar w:fldCharType="end"/>
      </w:r>
      <w:r>
        <w:rPr>
          <w:rStyle w:val="20"/>
          <w:rFonts w:hint="eastAsia" w:eastAsia="宋体"/>
          <w:color w:val="auto"/>
          <w:lang w:val="en-US" w:eastAsia="zh-CN"/>
        </w:rPr>
        <w:t>.</w:t>
      </w:r>
      <w:bookmarkEnd w:id="44"/>
    </w:p>
    <w:p w14:paraId="1AEBED62">
      <w:pPr>
        <w:pStyle w:val="30"/>
        <w:pageBreakBefore w:val="0"/>
        <w:widowControl/>
        <w:numPr>
          <w:ilvl w:val="0"/>
          <w:numId w:val="1"/>
        </w:numPr>
        <w:kinsoku/>
        <w:wordWrap w:val="0"/>
        <w:overflowPunct/>
        <w:topLinePunct w:val="0"/>
        <w:autoSpaceDE/>
        <w:autoSpaceDN/>
        <w:bidi w:val="0"/>
        <w:adjustRightInd/>
        <w:snapToGrid/>
        <w:spacing w:after="120" w:line="480" w:lineRule="auto"/>
        <w:ind w:left="0" w:leftChars="0" w:firstLine="0" w:firstLineChars="0"/>
        <w:jc w:val="both"/>
        <w:textAlignment w:val="auto"/>
        <w:rPr>
          <w:color w:val="auto"/>
        </w:rPr>
      </w:pPr>
      <w:bookmarkStart w:id="45" w:name="_Ref27603"/>
      <w:r>
        <w:rPr>
          <w:rFonts w:ascii="Times New Roman" w:hAnsi="Times New Roman" w:eastAsia="Times New Roman"/>
          <w:color w:val="auto"/>
        </w:rPr>
        <w:t>Bryce-Smith S, Brown AL, Chien MZYJ, Dattilo D, et al. TDP-43 loss induces cryptic polyadenylation in ALS/FTD. Nature Neuroscience. 2025;28(11):2190–200. doi:</w:t>
      </w:r>
      <w:r>
        <w:rPr>
          <w:color w:val="auto"/>
        </w:rPr>
        <w:fldChar w:fldCharType="begin"/>
      </w:r>
      <w:r>
        <w:rPr>
          <w:color w:val="auto"/>
        </w:rPr>
        <w:instrText xml:space="preserve"> HYPERLINK "https://doi.org/10.1038/s41593-025-02050-w" \h </w:instrText>
      </w:r>
      <w:r>
        <w:rPr>
          <w:color w:val="auto"/>
        </w:rPr>
        <w:fldChar w:fldCharType="separate"/>
      </w:r>
      <w:r>
        <w:rPr>
          <w:rStyle w:val="20"/>
          <w:color w:val="auto"/>
        </w:rPr>
        <w:t>10.1038/s41593-025-02050-w</w:t>
      </w:r>
      <w:r>
        <w:rPr>
          <w:rStyle w:val="20"/>
          <w:color w:val="auto"/>
        </w:rPr>
        <w:fldChar w:fldCharType="end"/>
      </w:r>
      <w:r>
        <w:rPr>
          <w:rStyle w:val="20"/>
          <w:rFonts w:hint="eastAsia" w:eastAsia="宋体"/>
          <w:color w:val="auto"/>
          <w:lang w:val="en-US" w:eastAsia="zh-CN"/>
        </w:rPr>
        <w:t>.</w:t>
      </w:r>
      <w:bookmarkEnd w:id="45"/>
    </w:p>
    <w:p w14:paraId="5781AA66">
      <w:pPr>
        <w:pStyle w:val="30"/>
        <w:pageBreakBefore w:val="0"/>
        <w:widowControl/>
        <w:numPr>
          <w:ilvl w:val="0"/>
          <w:numId w:val="1"/>
        </w:numPr>
        <w:kinsoku/>
        <w:wordWrap w:val="0"/>
        <w:overflowPunct/>
        <w:topLinePunct w:val="0"/>
        <w:autoSpaceDE/>
        <w:autoSpaceDN/>
        <w:bidi w:val="0"/>
        <w:adjustRightInd/>
        <w:snapToGrid/>
        <w:spacing w:after="120" w:line="480" w:lineRule="auto"/>
        <w:ind w:left="0" w:leftChars="0" w:firstLine="0" w:firstLineChars="0"/>
        <w:jc w:val="both"/>
        <w:textAlignment w:val="auto"/>
        <w:rPr>
          <w:color w:val="auto"/>
        </w:rPr>
      </w:pPr>
      <w:bookmarkStart w:id="46" w:name="_Ref27649"/>
      <w:r>
        <w:rPr>
          <w:rFonts w:ascii="Times New Roman" w:hAnsi="Times New Roman" w:eastAsia="Times New Roman"/>
          <w:color w:val="auto"/>
        </w:rPr>
        <w:t>Harrow J, Frankish A, Gonzalez JM, et al. GENCODE: The reference human genome annotation for The ENCODE Project. Genome Research. 2012;22(9):1760–74. doi:</w:t>
      </w:r>
      <w:r>
        <w:rPr>
          <w:color w:val="auto"/>
        </w:rPr>
        <w:fldChar w:fldCharType="begin"/>
      </w:r>
      <w:r>
        <w:rPr>
          <w:color w:val="auto"/>
        </w:rPr>
        <w:instrText xml:space="preserve"> HYPERLINK "https://doi.org/10.1101/gr.135350.111" \h </w:instrText>
      </w:r>
      <w:r>
        <w:rPr>
          <w:color w:val="auto"/>
        </w:rPr>
        <w:fldChar w:fldCharType="separate"/>
      </w:r>
      <w:r>
        <w:rPr>
          <w:rStyle w:val="20"/>
          <w:color w:val="auto"/>
        </w:rPr>
        <w:t>10.1101/gr.135350.111</w:t>
      </w:r>
      <w:r>
        <w:rPr>
          <w:rStyle w:val="20"/>
          <w:color w:val="auto"/>
        </w:rPr>
        <w:fldChar w:fldCharType="end"/>
      </w:r>
      <w:r>
        <w:rPr>
          <w:rStyle w:val="20"/>
          <w:rFonts w:hint="eastAsia" w:eastAsia="宋体"/>
          <w:color w:val="auto"/>
          <w:lang w:val="en-US" w:eastAsia="zh-CN"/>
        </w:rPr>
        <w:t>.</w:t>
      </w:r>
      <w:bookmarkEnd w:id="46"/>
    </w:p>
    <w:p w14:paraId="76A8EE26">
      <w:pPr>
        <w:pStyle w:val="30"/>
        <w:pageBreakBefore w:val="0"/>
        <w:widowControl/>
        <w:numPr>
          <w:ilvl w:val="0"/>
          <w:numId w:val="1"/>
        </w:numPr>
        <w:kinsoku/>
        <w:wordWrap w:val="0"/>
        <w:overflowPunct/>
        <w:topLinePunct w:val="0"/>
        <w:autoSpaceDE/>
        <w:autoSpaceDN/>
        <w:bidi w:val="0"/>
        <w:adjustRightInd/>
        <w:snapToGrid/>
        <w:spacing w:after="120" w:line="480" w:lineRule="auto"/>
        <w:ind w:left="0" w:leftChars="0" w:firstLine="0" w:firstLineChars="0"/>
        <w:jc w:val="both"/>
        <w:textAlignment w:val="auto"/>
        <w:rPr>
          <w:color w:val="auto"/>
        </w:rPr>
      </w:pPr>
      <w:bookmarkStart w:id="47" w:name="_Ref27793"/>
      <w:r>
        <w:rPr>
          <w:rFonts w:ascii="Times New Roman" w:hAnsi="Times New Roman" w:eastAsia="Times New Roman"/>
          <w:color w:val="auto"/>
        </w:rPr>
        <w:t>Leeuw CA de, Mooij JM, Heskes T, Posthuma D. MAGMA: Generalized gene-set analysis of GWAS data. PLoS Computational Biology. 2015;11(4):e1004219. doi:</w:t>
      </w:r>
      <w:r>
        <w:rPr>
          <w:color w:val="auto"/>
        </w:rPr>
        <w:fldChar w:fldCharType="begin"/>
      </w:r>
      <w:r>
        <w:rPr>
          <w:color w:val="auto"/>
        </w:rPr>
        <w:instrText xml:space="preserve"> HYPERLINK "https://doi.org/10.1371/journal.pcbi.1004219" \h </w:instrText>
      </w:r>
      <w:r>
        <w:rPr>
          <w:color w:val="auto"/>
        </w:rPr>
        <w:fldChar w:fldCharType="separate"/>
      </w:r>
      <w:r>
        <w:rPr>
          <w:rStyle w:val="20"/>
          <w:color w:val="auto"/>
        </w:rPr>
        <w:t>10.1371/journal.pcbi.1004219</w:t>
      </w:r>
      <w:r>
        <w:rPr>
          <w:rStyle w:val="20"/>
          <w:color w:val="auto"/>
        </w:rPr>
        <w:fldChar w:fldCharType="end"/>
      </w:r>
      <w:r>
        <w:rPr>
          <w:rStyle w:val="20"/>
          <w:rFonts w:hint="eastAsia" w:eastAsia="宋体"/>
          <w:color w:val="auto"/>
          <w:lang w:val="en-US" w:eastAsia="zh-CN"/>
        </w:rPr>
        <w:t>.</w:t>
      </w:r>
      <w:bookmarkEnd w:id="47"/>
    </w:p>
    <w:p w14:paraId="05528FB1">
      <w:pPr>
        <w:pStyle w:val="30"/>
        <w:pageBreakBefore w:val="0"/>
        <w:widowControl/>
        <w:numPr>
          <w:ilvl w:val="0"/>
          <w:numId w:val="1"/>
        </w:numPr>
        <w:kinsoku/>
        <w:wordWrap w:val="0"/>
        <w:overflowPunct/>
        <w:topLinePunct w:val="0"/>
        <w:autoSpaceDE/>
        <w:autoSpaceDN/>
        <w:bidi w:val="0"/>
        <w:adjustRightInd/>
        <w:snapToGrid/>
        <w:spacing w:after="120" w:line="480" w:lineRule="auto"/>
        <w:ind w:left="0" w:leftChars="0" w:firstLine="0" w:firstLineChars="0"/>
        <w:jc w:val="both"/>
        <w:textAlignment w:val="auto"/>
        <w:rPr>
          <w:color w:val="auto"/>
        </w:rPr>
      </w:pPr>
      <w:bookmarkStart w:id="48" w:name="_Ref27842"/>
      <w:r>
        <w:rPr>
          <w:rFonts w:ascii="Times New Roman" w:hAnsi="Times New Roman" w:eastAsia="Times New Roman"/>
          <w:color w:val="auto"/>
        </w:rPr>
        <w:t>Rheenen W van, Shatunov A, Dekker AM, et al. Common and rare variant association analyses in amyotrophic lateral sclerosis identify 15 risk loci with distinct genetic architectures and neuron-specific biology. Nature Genetics. 2022;54(1):16–26. doi:</w:t>
      </w:r>
      <w:r>
        <w:rPr>
          <w:color w:val="auto"/>
        </w:rPr>
        <w:fldChar w:fldCharType="begin"/>
      </w:r>
      <w:r>
        <w:rPr>
          <w:color w:val="auto"/>
        </w:rPr>
        <w:instrText xml:space="preserve"> HYPERLINK "https://doi.org/10.1038/s41588-021-00973-1" \h </w:instrText>
      </w:r>
      <w:r>
        <w:rPr>
          <w:color w:val="auto"/>
        </w:rPr>
        <w:fldChar w:fldCharType="separate"/>
      </w:r>
      <w:r>
        <w:rPr>
          <w:rStyle w:val="20"/>
          <w:color w:val="auto"/>
        </w:rPr>
        <w:t>10.1038/s41588-021-00973-1</w:t>
      </w:r>
      <w:r>
        <w:rPr>
          <w:rStyle w:val="20"/>
          <w:color w:val="auto"/>
        </w:rPr>
        <w:fldChar w:fldCharType="end"/>
      </w:r>
      <w:r>
        <w:rPr>
          <w:rStyle w:val="20"/>
          <w:rFonts w:hint="eastAsia" w:eastAsia="宋体"/>
          <w:color w:val="auto"/>
          <w:lang w:val="en-US" w:eastAsia="zh-CN"/>
        </w:rPr>
        <w:t>.</w:t>
      </w:r>
      <w:bookmarkEnd w:id="48"/>
    </w:p>
    <w:p w14:paraId="4A10E8C4">
      <w:pPr>
        <w:pStyle w:val="30"/>
        <w:pageBreakBefore w:val="0"/>
        <w:widowControl/>
        <w:numPr>
          <w:ilvl w:val="0"/>
          <w:numId w:val="1"/>
        </w:numPr>
        <w:kinsoku/>
        <w:wordWrap w:val="0"/>
        <w:overflowPunct/>
        <w:topLinePunct w:val="0"/>
        <w:autoSpaceDE/>
        <w:autoSpaceDN/>
        <w:bidi w:val="0"/>
        <w:adjustRightInd/>
        <w:snapToGrid/>
        <w:spacing w:after="120" w:line="480" w:lineRule="auto"/>
        <w:ind w:left="0" w:leftChars="0" w:firstLine="0" w:firstLineChars="0"/>
        <w:jc w:val="both"/>
        <w:textAlignment w:val="auto"/>
        <w:rPr>
          <w:color w:val="auto"/>
        </w:rPr>
      </w:pPr>
      <w:bookmarkStart w:id="49" w:name="_Ref27881"/>
      <w:r>
        <w:rPr>
          <w:rFonts w:ascii="Times New Roman" w:hAnsi="Times New Roman" w:eastAsia="Times New Roman"/>
          <w:color w:val="auto"/>
        </w:rPr>
        <w:t>Auton A, Brooks LD, Durbin RM, et al. A global reference for human genetic variation. Nature. 2015;526(7571):68–74. doi:</w:t>
      </w:r>
      <w:r>
        <w:rPr>
          <w:color w:val="auto"/>
        </w:rPr>
        <w:fldChar w:fldCharType="begin"/>
      </w:r>
      <w:r>
        <w:rPr>
          <w:color w:val="auto"/>
        </w:rPr>
        <w:instrText xml:space="preserve"> HYPERLINK "https://doi.org/10.1038/nature15393" \h </w:instrText>
      </w:r>
      <w:r>
        <w:rPr>
          <w:color w:val="auto"/>
        </w:rPr>
        <w:fldChar w:fldCharType="separate"/>
      </w:r>
      <w:r>
        <w:rPr>
          <w:rStyle w:val="20"/>
          <w:color w:val="auto"/>
        </w:rPr>
        <w:t>10.1038/nature15393</w:t>
      </w:r>
      <w:r>
        <w:rPr>
          <w:rStyle w:val="20"/>
          <w:color w:val="auto"/>
        </w:rPr>
        <w:fldChar w:fldCharType="end"/>
      </w:r>
      <w:r>
        <w:rPr>
          <w:rStyle w:val="20"/>
          <w:rFonts w:hint="eastAsia" w:eastAsia="宋体"/>
          <w:color w:val="auto"/>
          <w:lang w:val="en-US" w:eastAsia="zh-CN"/>
        </w:rPr>
        <w:t>.</w:t>
      </w:r>
      <w:bookmarkEnd w:id="49"/>
    </w:p>
    <w:sectPr>
      <w:footerReference r:id="rId5" w:type="default"/>
      <w:footnotePr>
        <w:numRestart w:val="eachSect"/>
      </w:footnotePr>
      <w:pgMar w:top="1440" w:right="1440" w:bottom="1440" w:left="1440" w:header="720" w:footer="720" w:gutter="0"/>
      <w:lnNumType w:countBy="0" w:start="1" w:distance="360" w:restart="continuous"/>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Aptos Display">
    <w:altName w:val="Segoe UI Variable Display"/>
    <w:panose1 w:val="020B0004020202020204"/>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CF19C8">
    <w:pPr>
      <w:jc w:val="center"/>
    </w:pPr>
    <w:r>
      <w:rPr>
        <w:rFonts w:ascii="Times New Roman" w:hAnsi="Times New Roman"/>
        <w:sz w:val="20"/>
      </w:rP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480" w:lineRule="auto"/>
      </w:pPr>
      <w:r>
        <w:separator/>
      </w:r>
    </w:p>
  </w:footnote>
  <w:footnote w:type="continuationSeparator" w:id="1">
    <w:p>
      <w:pPr>
        <w:spacing w:before="0" w:after="0" w:line="48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A99A072"/>
    <w:multiLevelType w:val="singleLevel"/>
    <w:tmpl w:val="3A99A072"/>
    <w:lvl w:ilvl="0" w:tentative="0">
      <w:start w:val="1"/>
      <w:numFmt w:val="decimal"/>
      <w:suff w:val="space"/>
      <w:lvlText w:val="[%1]"/>
      <w:lvlJc w:val="left"/>
      <w:pPr>
        <w:ind w:left="0" w:firstLine="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endnotePr>
    <w:endnote w:id="0"/>
    <w:endnote w:id="1"/>
  </w:endnotePr>
  <w:compat>
    <w:doNotExpandShiftReturn/>
    <w:doNotWrapTextWithPunct/>
    <w:doNotUseEastAsianBreakRules/>
    <w:useFELayout/>
    <w:splitPgBreakAndParaMark/>
    <w:compatSetting w:name="compatibilityMode" w:uri="http://schemas.microsoft.com/office/word" w:val="12"/>
  </w:compat>
  <w:rsids>
    <w:rsidRoot w:val="00000000"/>
    <w:rsid w:val="012F548E"/>
    <w:rsid w:val="01FB6E3F"/>
    <w:rsid w:val="07F817E1"/>
    <w:rsid w:val="1AED2CFB"/>
    <w:rsid w:val="21BE719F"/>
    <w:rsid w:val="25245448"/>
    <w:rsid w:val="285D69BF"/>
    <w:rsid w:val="286B2CA4"/>
    <w:rsid w:val="358D4A67"/>
    <w:rsid w:val="365D6B2F"/>
    <w:rsid w:val="45F34DBA"/>
    <w:rsid w:val="48E924A4"/>
    <w:rsid w:val="49C56A6D"/>
    <w:rsid w:val="4CAE1A3B"/>
    <w:rsid w:val="4DBB438C"/>
    <w:rsid w:val="50AC43ED"/>
    <w:rsid w:val="653B3C30"/>
    <w:rsid w:val="73CD639B"/>
    <w:rsid w:val="76BD6253"/>
    <w:rsid w:val="77040325"/>
    <w:rsid w:val="7B615D46"/>
    <w:rsid w:val="7D42395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480" w:lineRule="auto"/>
    </w:pPr>
    <w:rPr>
      <w:rFonts w:ascii="Times New Roman" w:hAnsi="Times New Roman" w:eastAsia="Times New Roman" w:cstheme="minorBidi"/>
      <w:sz w:val="24"/>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b/>
      <w:color w:val="0F4761" w:themeColor="accent1" w:themeShade="BF"/>
      <w:sz w:val="32"/>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b/>
      <w:color w:val="0F4761" w:themeColor="accent1" w:themeShade="BF"/>
      <w:sz w:val="28"/>
      <w:szCs w:val="32"/>
    </w:rPr>
  </w:style>
  <w:style w:type="paragraph" w:styleId="5">
    <w:name w:val="heading 3"/>
    <w:basedOn w:val="1"/>
    <w:next w:val="3"/>
    <w:link w:val="33"/>
    <w:semiHidden/>
    <w:unhideWhenUsed/>
    <w:qFormat/>
    <w:uiPriority w:val="9"/>
    <w:pPr>
      <w:keepNext/>
      <w:keepLines/>
      <w:spacing w:before="160" w:after="80"/>
      <w:outlineLvl w:val="2"/>
    </w:pPr>
    <w:rPr>
      <w:rFonts w:ascii="Times New Roman" w:hAnsi="Times New Roman" w:eastAsiaTheme="majorEastAsia" w:cstheme="majorBidi"/>
      <w:b/>
      <w:color w:val="0F4761" w:themeColor="accent1" w:themeShade="BF"/>
      <w:sz w:val="24"/>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20" w:line="480" w:lineRule="auto"/>
    </w:pPr>
    <w:rPr>
      <w:rFonts w:ascii="Times New Roman" w:hAnsi="Times New Roman" w:eastAsia="Times New Roman"/>
      <w:sz w:val="24"/>
    </w:rPr>
  </w:style>
  <w:style w:type="paragraph" w:styleId="12">
    <w:name w:val="caption"/>
    <w:basedOn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 w:val="24"/>
      <w:szCs w:val="24"/>
    </w:rPr>
  </w:style>
  <w:style w:type="paragraph" w:styleId="15">
    <w:name w:val="Title"/>
    <w:basedOn w:val="1"/>
    <w:next w:val="3"/>
    <w:link w:val="25"/>
    <w:qFormat/>
    <w:uiPriority w:val="10"/>
    <w:pPr>
      <w:spacing w:after="80" w:line="240" w:lineRule="auto"/>
      <w:contextualSpacing/>
      <w:jc w:val="center"/>
    </w:pPr>
    <w:rPr>
      <w:rFonts w:asciiTheme="majorHAnsi" w:hAnsiTheme="majorHAnsi" w:eastAsiaTheme="majorEastAsia" w:cstheme="majorBidi"/>
      <w:b/>
      <w:sz w:val="32"/>
      <w:szCs w:val="56"/>
    </w:rPr>
  </w:style>
  <w:style w:type="paragraph" w:styleId="16">
    <w:name w:val="Subtitle"/>
    <w:basedOn w:val="15"/>
    <w:next w:val="3"/>
    <w:link w:val="26"/>
    <w:qFormat/>
    <w:uiPriority w:val="11"/>
    <w:rPr>
      <w:rFonts w:eastAsiaTheme="majorEastAsia" w:cstheme="majorBidi"/>
      <w:spacing w:val="15"/>
      <w:sz w:val="28"/>
      <w:szCs w:val="28"/>
    </w:rPr>
  </w:style>
  <w:style w:type="paragraph" w:styleId="17">
    <w:name w:val="footnote text"/>
    <w:basedOn w:val="1"/>
    <w:unhideWhenUsed/>
    <w:qFormat/>
    <w:uiPriority w:val="9"/>
  </w:style>
  <w:style w:type="character" w:styleId="20">
    <w:name w:val="Hyperlink"/>
    <w:basedOn w:val="21"/>
    <w:qFormat/>
    <w:uiPriority w:val="0"/>
    <w:rPr>
      <w:color w:val="156082" w:themeColor="accent1"/>
    </w:rPr>
  </w:style>
  <w:style w:type="character" w:customStyle="1" w:styleId="21">
    <w:name w:val="Body Text Char"/>
    <w:basedOn w:val="19"/>
    <w:link w:val="3"/>
    <w:qFormat/>
    <w:uiPriority w:val="0"/>
  </w:style>
  <w:style w:type="character" w:styleId="22">
    <w:name w:val="footnote reference"/>
    <w:basedOn w:val="21"/>
    <w:qFormat/>
    <w:uiPriority w:val="0"/>
    <w:rPr>
      <w:vertAlign w:val="superscript"/>
    </w:rPr>
  </w:style>
  <w:style w:type="paragraph" w:customStyle="1" w:styleId="23">
    <w:name w:val="First Paragraph"/>
    <w:basedOn w:val="3"/>
    <w:next w:val="3"/>
    <w:qFormat/>
    <w:uiPriority w:val="0"/>
    <w:pPr>
      <w:spacing w:after="120" w:line="480" w:lineRule="auto"/>
    </w:pPr>
    <w:rPr>
      <w:rFonts w:ascii="Times New Roman" w:hAnsi="Times New Roman" w:eastAsia="Times New Roman"/>
      <w:sz w:val="24"/>
    </w:rPr>
  </w:style>
  <w:style w:type="paragraph" w:customStyle="1" w:styleId="24">
    <w:name w:val="Compact"/>
    <w:basedOn w:val="3"/>
    <w:qFormat/>
    <w:uiPriority w:val="0"/>
    <w:pPr>
      <w:spacing w:before="36" w:after="36"/>
    </w:pPr>
  </w:style>
  <w:style w:type="character" w:customStyle="1" w:styleId="25">
    <w:name w:val="Title Char"/>
    <w:basedOn w:val="19"/>
    <w:link w:val="15"/>
    <w:qFormat/>
    <w:uiPriority w:val="10"/>
    <w:rPr>
      <w:rFonts w:asciiTheme="majorHAnsi" w:hAnsiTheme="majorHAnsi" w:eastAsiaTheme="majorEastAsia" w:cstheme="majorBidi"/>
      <w:sz w:val="56"/>
      <w:szCs w:val="56"/>
    </w:rPr>
  </w:style>
  <w:style w:type="character" w:customStyle="1" w:styleId="26">
    <w:name w:val="Subtitle Char"/>
    <w:basedOn w:val="19"/>
    <w:link w:val="16"/>
    <w:qFormat/>
    <w:uiPriority w:val="11"/>
    <w:rPr>
      <w:rFonts w:eastAsiaTheme="majorEastAsia" w:cstheme="majorBidi"/>
      <w:color w:val="585858" w:themeColor="text1" w:themeTint="A6"/>
      <w:spacing w:val="15"/>
      <w:sz w:val="28"/>
      <w:szCs w:val="28"/>
    </w:rPr>
  </w:style>
  <w:style w:type="paragraph" w:customStyle="1" w:styleId="27">
    <w:name w:val="Author"/>
    <w:basedOn w:val="15"/>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9"/>
    <w:link w:val="4"/>
    <w:semiHidden/>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9"/>
    <w:link w:val="5"/>
    <w:semiHidden/>
    <w:uiPriority w:val="9"/>
    <w:rPr>
      <w:rFonts w:eastAsiaTheme="majorEastAsia" w:cstheme="majorBidi"/>
      <w:color w:val="0F4761" w:themeColor="accent1" w:themeShade="BF"/>
      <w:sz w:val="28"/>
      <w:szCs w:val="28"/>
    </w:rPr>
  </w:style>
  <w:style w:type="character" w:customStyle="1" w:styleId="34">
    <w:name w:val="Heading 4 Char"/>
    <w:basedOn w:val="19"/>
    <w:link w:val="6"/>
    <w:semiHidden/>
    <w:uiPriority w:val="9"/>
    <w:rPr>
      <w:rFonts w:eastAsiaTheme="majorEastAsia" w:cstheme="majorBidi"/>
      <w:i/>
      <w:iCs/>
      <w:color w:val="0F4761" w:themeColor="accent1" w:themeShade="BF"/>
    </w:rPr>
  </w:style>
  <w:style w:type="character" w:customStyle="1" w:styleId="35">
    <w:name w:val="Heading 5 Char"/>
    <w:basedOn w:val="19"/>
    <w:link w:val="7"/>
    <w:semiHidden/>
    <w:uiPriority w:val="9"/>
    <w:rPr>
      <w:rFonts w:eastAsiaTheme="majorEastAsia" w:cstheme="majorBidi"/>
      <w:color w:val="0F4761" w:themeColor="accent1" w:themeShade="BF"/>
    </w:rPr>
  </w:style>
  <w:style w:type="character" w:customStyle="1" w:styleId="36">
    <w:name w:val="Heading 6 Char"/>
    <w:basedOn w:val="19"/>
    <w:link w:val="8"/>
    <w:semiHidden/>
    <w:qFormat/>
    <w:uiPriority w:val="9"/>
    <w:rPr>
      <w:rFonts w:eastAsiaTheme="majorEastAsia" w:cstheme="majorBidi"/>
      <w:i/>
      <w:iCs/>
      <w:color w:val="585858" w:themeColor="text1" w:themeTint="A6"/>
    </w:rPr>
  </w:style>
  <w:style w:type="character" w:customStyle="1" w:styleId="37">
    <w:name w:val="Heading 7 Char"/>
    <w:basedOn w:val="19"/>
    <w:link w:val="9"/>
    <w:semiHidden/>
    <w:uiPriority w:val="9"/>
    <w:rPr>
      <w:rFonts w:eastAsiaTheme="majorEastAsia" w:cstheme="majorBidi"/>
      <w:color w:val="585858" w:themeColor="text1" w:themeTint="A6"/>
    </w:rPr>
  </w:style>
  <w:style w:type="character" w:customStyle="1" w:styleId="38">
    <w:name w:val="Heading 8 Char"/>
    <w:basedOn w:val="19"/>
    <w:link w:val="10"/>
    <w:semiHidden/>
    <w:qFormat/>
    <w:uiPriority w:val="9"/>
    <w:rPr>
      <w:rFonts w:eastAsiaTheme="majorEastAsia" w:cstheme="majorBidi"/>
      <w:i/>
      <w:iCs/>
      <w:color w:val="262626" w:themeColor="text1" w:themeTint="D8"/>
    </w:rPr>
  </w:style>
  <w:style w:type="character" w:customStyle="1" w:styleId="39">
    <w:name w:val="Heading 9 Char"/>
    <w:basedOn w:val="19"/>
    <w:link w:val="11"/>
    <w:semiHidden/>
    <w:qFormat/>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uiPriority w:val="0"/>
    <w:pPr>
      <w:keepNext/>
      <w:keepLines/>
      <w:spacing w:after="0"/>
    </w:pPr>
    <w:rPr>
      <w:b/>
    </w:rPr>
  </w:style>
  <w:style w:type="paragraph" w:customStyle="1" w:styleId="43">
    <w:name w:val="Definition"/>
    <w:basedOn w:val="1"/>
    <w:uiPriority w:val="0"/>
  </w:style>
  <w:style w:type="paragraph" w:customStyle="1" w:styleId="44">
    <w:name w:val="Table Caption"/>
    <w:basedOn w:val="12"/>
    <w:uiPriority w:val="0"/>
    <w:pPr>
      <w:keepNext/>
    </w:pPr>
  </w:style>
  <w:style w:type="paragraph" w:customStyle="1" w:styleId="45">
    <w:name w:val="Image Caption"/>
    <w:basedOn w:val="12"/>
    <w:qFormat/>
    <w:uiPriority w:val="0"/>
  </w:style>
  <w:style w:type="paragraph" w:customStyle="1" w:styleId="46">
    <w:name w:val="Figure"/>
    <w:basedOn w:val="1"/>
    <w:uiPriority w:val="0"/>
  </w:style>
  <w:style w:type="paragraph" w:customStyle="1" w:styleId="47">
    <w:name w:val="Captioned Figure"/>
    <w:basedOn w:val="46"/>
    <w:qFormat/>
    <w:uiPriority w:val="0"/>
    <w:pPr>
      <w:keepNext/>
    </w:pPr>
  </w:style>
  <w:style w:type="character" w:customStyle="1" w:styleId="48">
    <w:name w:val="Verbatim Char"/>
    <w:basedOn w:val="21"/>
    <w:link w:val="49"/>
    <w:qFormat/>
    <w:uiPriority w:val="0"/>
    <w:rPr>
      <w:rFonts w:ascii="Consolas" w:hAnsi="Consolas"/>
      <w:sz w:val="22"/>
    </w:rPr>
  </w:style>
  <w:style w:type="paragraph" w:customStyle="1" w:styleId="49">
    <w:name w:val="Source Code"/>
    <w:basedOn w:val="1"/>
    <w:link w:val="48"/>
    <w:qFormat/>
    <w:uiPriority w:val="0"/>
    <w:pPr>
      <w:wordWrap w:val="0"/>
    </w:pPr>
  </w:style>
  <w:style w:type="character" w:customStyle="1" w:styleId="50">
    <w:name w:val="Section Number"/>
    <w:basedOn w:val="21"/>
    <w:qFormat/>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b w:val="0"/>
      <w:color w:val="0F4761" w:themeColor="accent1" w:themeShade="BF"/>
    </w:rPr>
  </w:style>
  <w:style w:type="character" w:customStyle="1" w:styleId="52">
    <w:name w:val="KeywordTok"/>
    <w:basedOn w:val="48"/>
    <w:qFormat/>
    <w:uiPriority w:val="0"/>
    <w:rPr>
      <w:b/>
      <w:color w:val="007020"/>
    </w:rPr>
  </w:style>
  <w:style w:type="character" w:customStyle="1" w:styleId="53">
    <w:name w:val="DataTypeTok"/>
    <w:basedOn w:val="48"/>
    <w:qFormat/>
    <w:uiPriority w:val="0"/>
    <w:rPr>
      <w:color w:val="902000"/>
    </w:rPr>
  </w:style>
  <w:style w:type="character" w:customStyle="1" w:styleId="54">
    <w:name w:val="DecValTok"/>
    <w:basedOn w:val="48"/>
    <w:qFormat/>
    <w:uiPriority w:val="0"/>
    <w:rPr>
      <w:color w:val="40A070"/>
    </w:rPr>
  </w:style>
  <w:style w:type="character" w:customStyle="1" w:styleId="55">
    <w:name w:val="BaseNTok"/>
    <w:basedOn w:val="48"/>
    <w:qFormat/>
    <w:uiPriority w:val="0"/>
    <w:rPr>
      <w:color w:val="40A070"/>
    </w:rPr>
  </w:style>
  <w:style w:type="character" w:customStyle="1" w:styleId="56">
    <w:name w:val="FloatTok"/>
    <w:basedOn w:val="48"/>
    <w:qFormat/>
    <w:uiPriority w:val="0"/>
    <w:rPr>
      <w:color w:val="40A070"/>
    </w:rPr>
  </w:style>
  <w:style w:type="character" w:customStyle="1" w:styleId="57">
    <w:name w:val="ConstantTok"/>
    <w:basedOn w:val="48"/>
    <w:qFormat/>
    <w:uiPriority w:val="0"/>
    <w:rPr>
      <w:color w:val="880000"/>
    </w:rPr>
  </w:style>
  <w:style w:type="character" w:customStyle="1" w:styleId="58">
    <w:name w:val="CharTok"/>
    <w:basedOn w:val="48"/>
    <w:qFormat/>
    <w:uiPriority w:val="0"/>
    <w:rPr>
      <w:color w:val="4070A0"/>
    </w:rPr>
  </w:style>
  <w:style w:type="character" w:customStyle="1" w:styleId="59">
    <w:name w:val="SpecialCharTok"/>
    <w:basedOn w:val="48"/>
    <w:qFormat/>
    <w:uiPriority w:val="0"/>
    <w:rPr>
      <w:color w:val="4070A0"/>
    </w:rPr>
  </w:style>
  <w:style w:type="character" w:customStyle="1" w:styleId="60">
    <w:name w:val="StringTok"/>
    <w:basedOn w:val="48"/>
    <w:qFormat/>
    <w:uiPriority w:val="0"/>
    <w:rPr>
      <w:color w:val="4070A0"/>
    </w:rPr>
  </w:style>
  <w:style w:type="character" w:customStyle="1" w:styleId="61">
    <w:name w:val="VerbatimStringTok"/>
    <w:basedOn w:val="48"/>
    <w:qFormat/>
    <w:uiPriority w:val="0"/>
    <w:rPr>
      <w:color w:val="4070A0"/>
    </w:rPr>
  </w:style>
  <w:style w:type="character" w:customStyle="1" w:styleId="62">
    <w:name w:val="SpecialStringTok"/>
    <w:basedOn w:val="48"/>
    <w:qFormat/>
    <w:uiPriority w:val="0"/>
    <w:rPr>
      <w:color w:val="BB6688"/>
    </w:rPr>
  </w:style>
  <w:style w:type="character" w:customStyle="1" w:styleId="63">
    <w:name w:val="ImportTok"/>
    <w:basedOn w:val="48"/>
    <w:qFormat/>
    <w:uiPriority w:val="0"/>
    <w:rPr>
      <w:b/>
      <w:color w:val="008000"/>
    </w:rPr>
  </w:style>
  <w:style w:type="character" w:customStyle="1" w:styleId="64">
    <w:name w:val="CommentTok"/>
    <w:basedOn w:val="48"/>
    <w:qFormat/>
    <w:uiPriority w:val="0"/>
    <w:rPr>
      <w:i/>
      <w:color w:val="60A0B0"/>
    </w:rPr>
  </w:style>
  <w:style w:type="character" w:customStyle="1" w:styleId="65">
    <w:name w:val="DocumentationTok"/>
    <w:basedOn w:val="48"/>
    <w:qFormat/>
    <w:uiPriority w:val="0"/>
    <w:rPr>
      <w:i/>
      <w:color w:val="BA2121"/>
    </w:rPr>
  </w:style>
  <w:style w:type="character" w:customStyle="1" w:styleId="66">
    <w:name w:val="AnnotationTok"/>
    <w:basedOn w:val="48"/>
    <w:qFormat/>
    <w:uiPriority w:val="0"/>
    <w:rPr>
      <w:b/>
      <w:i/>
      <w:color w:val="60A0B0"/>
    </w:rPr>
  </w:style>
  <w:style w:type="character" w:customStyle="1" w:styleId="67">
    <w:name w:val="CommentVarTok"/>
    <w:basedOn w:val="48"/>
    <w:qFormat/>
    <w:uiPriority w:val="0"/>
    <w:rPr>
      <w:b/>
      <w:i/>
      <w:color w:val="60A0B0"/>
    </w:rPr>
  </w:style>
  <w:style w:type="character" w:customStyle="1" w:styleId="68">
    <w:name w:val="OtherTok"/>
    <w:basedOn w:val="48"/>
    <w:qFormat/>
    <w:uiPriority w:val="0"/>
    <w:rPr>
      <w:color w:val="007020"/>
    </w:rPr>
  </w:style>
  <w:style w:type="character" w:customStyle="1" w:styleId="69">
    <w:name w:val="FunctionTok"/>
    <w:basedOn w:val="48"/>
    <w:qFormat/>
    <w:uiPriority w:val="0"/>
    <w:rPr>
      <w:color w:val="06287E"/>
    </w:rPr>
  </w:style>
  <w:style w:type="character" w:customStyle="1" w:styleId="70">
    <w:name w:val="VariableTok"/>
    <w:basedOn w:val="48"/>
    <w:qFormat/>
    <w:uiPriority w:val="0"/>
    <w:rPr>
      <w:color w:val="19177C"/>
    </w:rPr>
  </w:style>
  <w:style w:type="character" w:customStyle="1" w:styleId="71">
    <w:name w:val="ControlFlowTok"/>
    <w:basedOn w:val="48"/>
    <w:qFormat/>
    <w:uiPriority w:val="0"/>
    <w:rPr>
      <w:b/>
      <w:color w:val="007020"/>
    </w:rPr>
  </w:style>
  <w:style w:type="character" w:customStyle="1" w:styleId="72">
    <w:name w:val="OperatorTok"/>
    <w:basedOn w:val="48"/>
    <w:qFormat/>
    <w:uiPriority w:val="0"/>
    <w:rPr>
      <w:color w:val="666666"/>
    </w:rPr>
  </w:style>
  <w:style w:type="character" w:customStyle="1" w:styleId="73">
    <w:name w:val="BuiltInTok"/>
    <w:basedOn w:val="48"/>
    <w:qFormat/>
    <w:uiPriority w:val="0"/>
    <w:rPr>
      <w:color w:val="008000"/>
    </w:rPr>
  </w:style>
  <w:style w:type="character" w:customStyle="1" w:styleId="74">
    <w:name w:val="ExtensionTok"/>
    <w:basedOn w:val="48"/>
    <w:qFormat/>
    <w:uiPriority w:val="0"/>
  </w:style>
  <w:style w:type="character" w:customStyle="1" w:styleId="75">
    <w:name w:val="PreprocessorTok"/>
    <w:basedOn w:val="48"/>
    <w:qFormat/>
    <w:uiPriority w:val="0"/>
    <w:rPr>
      <w:color w:val="BC7A00"/>
    </w:rPr>
  </w:style>
  <w:style w:type="character" w:customStyle="1" w:styleId="76">
    <w:name w:val="AttributeTok"/>
    <w:basedOn w:val="48"/>
    <w:uiPriority w:val="0"/>
    <w:rPr>
      <w:color w:val="7D9029"/>
    </w:rPr>
  </w:style>
  <w:style w:type="character" w:customStyle="1" w:styleId="77">
    <w:name w:val="RegionMarkerTok"/>
    <w:basedOn w:val="48"/>
    <w:qFormat/>
    <w:uiPriority w:val="0"/>
  </w:style>
  <w:style w:type="character" w:customStyle="1" w:styleId="78">
    <w:name w:val="InformationTok"/>
    <w:basedOn w:val="48"/>
    <w:qFormat/>
    <w:uiPriority w:val="0"/>
    <w:rPr>
      <w:b/>
      <w:i/>
      <w:color w:val="60A0B0"/>
    </w:rPr>
  </w:style>
  <w:style w:type="character" w:customStyle="1" w:styleId="79">
    <w:name w:val="WarningTok"/>
    <w:basedOn w:val="48"/>
    <w:qFormat/>
    <w:uiPriority w:val="0"/>
    <w:rPr>
      <w:b/>
      <w:i/>
      <w:color w:val="60A0B0"/>
    </w:rPr>
  </w:style>
  <w:style w:type="character" w:customStyle="1" w:styleId="80">
    <w:name w:val="AlertTok"/>
    <w:basedOn w:val="48"/>
    <w:qFormat/>
    <w:uiPriority w:val="0"/>
    <w:rPr>
      <w:b/>
      <w:color w:val="FF0000"/>
    </w:rPr>
  </w:style>
  <w:style w:type="character" w:customStyle="1" w:styleId="81">
    <w:name w:val="ErrorTok"/>
    <w:basedOn w:val="48"/>
    <w:qFormat/>
    <w:uiPriority w:val="0"/>
    <w:rPr>
      <w:b/>
      <w:color w:val="FF0000"/>
    </w:rPr>
  </w:style>
  <w:style w:type="character" w:customStyle="1" w:styleId="82">
    <w:name w:val="NormalTok"/>
    <w:basedOn w:val="48"/>
    <w:qFormat/>
    <w:uiPriority w:val="0"/>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47</Pages>
  <Words>9616</Words>
  <Characters>62920</Characters>
  <Lines>12</Lines>
  <Paragraphs>8</Paragraphs>
  <TotalTime>0</TotalTime>
  <ScaleCrop>false</ScaleCrop>
  <LinksUpToDate>false</LinksUpToDate>
  <CharactersWithSpaces>72375</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2026-08-16T05:47:00Z</dcterms:created>
  <dc:creator>姜俊辰</dc:creator>
  <cp:lastModifiedBy>姜俊辰</cp:lastModifiedBy>
  <dcterms:modified xsi:type="dcterms:W3CDTF">2026-08-27T14:24:25Z</dcterms:modified>
  <dc:subject>Genome Biology Research manuscript</dc:subject>
  <dc:title>Cell-context programmes across the ALS–FTD spectrum under external same-nucleus multiome testing</dc:title>
  <cp:keywords>ALS; FTD; C9orf72; TDP-43; single-nucleus multiome</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references/refs.bib</vt:lpwstr>
  </property>
  <property fmtid="{D5CDD505-2E9C-101B-9397-08002B2CF9AE}" pid="3" name="csl">
    <vt:lpwstr>csl/vancouver.csl</vt:lpwstr>
  </property>
  <property fmtid="{D5CDD505-2E9C-101B-9397-08002B2CF9AE}" pid="4" name="KSOTemplateDocerSaveRecord">
    <vt:lpwstr>eyJoZGlkIjoiYzJmMGRiYTFhZmUxNGRlNTE4YTJlYmIyZGQxMGFhZGIiLCJ1c2VySWQiOiIyNTE3MDQwNzUifQ==</vt:lpwstr>
  </property>
  <property fmtid="{D5CDD505-2E9C-101B-9397-08002B2CF9AE}" pid="5" name="KSOProductBuildVer">
    <vt:lpwstr>2052-12.1.0.28505</vt:lpwstr>
  </property>
  <property fmtid="{D5CDD505-2E9C-101B-9397-08002B2CF9AE}" pid="6" name="ICV">
    <vt:lpwstr>8B1BC27804D240779D763BC9C2804608_12</vt:lpwstr>
  </property>
</Properties>
</file>