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Georgia" w:cs="Georgia" w:eastAsia="Georgia" w:hAnsi="Georgia"/>
          <w:b/>
          <w:bCs/>
          <w:color w:val="8A6A2F"/>
          <w:sz w:val="26"/>
          <w:szCs w:val="26"/>
        </w:rPr>
        <w:t xml:space="preserve">LUXURY BARBER LOUNGE, LLC</w:t>
      </w:r>
    </w:p>
    <w:p>
      <w:pPr>
        <w:spacing w:after="400"/>
        <w:jc w:val="center"/>
      </w:pPr>
      <w:r>
        <w:rPr>
          <w:rFonts w:ascii="Calibri" w:cs="Calibri" w:eastAsia="Calibri" w:hAnsi="Calibri"/>
          <w:color w:val="5A5A5A"/>
          <w:sz w:val="19"/>
          <w:szCs w:val="19"/>
        </w:rPr>
        <w:t xml:space="preserve">801 Tilton Road, Suite 106  ·  Northfield, New Jersey 08225</w:t>
      </w:r>
    </w:p>
    <w:p>
      <w:pPr>
        <w:spacing w:after="120"/>
        <w:jc w:val="center"/>
      </w:pPr>
      <w:r>
        <w:rPr>
          <w:rFonts w:ascii="Georgia" w:cs="Georgia" w:eastAsia="Georgia" w:hAnsi="Georgia"/>
          <w:b/>
          <w:bCs/>
          <w:color w:val="1A1A1A"/>
          <w:sz w:val="44"/>
          <w:szCs w:val="44"/>
        </w:rPr>
        <w:t xml:space="preserve">Attribution and Commission Policy</w:t>
      </w:r>
    </w:p>
    <w:p>
      <w:pPr>
        <w:spacing w:after="600"/>
        <w:jc w:val="center"/>
      </w:pPr>
      <w:r>
        <w:rPr>
          <w:rFonts w:ascii="Georgia" w:cs="Georgia" w:eastAsia="Georgia" w:hAnsi="Georgia"/>
          <w:i/>
          <w:iCs/>
          <w:color w:val="8A6A2F"/>
          <w:sz w:val="22"/>
          <w:szCs w:val="22"/>
        </w:rPr>
        <w:t xml:space="preserve">Rule Set v1.0  ·  Effective 6 January 2026</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000"/>
        <w:gridCol w:w="6360"/>
      </w:tblGrid>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Document type</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Operating policy and calculation specification</w:t>
            </w:r>
          </w:p>
        </w:tc>
      </w:tr>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Applies to</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All independent barbers rendering services at the Northfield location</w:t>
            </w:r>
          </w:p>
        </w:tc>
      </w:tr>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Governs</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Client attribution, commission basis, calculated amounts, settlement, disputes</w:t>
            </w:r>
          </w:p>
        </w:tc>
      </w:tr>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Prepared by</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Lion Business Services LLC</w:t>
            </w:r>
          </w:p>
        </w:tc>
      </w:tr>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Owner of record</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Rubén Diaz, Jr., Member — Luxury Barber Lounge, LLC</w:t>
            </w:r>
          </w:p>
        </w:tc>
      </w:tr>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Status</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Awaiting owner confirmation of Part IX and Annex A</w:t>
            </w:r>
          </w:p>
        </w:tc>
      </w:tr>
      <w:tr>
        <w:tc>
          <w:tcPr>
            <w:tcW w:type="dxa" w:w="3000"/>
            <w:shd w:fill="FAF8F4"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Supersedes</w:t>
            </w:r>
          </w:p>
        </w:tc>
        <w:tc>
          <w:tcPr>
            <w:tcW w:type="dxa" w:w="63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twelve-line summary of confirmed defaults</w:t>
            </w:r>
          </w:p>
        </w:tc>
      </w:tr>
    </w:tbl>
    <w:p>
      <w:pPr>
        <w:spacing w:before="400"/>
      </w:pPr>
      <w:r>
        <w:t xml:space="preserve"/>
      </w:r>
    </w:p>
    <w:tbl>
      <w:tblPr>
        <w:tblW w:type="dxa" w:w="9360"/>
        <w:tblBorders>
          <w:top w:val="none"/>
          <w:left w:val="none"/>
          <w:bottom w:val="none"/>
          <w:right w:val="none"/>
          <w:insideH w:val="none"/>
          <w:insideV w:val="none"/>
        </w:tblBorders>
      </w:tblPr>
      <w:tblGrid>
        <w:gridCol w:w="70"/>
        <w:gridCol w:w="9290"/>
      </w:tblGrid>
      <w:tr>
        <w:tc>
          <w:tcPr>
            <w:tcW w:type="dxa" w:w="70"/>
            <w:shd w:fill="8A6A2F" w:color="auto" w:val="clear"/>
          </w:tcPr>
          <w:p>
            <w:r>
              <w:t xml:space="preserve"/>
            </w:r>
          </w:p>
        </w:tc>
        <w:tc>
          <w:tcPr>
            <w:tcW w:type="dxa" w:w="9290"/>
            <w:shd w:fill="FBF6EA" w:color="auto" w:val="clear"/>
            <w:tcMar>
              <w:top w:type="dxa" w:w="140"/>
              <w:left w:type="dxa" w:w="200"/>
              <w:bottom w:type="dxa" w:w="140"/>
              <w:right w:type="dxa" w:w="200"/>
            </w:tcMar>
          </w:tcPr>
          <w:p>
            <w:pPr>
              <w:spacing w:after="80"/>
            </w:pPr>
            <w:r>
              <w:rPr>
                <w:rFonts w:ascii="Calibri" w:cs="Calibri" w:eastAsia="Calibri" w:hAnsi="Calibri"/>
                <w:b/>
                <w:bCs/>
                <w:caps/>
                <w:color w:val="8A6A2F"/>
                <w:sz w:val="19"/>
                <w:szCs w:val="19"/>
              </w:rPr>
              <w:t xml:space="preserve">Read this first</w:t>
            </w:r>
          </w:p>
          <w:p>
            <w:pPr>
              <w:spacing w:after="60"/>
            </w:pPr>
            <w:r>
              <w:rPr>
                <w:rFonts w:ascii="Calibri" w:cs="Calibri" w:eastAsia="Calibri" w:hAnsi="Calibri"/>
                <w:color w:val="1A1A1A"/>
                <w:sz w:val="19"/>
                <w:szCs w:val="19"/>
              </w:rPr>
              <w:t xml:space="preserve">The twelve values previously circulated are correct. They are also incomplete. They define what happens to a clean, completed, full-price service and nothing else.</w:t>
            </w:r>
          </w:p>
          <w:p>
            <w:pPr>
              <w:spacing w:after="60"/>
            </w:pPr>
            <w:r>
              <w:rPr>
                <w:rFonts w:ascii="Calibri" w:cs="Calibri" w:eastAsia="Calibri" w:hAnsi="Calibri"/>
                <w:color w:val="1A1A1A"/>
                <w:sz w:val="19"/>
                <w:szCs w:val="19"/>
              </w:rPr>
              <w:t xml:space="preserve">They do not define refunds, chargebacks, deposits, forfeited deposits, no-show fees, late-cancellation fees, discounts, promotions, processing fees, sales tax, retail product sales, gift cards, packages, membership revenue, multi-barber tickets, corrections, or off-platform payments — all of which will occur, some of them in the first week of operation.</w:t>
            </w:r>
          </w:p>
          <w:p>
            <w:pPr>
              <w:spacing w:after="60"/>
            </w:pPr>
            <w:r>
              <w:rPr>
                <w:rFonts w:ascii="Calibri" w:cs="Calibri" w:eastAsia="Calibri" w:hAnsi="Calibri"/>
                <w:color w:val="1A1A1A"/>
                <w:sz w:val="19"/>
                <w:szCs w:val="19"/>
              </w:rPr>
              <w:t xml:space="preserve">They also do not define the term on which the entire 70/30-versus-100% swing depends: what makes a client a Verified Pre-Existing Client and what evidence establishes it.</w:t>
            </w:r>
          </w:p>
          <w:p>
            <w:pPr>
              <w:spacing w:after="60"/>
            </w:pPr>
            <w:r>
              <w:rPr>
                <w:rFonts w:ascii="Calibri" w:cs="Calibri" w:eastAsia="Calibri" w:hAnsi="Calibri"/>
                <w:color w:val="1A1A1A"/>
                <w:sz w:val="19"/>
                <w:szCs w:val="19"/>
              </w:rPr>
              <w:t xml:space="preserve">This document closes those gaps. Lines marked LOCKED are the owner’s confirmed defaults and are carried forward unchanged. Lines marked PROPOSED are new and require the owner’s initial before the first statement runs.</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I — Scope, Definitions, and Structure</w:t>
      </w:r>
    </w:p>
    <w:p>
      <w:pPr>
        <w:pStyle w:val="Heading2"/>
        <w:spacing w:after="120" w:before="280"/>
      </w:pPr>
      <w:r>
        <w:rPr>
          <w:rFonts w:ascii="Georgia" w:cs="Georgia" w:eastAsia="Georgia" w:hAnsi="Georgia"/>
          <w:b/>
          <w:bCs/>
          <w:color w:val="8A6A2F"/>
          <w:sz w:val="24"/>
          <w:szCs w:val="24"/>
        </w:rPr>
        <w:t xml:space="preserve">1. Purpose</w:t>
      </w:r>
    </w:p>
    <w:p>
      <w:pPr>
        <w:spacing w:after="120" w:before="0"/>
        <w:jc w:val="left"/>
      </w:pPr>
      <w:r>
        <w:rPr>
          <w:rFonts w:ascii="Calibri" w:cs="Calibri" w:eastAsia="Calibri" w:hAnsi="Calibri"/>
          <w:color w:val="1A1A1A"/>
          <w:sz w:val="21"/>
          <w:szCs w:val="21"/>
        </w:rPr>
        <w:t xml:space="preserve">This policy states how Luxury Barber Lounge, LLC (the "Shop") determines the amount payable to each independent barber (each, a "Barber") for services rendered at the Shop. It is both an operating agreement between the Shop and each Barber and the specification against which the Shop’s reconciliation engine computes. Where this document and any automated output disagree, this document controls and the engine is corrected.</w:t>
      </w:r>
    </w:p>
    <w:p>
      <w:pPr>
        <w:pStyle w:val="Heading2"/>
        <w:spacing w:after="120" w:before="280"/>
      </w:pPr>
      <w:r>
        <w:rPr>
          <w:rFonts w:ascii="Georgia" w:cs="Georgia" w:eastAsia="Georgia" w:hAnsi="Georgia"/>
          <w:b/>
          <w:bCs/>
          <w:color w:val="8A6A2F"/>
          <w:sz w:val="24"/>
          <w:szCs w:val="24"/>
        </w:rPr>
        <w:t xml:space="preserve">2. Definitions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Term</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Meaning</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Service Revenue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amount charged for a grooming service performed by a Barber, after service-level discounts, excluding tips, sales tax, retail products, and gift-card or package purchase amounts.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Commission Basis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portion of Service Revenue against which the applicable percentage is applied. Defined in Part III.</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Calculated Amount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figure this policy produces for a Barber for a Settlement Week. It is not wages, salary, or payroll, and no amount is withheld from it by the Shop.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Attribution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designation of a client as either SHOP or BARBER for commission purposes, as determined under Part II.</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Verified Pre-Existing Client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client who meets every criterion in Section 8 and whose status has been established by the evidence required there.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Settlement Week</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Monday 12:00 a.m. through Sunday 11:59 p.m., Eastern Time.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Statement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itemized weekly document issued to each Barber under Part V.</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Locked Calculation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Statement line that has passed its dispute window. Locked lines are never edited. Corrections are made only by a separate Adjustment.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Adjustment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new, separately dated entry that offsets or supplements a Locked Calculation, carrying its own reason, author, and timestamp.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Rule Set Version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numbered, effective-dated version of this policy under which a given calculation was performed.</w:t>
            </w:r>
          </w:p>
        </w:tc>
      </w:tr>
    </w:tbl>
    <w:p>
      <w:pPr>
        <w:pStyle w:val="Heading2"/>
        <w:spacing w:after="120" w:before="280"/>
      </w:pPr>
      <w:r>
        <w:rPr>
          <w:rFonts w:ascii="Georgia" w:cs="Georgia" w:eastAsia="Georgia" w:hAnsi="Georgia"/>
          <w:b/>
          <w:bCs/>
          <w:color w:val="8A6A2F"/>
          <w:sz w:val="24"/>
          <w:szCs w:val="24"/>
        </w:rPr>
        <w:t xml:space="preserve">3. Engagement structure</w:t>
      </w:r>
    </w:p>
    <w:p>
      <w:pPr>
        <w:spacing w:after="120" w:before="0"/>
        <w:jc w:val="left"/>
      </w:pPr>
      <w:r>
        <w:rPr>
          <w:rFonts w:ascii="Calibri" w:cs="Calibri" w:eastAsia="Calibri" w:hAnsi="Calibri"/>
          <w:color w:val="1A1A1A"/>
          <w:sz w:val="21"/>
          <w:szCs w:val="21"/>
        </w:rPr>
        <w:t xml:space="preserve">Each Barber operates as an independent contractor. The Shop does not withhold income tax, Social Security, Medicare, or unemployment contributions from any Calculated Amount. Each Barber is responsible for their own New Jersey barbering license, their own liability coverage, and their own federal, state, and self-employment tax obligations. The Shop will issue Form 1099-NEC for any calendar year in which Calculated Amounts to a Barber total $600 or more.</w:t>
      </w:r>
    </w:p>
    <w:p>
      <w:pPr>
        <w:spacing w:after="200" w:before="0"/>
        <w:jc w:val="left"/>
      </w:pPr>
      <w:r>
        <w:rPr>
          <w:rFonts w:ascii="Calibri" w:cs="Calibri" w:eastAsia="Calibri" w:hAnsi="Calibri"/>
          <w:color w:val="1A1A1A"/>
          <w:sz w:val="21"/>
          <w:szCs w:val="21"/>
        </w:rPr>
        <w:t xml:space="preserve">No provision of this policy is to be described, in writing or in conversation, using employment vocabulary. The correct terms are "Calculated Amount," "settlement," and "independent barber." The terms "payroll," "wages," "salary," "paycheck," "employee," and "hours worked" are not to appear on any Statement, in any notification template, in the portals, or in the reconciliation engine’s output.</w:t>
      </w:r>
    </w:p>
    <w:tbl>
      <w:tblPr>
        <w:tblW w:type="dxa" w:w="9360"/>
        <w:tblBorders>
          <w:top w:val="none"/>
          <w:left w:val="none"/>
          <w:bottom w:val="none"/>
          <w:right w:val="none"/>
          <w:insideH w:val="none"/>
          <w:insideV w:val="none"/>
        </w:tblBorders>
      </w:tblPr>
      <w:tblGrid>
        <w:gridCol w:w="70"/>
        <w:gridCol w:w="9290"/>
      </w:tblGrid>
      <w:tr>
        <w:tc>
          <w:tcPr>
            <w:tcW w:type="dxa" w:w="70"/>
            <w:shd w:fill="8C2B22" w:color="auto" w:val="clear"/>
          </w:tcPr>
          <w:p>
            <w:r>
              <w:t xml:space="preserve"/>
            </w:r>
          </w:p>
        </w:tc>
        <w:tc>
          <w:tcPr>
            <w:tcW w:type="dxa" w:w="9290"/>
            <w:shd w:fill="FDF2F0" w:color="auto" w:val="clear"/>
            <w:tcMar>
              <w:top w:type="dxa" w:w="140"/>
              <w:left w:type="dxa" w:w="200"/>
              <w:bottom w:type="dxa" w:w="140"/>
              <w:right w:type="dxa" w:w="200"/>
            </w:tcMar>
          </w:tcPr>
          <w:p>
            <w:pPr>
              <w:spacing w:after="80"/>
            </w:pPr>
            <w:r>
              <w:rPr>
                <w:rFonts w:ascii="Calibri" w:cs="Calibri" w:eastAsia="Calibri" w:hAnsi="Calibri"/>
                <w:b/>
                <w:bCs/>
                <w:caps/>
                <w:color w:val="8C2B22"/>
                <w:sz w:val="19"/>
                <w:szCs w:val="19"/>
              </w:rPr>
              <w:t xml:space="preserve">Structural question the owner must resolve before the first statement</w:t>
            </w:r>
          </w:p>
          <w:p>
            <w:pPr>
              <w:spacing w:after="60"/>
            </w:pPr>
            <w:r>
              <w:rPr>
                <w:rFonts w:ascii="Calibri" w:cs="Calibri" w:eastAsia="Calibri" w:hAnsi="Calibri"/>
                <w:color w:val="1A1A1A"/>
                <w:sz w:val="19"/>
                <w:szCs w:val="19"/>
              </w:rPr>
              <w:t xml:space="preserve">The Shop has been described as operating on a booth-rental model. The rule set in this policy is not a booth-rental arrangement — it is a percentage commission arrangement.</w:t>
            </w:r>
          </w:p>
          <w:p>
            <w:pPr>
              <w:spacing w:after="60"/>
            </w:pPr>
            <w:r>
              <w:rPr>
                <w:rFonts w:ascii="Calibri" w:cs="Calibri" w:eastAsia="Calibri" w:hAnsi="Calibri"/>
                <w:color w:val="1A1A1A"/>
                <w:sz w:val="19"/>
                <w:szCs w:val="19"/>
              </w:rPr>
              <w:t xml:space="preserve">In a true booth rental, the Barber pays the Shop a fixed periodic rent, sets their own prices, collects from their own clients, keeps 100% of what they collect, and the Shop takes no percentage. Under this policy the Shop processes every transaction through the Shop’s own Square account, holds the funds, and remits a calculated 70% or 100% share. Those are two different structures and they cannot both be in force.</w:t>
            </w:r>
          </w:p>
          <w:p>
            <w:pPr>
              <w:spacing w:after="60"/>
            </w:pPr>
            <w:r>
              <w:rPr>
                <w:rFonts w:ascii="Calibri" w:cs="Calibri" w:eastAsia="Calibri" w:hAnsi="Calibri"/>
                <w:color w:val="1A1A1A"/>
                <w:sz w:val="19"/>
                <w:szCs w:val="19"/>
              </w:rPr>
              <w:t xml:space="preserve">This distinction matters well beyond bookkeeping. Under the New Jersey ABC test (N.J.S.A. 43:21-19(i)(6)) all three prongs must be satisfied for contractor status to hold, and Prong B is the difficult one for any barbershop: the service is within the usual course of the Shop’s business and it is performed at the Shop’s place of business. A percentage split in which the Shop sets prices, owns the payment rail, and controls the client record also weakens Prongs A and C. Correct terminology on the Statement is useful, but it does not by itself cure a structural classification problem.</w:t>
            </w:r>
          </w:p>
          <w:p>
            <w:pPr>
              <w:spacing w:after="60"/>
            </w:pPr>
            <w:r>
              <w:rPr>
                <w:rFonts w:ascii="Calibri" w:cs="Calibri" w:eastAsia="Calibri" w:hAnsi="Calibri"/>
                <w:color w:val="1A1A1A"/>
                <w:sz w:val="19"/>
                <w:szCs w:val="19"/>
              </w:rPr>
              <w:t xml:space="preserve">The owner should decide, on the record, which structure is actually in force, and whether a written independent-contractor agreement and a stated rent figure (if any) accompany this policy. That decision belongs to the owner and to counsel; this document does no more than flag that the two descriptions currently in circulation are inconsistent.</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II — Attribution</w:t>
      </w:r>
    </w:p>
    <w:p>
      <w:pPr>
        <w:pStyle w:val="Heading2"/>
        <w:spacing w:after="120" w:before="280"/>
      </w:pPr>
      <w:r>
        <w:rPr>
          <w:rFonts w:ascii="Georgia" w:cs="Georgia" w:eastAsia="Georgia" w:hAnsi="Georgia"/>
          <w:b/>
          <w:bCs/>
          <w:color w:val="8A6A2F"/>
          <w:sz w:val="24"/>
          <w:szCs w:val="24"/>
        </w:rPr>
        <w:t xml:space="preserve">4. Default attribution</w:t>
      </w:r>
    </w:p>
    <w:p>
      <w:pPr>
        <w:spacing w:after="160" w:before="0"/>
        <w:jc w:val="left"/>
      </w:pPr>
      <w:r>
        <w:rPr>
          <w:rFonts w:ascii="Calibri" w:cs="Calibri" w:eastAsia="Calibri" w:hAnsi="Calibri"/>
          <w:color w:val="1A1A1A"/>
          <w:sz w:val="21"/>
          <w:szCs w:val="21"/>
        </w:rPr>
        <w:t xml:space="preserve">Every client is attributed to SHOP unless and until BARBER attribution is affirmatively established under this Part. There is no neutral or pending state for commission purposes: an unresolved client settles as SHOP.</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Statement</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Default</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Burden of proof</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On the Barber claiming BARBER attribution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Standard of proof</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Evidence under Section 8, reviewed by the owner</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Walk-ins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Online bookings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 unless the Barber establishes otherwise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bl>
    <w:p>
      <w:pPr>
        <w:pStyle w:val="Heading2"/>
        <w:spacing w:after="120" w:before="280"/>
      </w:pPr>
      <w:r>
        <w:rPr>
          <w:rFonts w:ascii="Georgia" w:cs="Georgia" w:eastAsia="Georgia" w:hAnsi="Georgia"/>
          <w:b/>
          <w:bCs/>
          <w:color w:val="8A6A2F"/>
          <w:sz w:val="24"/>
          <w:szCs w:val="24"/>
        </w:rPr>
        <w:t xml:space="preserve">5. Shop attribution sources</w:t>
      </w:r>
    </w:p>
    <w:p>
      <w:pPr>
        <w:spacing w:after="120" w:before="0"/>
        <w:jc w:val="left"/>
      </w:pPr>
      <w:r>
        <w:rPr>
          <w:rFonts w:ascii="Calibri" w:cs="Calibri" w:eastAsia="Calibri" w:hAnsi="Calibri"/>
          <w:color w:val="1A1A1A"/>
          <w:sz w:val="21"/>
          <w:szCs w:val="21"/>
        </w:rPr>
        <w:t xml:space="preserve">A client whose relationship with the Shop originates from any of the following is attributed to SHOP. This list is illustrative of the principle, not exhaustive; the principle is that the Shop’s location, brand, marketing, or existing client base produced the visit.</w:t>
      </w:r>
    </w:p>
    <w:p>
      <w:pPr>
        <w:pStyle w:val="ListParagraph"/>
        <w:numPr>
          <w:ilvl w:val="0"/>
          <w:numId w:val="2"/>
        </w:numPr>
        <w:spacing w:after="60"/>
      </w:pPr>
      <w:r>
        <w:rPr>
          <w:rFonts w:ascii="Calibri" w:cs="Calibri" w:eastAsia="Calibri" w:hAnsi="Calibri"/>
          <w:color w:val="1A1A1A"/>
          <w:sz w:val="21"/>
          <w:szCs w:val="21"/>
        </w:rPr>
        <w:t xml:space="preserve">Google Search, Google Maps, or Google Business Profile</w:t>
      </w:r>
    </w:p>
    <w:p>
      <w:pPr>
        <w:pStyle w:val="ListParagraph"/>
        <w:numPr>
          <w:ilvl w:val="0"/>
          <w:numId w:val="2"/>
        </w:numPr>
        <w:spacing w:after="60"/>
      </w:pPr>
      <w:r>
        <w:rPr>
          <w:rFonts w:ascii="Calibri" w:cs="Calibri" w:eastAsia="Calibri" w:hAnsi="Calibri"/>
          <w:color w:val="1A1A1A"/>
          <w:sz w:val="21"/>
          <w:szCs w:val="21"/>
        </w:rPr>
        <w:t xml:space="preserve">The Shop website, including online booking and the walk-in kiosk</w:t>
      </w:r>
    </w:p>
    <w:p>
      <w:pPr>
        <w:pStyle w:val="ListParagraph"/>
        <w:numPr>
          <w:ilvl w:val="0"/>
          <w:numId w:val="2"/>
        </w:numPr>
        <w:spacing w:after="60"/>
      </w:pPr>
      <w:r>
        <w:rPr>
          <w:rFonts w:ascii="Calibri" w:cs="Calibri" w:eastAsia="Calibri" w:hAnsi="Calibri"/>
          <w:color w:val="1A1A1A"/>
          <w:sz w:val="21"/>
          <w:szCs w:val="21"/>
        </w:rPr>
        <w:t xml:space="preserve">Shop social media accounts, organic or paid</w:t>
      </w:r>
    </w:p>
    <w:p>
      <w:pPr>
        <w:pStyle w:val="ListParagraph"/>
        <w:numPr>
          <w:ilvl w:val="0"/>
          <w:numId w:val="2"/>
        </w:numPr>
        <w:spacing w:after="60"/>
      </w:pPr>
      <w:r>
        <w:rPr>
          <w:rFonts w:ascii="Calibri" w:cs="Calibri" w:eastAsia="Calibri" w:hAnsi="Calibri"/>
          <w:color w:val="1A1A1A"/>
          <w:sz w:val="21"/>
          <w:szCs w:val="21"/>
        </w:rPr>
        <w:t xml:space="preserve">Paid advertising of any kind funded by the Shop</w:t>
      </w:r>
    </w:p>
    <w:p>
      <w:pPr>
        <w:pStyle w:val="ListParagraph"/>
        <w:numPr>
          <w:ilvl w:val="0"/>
          <w:numId w:val="2"/>
        </w:numPr>
        <w:spacing w:after="60"/>
      </w:pPr>
      <w:r>
        <w:rPr>
          <w:rFonts w:ascii="Calibri" w:cs="Calibri" w:eastAsia="Calibri" w:hAnsi="Calibri"/>
          <w:color w:val="1A1A1A"/>
          <w:sz w:val="21"/>
          <w:szCs w:val="21"/>
        </w:rPr>
        <w:t xml:space="preserve">Walk-in traffic, signage, foot traffic, and drive-by</w:t>
      </w:r>
    </w:p>
    <w:p>
      <w:pPr>
        <w:pStyle w:val="ListParagraph"/>
        <w:numPr>
          <w:ilvl w:val="0"/>
          <w:numId w:val="2"/>
        </w:numPr>
        <w:spacing w:after="60"/>
      </w:pPr>
      <w:r>
        <w:rPr>
          <w:rFonts w:ascii="Calibri" w:cs="Calibri" w:eastAsia="Calibri" w:hAnsi="Calibri"/>
          <w:color w:val="1A1A1A"/>
          <w:sz w:val="21"/>
          <w:szCs w:val="21"/>
        </w:rPr>
        <w:t xml:space="preserve">The Shop telephone line</w:t>
      </w:r>
    </w:p>
    <w:p>
      <w:pPr>
        <w:pStyle w:val="ListParagraph"/>
        <w:numPr>
          <w:ilvl w:val="0"/>
          <w:numId w:val="2"/>
        </w:numPr>
        <w:spacing w:after="60"/>
      </w:pPr>
      <w:r>
        <w:rPr>
          <w:rFonts w:ascii="Calibri" w:cs="Calibri" w:eastAsia="Calibri" w:hAnsi="Calibri"/>
          <w:color w:val="1A1A1A"/>
          <w:sz w:val="21"/>
          <w:szCs w:val="21"/>
        </w:rPr>
        <w:t xml:space="preserve">Referral by an existing client of the Shop</w:t>
      </w:r>
    </w:p>
    <w:p>
      <w:pPr>
        <w:pStyle w:val="ListParagraph"/>
        <w:numPr>
          <w:ilvl w:val="0"/>
          <w:numId w:val="2"/>
        </w:numPr>
        <w:spacing w:after="60"/>
      </w:pPr>
      <w:r>
        <w:rPr>
          <w:rFonts w:ascii="Calibri" w:cs="Calibri" w:eastAsia="Calibri" w:hAnsi="Calibri"/>
          <w:color w:val="1A1A1A"/>
          <w:sz w:val="21"/>
          <w:szCs w:val="21"/>
        </w:rPr>
        <w:t xml:space="preserve">An existing client of the Shop booking with a different Barber</w:t>
      </w:r>
    </w:p>
    <w:p>
      <w:pPr>
        <w:pStyle w:val="ListParagraph"/>
        <w:numPr>
          <w:ilvl w:val="0"/>
          <w:numId w:val="2"/>
        </w:numPr>
        <w:spacing w:after="60"/>
      </w:pPr>
      <w:r>
        <w:rPr>
          <w:rFonts w:ascii="Calibri" w:cs="Calibri" w:eastAsia="Calibri" w:hAnsi="Calibri"/>
          <w:color w:val="1A1A1A"/>
          <w:sz w:val="21"/>
          <w:szCs w:val="21"/>
        </w:rPr>
        <w:t xml:space="preserve">Shop email or SMS campaigns</w:t>
      </w:r>
    </w:p>
    <w:p>
      <w:pPr>
        <w:pStyle w:val="ListParagraph"/>
        <w:numPr>
          <w:ilvl w:val="0"/>
          <w:numId w:val="2"/>
        </w:numPr>
        <w:spacing w:after="60"/>
      </w:pPr>
      <w:r>
        <w:rPr>
          <w:rFonts w:ascii="Calibri" w:cs="Calibri" w:eastAsia="Calibri" w:hAnsi="Calibri"/>
          <w:color w:val="1A1A1A"/>
          <w:sz w:val="21"/>
          <w:szCs w:val="21"/>
        </w:rPr>
        <w:t xml:space="preserve">A Shop promotion, offer, or discount code</w:t>
      </w:r>
    </w:p>
    <w:p>
      <w:pPr>
        <w:pStyle w:val="ListParagraph"/>
        <w:numPr>
          <w:ilvl w:val="0"/>
          <w:numId w:val="2"/>
        </w:numPr>
        <w:spacing w:after="60"/>
      </w:pPr>
      <w:r>
        <w:rPr>
          <w:rFonts w:ascii="Calibri" w:cs="Calibri" w:eastAsia="Calibri" w:hAnsi="Calibri"/>
          <w:color w:val="1A1A1A"/>
          <w:sz w:val="21"/>
          <w:szCs w:val="21"/>
        </w:rPr>
        <w:t xml:space="preserve">A Shop-hosted or Shop-sponsored event</w:t>
      </w:r>
    </w:p>
    <w:p>
      <w:pPr>
        <w:pStyle w:val="Heading2"/>
        <w:spacing w:after="120" w:before="280"/>
      </w:pPr>
      <w:r>
        <w:rPr>
          <w:rFonts w:ascii="Georgia" w:cs="Georgia" w:eastAsia="Georgia" w:hAnsi="Georgia"/>
          <w:b/>
          <w:bCs/>
          <w:color w:val="8A6A2F"/>
          <w:sz w:val="24"/>
          <w:szCs w:val="24"/>
        </w:rPr>
        <w:t xml:space="preserve">6. Barber attribution sources</w:t>
      </w:r>
    </w:p>
    <w:p>
      <w:pPr>
        <w:spacing w:after="120" w:before="0"/>
        <w:jc w:val="left"/>
      </w:pPr>
      <w:r>
        <w:rPr>
          <w:rFonts w:ascii="Calibri" w:cs="Calibri" w:eastAsia="Calibri" w:hAnsi="Calibri"/>
          <w:color w:val="1A1A1A"/>
          <w:sz w:val="21"/>
          <w:szCs w:val="21"/>
        </w:rPr>
        <w:t xml:space="preserve">A client is attributed to BARBER only where one of the following applies and is evidenced:</w:t>
      </w:r>
    </w:p>
    <w:p>
      <w:pPr>
        <w:pStyle w:val="ListParagraph"/>
        <w:numPr>
          <w:ilvl w:val="0"/>
          <w:numId w:val="2"/>
        </w:numPr>
        <w:spacing w:after="60"/>
      </w:pPr>
      <w:r>
        <w:rPr>
          <w:rFonts w:ascii="Calibri" w:cs="Calibri" w:eastAsia="Calibri" w:hAnsi="Calibri"/>
          <w:color w:val="1A1A1A"/>
          <w:sz w:val="21"/>
          <w:szCs w:val="21"/>
        </w:rPr>
        <w:t xml:space="preserve">The client is a Verified Pre-Existing Client under Section 8</w:t>
      </w:r>
    </w:p>
    <w:p>
      <w:pPr>
        <w:pStyle w:val="ListParagraph"/>
        <w:numPr>
          <w:ilvl w:val="0"/>
          <w:numId w:val="2"/>
        </w:numPr>
        <w:spacing w:after="60"/>
      </w:pPr>
      <w:r>
        <w:rPr>
          <w:rFonts w:ascii="Calibri" w:cs="Calibri" w:eastAsia="Calibri" w:hAnsi="Calibri"/>
          <w:color w:val="1A1A1A"/>
          <w:sz w:val="21"/>
          <w:szCs w:val="21"/>
        </w:rPr>
        <w:t xml:space="preserve">The client was referred by the Barber’s own family member or personal friend, and the referring individual is identified by name at the time of the claim</w:t>
      </w:r>
    </w:p>
    <w:p>
      <w:pPr>
        <w:pStyle w:val="ListParagraph"/>
        <w:numPr>
          <w:ilvl w:val="0"/>
          <w:numId w:val="2"/>
        </w:numPr>
        <w:spacing w:after="60"/>
      </w:pPr>
      <w:r>
        <w:rPr>
          <w:rFonts w:ascii="Calibri" w:cs="Calibri" w:eastAsia="Calibri" w:hAnsi="Calibri"/>
          <w:color w:val="1A1A1A"/>
          <w:sz w:val="21"/>
          <w:szCs w:val="21"/>
        </w:rPr>
        <w:t xml:space="preserve">The client booked using that Barber’s registered personal referral code</w:t>
      </w:r>
    </w:p>
    <w:p>
      <w:pPr>
        <w:pStyle w:val="ListParagraph"/>
        <w:numPr>
          <w:ilvl w:val="0"/>
          <w:numId w:val="2"/>
        </w:numPr>
        <w:spacing w:after="60"/>
      </w:pPr>
      <w:r>
        <w:rPr>
          <w:rFonts w:ascii="Calibri" w:cs="Calibri" w:eastAsia="Calibri" w:hAnsi="Calibri"/>
          <w:color w:val="1A1A1A"/>
          <w:sz w:val="21"/>
          <w:szCs w:val="21"/>
        </w:rPr>
        <w:t xml:space="preserve">The client came from a Barber-sourced lead approved by the owner in advance of the first appointment</w:t>
      </w:r>
    </w:p>
    <w:p>
      <w:pPr>
        <w:pStyle w:val="ListParagraph"/>
        <w:numPr>
          <w:ilvl w:val="0"/>
          <w:numId w:val="2"/>
        </w:numPr>
        <w:spacing w:after="60"/>
      </w:pPr>
      <w:r>
        <w:rPr>
          <w:rFonts w:ascii="Calibri" w:cs="Calibri" w:eastAsia="Calibri" w:hAnsi="Calibri"/>
          <w:color w:val="1A1A1A"/>
          <w:sz w:val="21"/>
          <w:szCs w:val="21"/>
        </w:rPr>
        <w:t xml:space="preserve">The client appears on the Barber’s Imported Client Roster, filed and accepted under Section 9</w:t>
      </w:r>
    </w:p>
    <w:p>
      <w:pPr>
        <w:pStyle w:val="Heading2"/>
        <w:spacing w:after="120" w:before="280"/>
      </w:pPr>
      <w:r>
        <w:rPr>
          <w:rFonts w:ascii="Georgia" w:cs="Georgia" w:eastAsia="Georgia" w:hAnsi="Georgia"/>
          <w:b/>
          <w:bCs/>
          <w:color w:val="8A6A2F"/>
          <w:sz w:val="24"/>
          <w:szCs w:val="24"/>
        </w:rPr>
        <w:t xml:space="preserve">7. Referral chains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Situation</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Attribution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 referred by an existing Shop client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 referred by the Barber’s named family member or personal friend</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 referred by another Barber at the Shop</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 referred by a Verified Pre-Existing Client of that Barber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 one degree only. The referral of a referral is SHOP.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Referral source unstated or unidentifiable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w:t>
            </w:r>
          </w:p>
        </w:tc>
      </w:tr>
    </w:tbl>
    <w:p>
      <w:pPr>
        <w:pStyle w:val="Heading2"/>
        <w:spacing w:after="120" w:before="280"/>
      </w:pPr>
      <w:r>
        <w:rPr>
          <w:rFonts w:ascii="Georgia" w:cs="Georgia" w:eastAsia="Georgia" w:hAnsi="Georgia"/>
          <w:b/>
          <w:bCs/>
          <w:color w:val="8A6A2F"/>
          <w:sz w:val="24"/>
          <w:szCs w:val="24"/>
        </w:rPr>
        <w:t xml:space="preserve">8. Verified Pre-Existing Client — definition and evidence</w:t>
      </w:r>
    </w:p>
    <w:p>
      <w:pPr>
        <w:spacing w:after="140" w:before="0"/>
        <w:jc w:val="left"/>
      </w:pPr>
      <w:r>
        <w:rPr>
          <w:rFonts w:ascii="Calibri" w:cs="Calibri" w:eastAsia="Calibri" w:hAnsi="Calibri"/>
          <w:color w:val="1A1A1A"/>
          <w:sz w:val="21"/>
          <w:szCs w:val="21"/>
        </w:rPr>
        <w:t xml:space="preserve">This is the single definition on which the entire 70%-versus-100% difference depends, and it was previously undefined. A client is a Verified Pre-Existing Client only where all four conditions are met.</w:t>
      </w:r>
    </w:p>
    <w:p>
      <w:pPr>
        <w:pStyle w:val="Heading3"/>
        <w:spacing w:after="100" w:before="200"/>
      </w:pPr>
      <w:r>
        <w:rPr>
          <w:rFonts w:ascii="Calibri" w:cs="Calibri" w:eastAsia="Calibri" w:hAnsi="Calibri"/>
          <w:b/>
          <w:bCs/>
          <w:color w:val="1A1A1A"/>
          <w:sz w:val="21"/>
          <w:szCs w:val="21"/>
        </w:rPr>
        <w:t xml:space="preserve">Conditions</w:t>
      </w:r>
    </w:p>
    <w:p>
      <w:pPr>
        <w:pStyle w:val="ListParagraph"/>
        <w:numPr>
          <w:ilvl w:val="0"/>
          <w:numId w:val="2"/>
        </w:numPr>
        <w:spacing w:after="60"/>
      </w:pPr>
      <w:r>
        <w:rPr>
          <w:rFonts w:ascii="Calibri" w:cs="Calibri" w:eastAsia="Calibri" w:hAnsi="Calibri"/>
          <w:color w:val="1A1A1A"/>
          <w:sz w:val="21"/>
          <w:szCs w:val="21"/>
        </w:rPr>
        <w:t xml:space="preserve">The Barber personally rendered a paid grooming service to that client at least once before the Barber’s start date at the Shop.</w:t>
      </w:r>
    </w:p>
    <w:p>
      <w:pPr>
        <w:pStyle w:val="ListParagraph"/>
        <w:numPr>
          <w:ilvl w:val="0"/>
          <w:numId w:val="2"/>
        </w:numPr>
        <w:spacing w:after="60"/>
      </w:pPr>
      <w:r>
        <w:rPr>
          <w:rFonts w:ascii="Calibri" w:cs="Calibri" w:eastAsia="Calibri" w:hAnsi="Calibri"/>
          <w:color w:val="1A1A1A"/>
          <w:sz w:val="21"/>
          <w:szCs w:val="21"/>
        </w:rPr>
        <w:t xml:space="preserve">That prior service occurred within the twenty-four months preceding the Barber’s start date.</w:t>
      </w:r>
    </w:p>
    <w:p>
      <w:pPr>
        <w:pStyle w:val="ListParagraph"/>
        <w:numPr>
          <w:ilvl w:val="0"/>
          <w:numId w:val="2"/>
        </w:numPr>
        <w:spacing w:after="60"/>
      </w:pPr>
      <w:r>
        <w:rPr>
          <w:rFonts w:ascii="Calibri" w:cs="Calibri" w:eastAsia="Calibri" w:hAnsi="Calibri"/>
          <w:color w:val="1A1A1A"/>
          <w:sz w:val="21"/>
          <w:szCs w:val="21"/>
        </w:rPr>
        <w:t xml:space="preserve">That prior service occurred at a place of business other than Luxury Barber Lounge.</w:t>
      </w:r>
    </w:p>
    <w:p>
      <w:pPr>
        <w:pStyle w:val="ListParagraph"/>
        <w:numPr>
          <w:ilvl w:val="0"/>
          <w:numId w:val="2"/>
        </w:numPr>
        <w:spacing w:after="60"/>
      </w:pPr>
      <w:r>
        <w:rPr>
          <w:rFonts w:ascii="Calibri" w:cs="Calibri" w:eastAsia="Calibri" w:hAnsi="Calibri"/>
          <w:color w:val="1A1A1A"/>
          <w:sz w:val="21"/>
          <w:szCs w:val="21"/>
        </w:rPr>
        <w:t xml:space="preserve">The Barber produces at least one item of documentary evidence from the list below.</w:t>
      </w:r>
    </w:p>
    <w:p>
      <w:pPr>
        <w:pStyle w:val="Heading3"/>
        <w:spacing w:after="100" w:before="200"/>
      </w:pPr>
      <w:r>
        <w:rPr>
          <w:rFonts w:ascii="Calibri" w:cs="Calibri" w:eastAsia="Calibri" w:hAnsi="Calibri"/>
          <w:b/>
          <w:bCs/>
          <w:color w:val="1A1A1A"/>
          <w:sz w:val="21"/>
          <w:szCs w:val="21"/>
        </w:rPr>
        <w:t xml:space="preserve">Acceptable evidence</w:t>
      </w:r>
    </w:p>
    <w:p>
      <w:pPr>
        <w:pStyle w:val="ListParagraph"/>
        <w:numPr>
          <w:ilvl w:val="0"/>
          <w:numId w:val="2"/>
        </w:numPr>
        <w:spacing w:after="60"/>
      </w:pPr>
      <w:r>
        <w:rPr>
          <w:rFonts w:ascii="Calibri" w:cs="Calibri" w:eastAsia="Calibri" w:hAnsi="Calibri"/>
          <w:color w:val="1A1A1A"/>
          <w:sz w:val="21"/>
          <w:szCs w:val="21"/>
        </w:rPr>
        <w:t xml:space="preserve">A prior appointment or point-of-sale record naming the client, dated before the Barber’s start date</w:t>
      </w:r>
    </w:p>
    <w:p>
      <w:pPr>
        <w:pStyle w:val="ListParagraph"/>
        <w:numPr>
          <w:ilvl w:val="0"/>
          <w:numId w:val="2"/>
        </w:numPr>
        <w:spacing w:after="60"/>
      </w:pPr>
      <w:r>
        <w:rPr>
          <w:rFonts w:ascii="Calibri" w:cs="Calibri" w:eastAsia="Calibri" w:hAnsi="Calibri"/>
          <w:color w:val="1A1A1A"/>
          <w:sz w:val="21"/>
          <w:szCs w:val="21"/>
        </w:rPr>
        <w:t xml:space="preserve">A prior booking-platform export or client list from the Barber’s previous place of business</w:t>
      </w:r>
    </w:p>
    <w:p>
      <w:pPr>
        <w:pStyle w:val="ListParagraph"/>
        <w:numPr>
          <w:ilvl w:val="0"/>
          <w:numId w:val="2"/>
        </w:numPr>
        <w:spacing w:after="60"/>
      </w:pPr>
      <w:r>
        <w:rPr>
          <w:rFonts w:ascii="Calibri" w:cs="Calibri" w:eastAsia="Calibri" w:hAnsi="Calibri"/>
          <w:color w:val="1A1A1A"/>
          <w:sz w:val="21"/>
          <w:szCs w:val="21"/>
        </w:rPr>
        <w:t xml:space="preserve">Dated message history between the Barber and the client predating the Barber’s start date</w:t>
      </w:r>
    </w:p>
    <w:p>
      <w:pPr>
        <w:pStyle w:val="ListParagraph"/>
        <w:numPr>
          <w:ilvl w:val="0"/>
          <w:numId w:val="2"/>
        </w:numPr>
        <w:spacing w:after="60"/>
      </w:pPr>
      <w:r>
        <w:rPr>
          <w:rFonts w:ascii="Calibri" w:cs="Calibri" w:eastAsia="Calibri" w:hAnsi="Calibri"/>
          <w:color w:val="1A1A1A"/>
          <w:sz w:val="21"/>
          <w:szCs w:val="21"/>
        </w:rPr>
        <w:t xml:space="preserve">The client’s own written confirmation, given directly to the owner rather than relayed by the Barber</w:t>
      </w:r>
    </w:p>
    <w:p>
      <w:pPr>
        <w:spacing w:after="160" w:before="100"/>
      </w:pPr>
      <w:r>
        <w:rPr>
          <w:rFonts w:ascii="Calibri" w:cs="Calibri" w:eastAsia="Calibri" w:hAnsi="Calibri"/>
          <w:b/>
          <w:bCs/>
          <w:sz w:val="21"/>
          <w:szCs w:val="21"/>
        </w:rPr>
        <w:t xml:space="preserve">Not acceptable: </w:t>
      </w:r>
      <w:r>
        <w:rPr>
          <w:rFonts w:ascii="Calibri" w:cs="Calibri" w:eastAsia="Calibri" w:hAnsi="Calibri"/>
          <w:sz w:val="21"/>
          <w:szCs w:val="21"/>
        </w:rPr>
        <w:t xml:space="preserve">the Barber’s unsupported assertion; a claim first raised after the client has already been served and settled as SHOP; recognition of the client’s face or name without a dated record; a client the Barber served only at Luxury Barber Lounge.</w:t>
      </w:r>
    </w:p>
    <w:p>
      <w:pPr>
        <w:pStyle w:val="Heading2"/>
        <w:spacing w:after="120" w:before="280"/>
      </w:pPr>
      <w:r>
        <w:rPr>
          <w:rFonts w:ascii="Georgia" w:cs="Georgia" w:eastAsia="Georgia" w:hAnsi="Georgia"/>
          <w:b/>
          <w:bCs/>
          <w:color w:val="8A6A2F"/>
          <w:sz w:val="24"/>
          <w:szCs w:val="24"/>
        </w:rPr>
        <w:t xml:space="preserve">9. Imported Client Roster and the claim window</w:t>
      </w:r>
    </w:p>
    <w:p>
      <w:pPr>
        <w:spacing w:after="120" w:before="0"/>
        <w:jc w:val="left"/>
      </w:pPr>
      <w:r>
        <w:rPr>
          <w:rFonts w:ascii="Calibri" w:cs="Calibri" w:eastAsia="Calibri" w:hAnsi="Calibri"/>
          <w:color w:val="1A1A1A"/>
          <w:sz w:val="21"/>
          <w:szCs w:val="21"/>
        </w:rPr>
        <w:t xml:space="preserve">Within fourteen calendar days of a Barber’s start date, that Barber may file one Imported Client Roster listing the clients they claim as Verified Pre-Existing, with the required evidence attached. The owner accepts, rejects, or queries each line. The accepted roster is definitive.</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Statement</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Filing window</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Fourteen calendar days from the Barber’s start date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Roster filings permitted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One. Amendments only with the owner’s written consent.</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Effect of acceptance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Listed clients are attributed BARBER on all future visits with that Barber</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Effect of omission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client not on the accepted roster is SHOP, subject only to Section 10</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Barbers already engaged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Window runs fourteen days from the owner’s adoption of this policy</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bl>
    <w:p>
      <w:pPr>
        <w:spacing w:after="120" w:before="0"/>
        <w:jc w:val="left"/>
      </w:pPr>
      <w:r>
        <w:rPr>
          <w:rFonts w:ascii="Calibri" w:cs="Calibri" w:eastAsia="Calibri" w:hAnsi="Calibri"/>
          <w:i/>
          <w:iCs/>
          <w:color w:val="5A5A5A"/>
          <w:sz w:val="19"/>
          <w:szCs w:val="19"/>
        </w:rPr>
        <w:t xml:space="preserve">Rationale, for the record: without a filing window, a Barber can claim any client as pre-existing at any time, indefinitely, and the only control on the practice is the 40% detection flag — which detects a pattern after the fact rather than preventing individual misattribution. The roster converts the burden of proof from a theory into a dated document.</w:t>
      </w:r>
    </w:p>
    <w:p>
      <w:pPr>
        <w:pStyle w:val="Heading2"/>
        <w:spacing w:after="120" w:before="280"/>
      </w:pPr>
      <w:r>
        <w:rPr>
          <w:rFonts w:ascii="Georgia" w:cs="Georgia" w:eastAsia="Georgia" w:hAnsi="Georgia"/>
          <w:b/>
          <w:bCs/>
          <w:color w:val="8A6A2F"/>
          <w:sz w:val="24"/>
          <w:szCs w:val="24"/>
        </w:rPr>
        <w:t xml:space="preserve">10. Late claims</w:t>
      </w:r>
    </w:p>
    <w:p>
      <w:pPr>
        <w:spacing w:after="120" w:before="0"/>
        <w:jc w:val="left"/>
      </w:pPr>
      <w:r>
        <w:rPr>
          <w:rFonts w:ascii="Calibri" w:cs="Calibri" w:eastAsia="Calibri" w:hAnsi="Calibri"/>
          <w:color w:val="1A1A1A"/>
          <w:sz w:val="21"/>
          <w:szCs w:val="21"/>
        </w:rPr>
        <w:t xml:space="preserve">A Barber may claim a client as Verified Pre-Existing after the roster window closes only where the client had not yet visited the Shop when the window closed. Such a claim must be filed before that client’s first appointment is served, and requires evidence under Section 8. A claim raised after a client has been served is not a Section 10 claim; it is a dispute under Part V and is limited to that visit’s dispute window.</w:t>
      </w:r>
    </w:p>
    <w:p>
      <w:pPr>
        <w:pStyle w:val="Heading2"/>
        <w:spacing w:after="120" w:before="280"/>
      </w:pPr>
      <w:r>
        <w:rPr>
          <w:rFonts w:ascii="Georgia" w:cs="Georgia" w:eastAsia="Georgia" w:hAnsi="Georgia"/>
          <w:b/>
          <w:bCs/>
          <w:color w:val="8A6A2F"/>
          <w:sz w:val="24"/>
          <w:szCs w:val="24"/>
        </w:rPr>
        <w:t xml:space="preserve">11. Persistence of attribution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Statement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When attribution is set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 the client’s first completed transaction with that Barber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Duration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Permanent for that client-and-Barber pairing</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Scope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Barber-specific. Attribution attaches to the pairing, not to the client alone.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 moves to a different Barber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receiving Barber begins at SHOP regardless of the prior Barber’s attribution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BARBER-attributed client books a service with another Barber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That transaction is SHOP for the performing Barber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 departs and returns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Attribution is re-established from zero. A prior roster does not revive.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Change after the fact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Owner override only, with a written reason, recorded in the audit log, effective prospectively</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III — Commission Basis</w:t>
      </w:r>
    </w:p>
    <w:p>
      <w:pPr>
        <w:pStyle w:val="Heading2"/>
        <w:spacing w:after="120" w:before="280"/>
      </w:pPr>
      <w:r>
        <w:rPr>
          <w:rFonts w:ascii="Georgia" w:cs="Georgia" w:eastAsia="Georgia" w:hAnsi="Georgia"/>
          <w:b/>
          <w:bCs/>
          <w:color w:val="8A6A2F"/>
          <w:sz w:val="24"/>
          <w:szCs w:val="24"/>
        </w:rPr>
        <w:t xml:space="preserve">12. Percentages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Attribution</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Split of Commission Basis</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SHOP</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70% Barber / 30% 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 / 0% 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Tips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 excluded from the Commission Basis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bl>
    <w:p>
      <w:pPr>
        <w:pStyle w:val="Heading2"/>
        <w:spacing w:after="120" w:before="280"/>
      </w:pPr>
      <w:r>
        <w:rPr>
          <w:rFonts w:ascii="Georgia" w:cs="Georgia" w:eastAsia="Georgia" w:hAnsi="Georgia"/>
          <w:b/>
          <w:bCs/>
          <w:color w:val="8A6A2F"/>
          <w:sz w:val="24"/>
          <w:szCs w:val="24"/>
        </w:rPr>
        <w:t xml:space="preserve">13. What is inside and outside the Commission Basis</w:t>
      </w:r>
    </w:p>
    <w:p>
      <w:pPr>
        <w:spacing w:after="140" w:before="0"/>
        <w:jc w:val="left"/>
      </w:pPr>
      <w:r>
        <w:rPr>
          <w:rFonts w:ascii="Calibri" w:cs="Calibri" w:eastAsia="Calibri" w:hAnsi="Calibri"/>
          <w:color w:val="1A1A1A"/>
          <w:sz w:val="21"/>
          <w:szCs w:val="21"/>
        </w:rPr>
        <w:t xml:space="preserve">The Commission Basis is Service Revenue for services actually performed, after service-level discounts, and nothing else. Each item below states its treatment because each will otherwise be argued about.</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Item</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Treatment</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Service charge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Included in the Commission Basis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Service add-ons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Included, treated as service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Tips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Excluded. Paid to the Barber at 100% in full.</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Sales tax</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Excluded. New Jersey does not impose sales tax on barbering services; tax appears only on retail product lines and is never part of any Basis.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Service-level discount</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Reduces the Basis. Shop and Barber bear it in proportion to their split.</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Shop-funded promotion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Reduces the Basis on the same proportional footing, unless the owner designates the promotion as marketing-funded before it launches, in which case the Basis is the undiscounted service price.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Card processing fees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Absorbed by the Shop. The Basis is gross service revenue net of discounts, before processing fees.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Retail product sales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Outside the Commission Basis. Handled under Section 15.</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Gift card purchase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Outside. No commission event on sale.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Package purchase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Outside. No commission event on sale.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Membership fee received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Outside. Handled under Section 15.</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bl>
    <w:tbl>
      <w:tblPr>
        <w:tblW w:type="dxa" w:w="9360"/>
        <w:tblBorders>
          <w:top w:val="none"/>
          <w:left w:val="none"/>
          <w:bottom w:val="none"/>
          <w:right w:val="none"/>
          <w:insideH w:val="none"/>
          <w:insideV w:val="none"/>
        </w:tblBorders>
      </w:tblPr>
      <w:tblGrid>
        <w:gridCol w:w="70"/>
        <w:gridCol w:w="9290"/>
      </w:tblGrid>
      <w:tr>
        <w:tc>
          <w:tcPr>
            <w:tcW w:type="dxa" w:w="70"/>
            <w:shd w:fill="8A6A2F" w:color="auto" w:val="clear"/>
          </w:tcPr>
          <w:p>
            <w:r>
              <w:t xml:space="preserve"/>
            </w:r>
          </w:p>
        </w:tc>
        <w:tc>
          <w:tcPr>
            <w:tcW w:type="dxa" w:w="9290"/>
            <w:shd w:fill="FBF6EA" w:color="auto" w:val="clear"/>
            <w:tcMar>
              <w:top w:type="dxa" w:w="140"/>
              <w:left w:type="dxa" w:w="200"/>
              <w:bottom w:type="dxa" w:w="140"/>
              <w:right w:type="dxa" w:w="200"/>
            </w:tcMar>
          </w:tcPr>
          <w:p>
            <w:pPr>
              <w:spacing w:after="80"/>
            </w:pPr>
            <w:r>
              <w:rPr>
                <w:rFonts w:ascii="Calibri" w:cs="Calibri" w:eastAsia="Calibri" w:hAnsi="Calibri"/>
                <w:b/>
                <w:bCs/>
                <w:caps/>
                <w:color w:val="8A6A2F"/>
                <w:sz w:val="19"/>
                <w:szCs w:val="19"/>
              </w:rPr>
              <w:t xml:space="preserve">Processing fees — the decision that must be made now</w:t>
            </w:r>
          </w:p>
          <w:p>
            <w:pPr>
              <w:spacing w:after="60"/>
            </w:pPr>
            <w:r>
              <w:rPr>
                <w:rFonts w:ascii="Calibri" w:cs="Calibri" w:eastAsia="Calibri" w:hAnsi="Calibri"/>
                <w:color w:val="1A1A1A"/>
                <w:sz w:val="19"/>
                <w:szCs w:val="19"/>
              </w:rPr>
              <w:t xml:space="preserve">This policy proposes that the Shop absorbs card processing fees, so that the Barber’s 70% is computed on the discounted service price rather than on net-of-fee proceeds.</w:t>
            </w:r>
          </w:p>
          <w:p>
            <w:pPr>
              <w:spacing w:after="60"/>
            </w:pPr>
            <w:r>
              <w:rPr>
                <w:rFonts w:ascii="Calibri" w:cs="Calibri" w:eastAsia="Calibri" w:hAnsi="Calibri"/>
                <w:color w:val="1A1A1A"/>
                <w:sz w:val="19"/>
                <w:szCs w:val="19"/>
              </w:rPr>
              <w:t xml:space="preserve">The alternative is to deduct Square’s fee from the ticket before splitting. On a $50 card-present service at roughly 2.6% plus $0.10, that is about $1.40 per ticket, of which the Barber would bear about $0.98. Across five barbers at volume it is a material annual figure in both directions.</w:t>
            </w:r>
          </w:p>
          <w:p>
            <w:pPr>
              <w:spacing w:after="60"/>
            </w:pPr>
            <w:r>
              <w:rPr>
                <w:rFonts w:ascii="Calibri" w:cs="Calibri" w:eastAsia="Calibri" w:hAnsi="Calibri"/>
                <w:color w:val="1A1A1A"/>
                <w:sz w:val="19"/>
                <w:szCs w:val="19"/>
              </w:rPr>
              <w:t xml:space="preserve">Either answer is defensible. What is not defensible is leaving it undecided until a Barber examines a Statement and finds a number they did not expect. Initial one option in Annex A.</w:t>
            </w:r>
          </w:p>
        </w:tc>
      </w:tr>
    </w:tbl>
    <w:p>
      <w:pPr>
        <w:pStyle w:val="Heading2"/>
        <w:spacing w:after="120" w:before="280"/>
      </w:pPr>
      <w:r>
        <w:rPr>
          <w:rFonts w:ascii="Georgia" w:cs="Georgia" w:eastAsia="Georgia" w:hAnsi="Georgia"/>
          <w:b/>
          <w:bCs/>
          <w:color w:val="8A6A2F"/>
          <w:sz w:val="24"/>
          <w:szCs w:val="24"/>
        </w:rPr>
        <w:t xml:space="preserve">14. Rounding and arithmetic</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Statement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Currency</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United States dollars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Rounding</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To the nearest cent, half-up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Point of rounding</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 each Statement line, not at the weekly total</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Order of operations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Apply discounts, then determine the Basis, then apply the percentage, then round, then sum</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Negative weekly total</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Carried forward against the following Settlement Week rather than collected, unless the Barber has departed</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IV — Transaction Treatment</w:t>
      </w:r>
    </w:p>
    <w:p>
      <w:pPr>
        <w:spacing w:after="180" w:before="0"/>
        <w:jc w:val="left"/>
      </w:pPr>
      <w:r>
        <w:rPr>
          <w:rFonts w:ascii="Calibri" w:cs="Calibri" w:eastAsia="Calibri" w:hAnsi="Calibri"/>
          <w:color w:val="1A1A1A"/>
          <w:sz w:val="21"/>
          <w:szCs w:val="21"/>
        </w:rPr>
        <w:t xml:space="preserve">This Part is the substance of what the previous twelve-line summary omitted. Every row is a transaction type that will occur and that the engine must therefore handle explicitly.</w:t>
      </w:r>
    </w:p>
    <w:p>
      <w:pPr>
        <w:pStyle w:val="Heading2"/>
        <w:spacing w:after="120" w:before="280"/>
      </w:pPr>
      <w:r>
        <w:rPr>
          <w:rFonts w:ascii="Georgia" w:cs="Georgia" w:eastAsia="Georgia" w:hAnsi="Georgia"/>
          <w:b/>
          <w:bCs/>
          <w:color w:val="8A6A2F"/>
          <w:sz w:val="24"/>
          <w:szCs w:val="24"/>
        </w:rPr>
        <w:t xml:space="preserve">15. Treatment matrix</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Transaction</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Treatment</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Completed service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Commission Basis established at completion. Percentage applied per attribution.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Deposit received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commission event. The deposit is held and applied to the service price at completion.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Deposit forfeited on no-show</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Retained 100% by the Shop. No Basis arises because no service was performed.</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No-show fee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Retained 100% by the 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Late-cancellation fee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Retained 100% by the 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Cancellation with no fee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commission event.</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Refund, full</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original line is not edited. A negative Adjustment reversing the Barber’s share posts in the Settlement Week in which the refund clears.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Refund, partial</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Negative Adjustment proportional to the refunded amount, same timing.</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Chargeback</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Treated as a refund. The chargeback fee is borne by the 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Chargeback later won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Positive Adjustment restoring the reversed share in the week the funds are returned.</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Retail product sale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 receives a product commission on the pre-tax product price. Rate to be set by the owner in Annex 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Gift card redeemed for service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Ordinary commission event at redemption, on the service price, attributed to the performing Barber.</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Package redeemed for service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Ordinary commission event at redemption, on the per-visit value stated when the package was sold.</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Membership service redeemed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Ordinary commission event at redemption, on the imputed service value stated in the membership terms.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Membership fee not redeemed in the period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Retained 100% by the Shop.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Multi-Barber ticket</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Split by service line. Each line is attributed to, and settles with, the Barber who performed it.</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Service transferred mid-appointment</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Attributed to the Barber who completed the service, unless the owner records a split with a reason.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Cash taken outside Square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Prohibited. See Section 16.</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Correction of a prior error</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Never an edit. A separate Adjustment carrying reason, author, and timestamp.</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bl>
    <w:p>
      <w:pPr>
        <w:pStyle w:val="Heading2"/>
        <w:spacing w:after="120" w:before="280"/>
      </w:pPr>
      <w:r>
        <w:rPr>
          <w:rFonts w:ascii="Georgia" w:cs="Georgia" w:eastAsia="Georgia" w:hAnsi="Georgia"/>
          <w:b/>
          <w:bCs/>
          <w:color w:val="8A6A2F"/>
          <w:sz w:val="24"/>
          <w:szCs w:val="24"/>
        </w:rPr>
        <w:t xml:space="preserve">16. All transactions run through Square</w:t>
      </w:r>
    </w:p>
    <w:p>
      <w:pPr>
        <w:spacing w:after="120" w:before="0"/>
        <w:jc w:val="left"/>
      </w:pPr>
      <w:r>
        <w:rPr>
          <w:rFonts w:ascii="Calibri" w:cs="Calibri" w:eastAsia="Calibri" w:hAnsi="Calibri"/>
          <w:color w:val="1A1A1A"/>
          <w:sz w:val="21"/>
          <w:szCs w:val="21"/>
        </w:rPr>
        <w:t xml:space="preserve">Every service, add-on, product, and tip must be rung through the Shop’s Square point of sale at the time of service. A Barber may not accept cash, Zelle, Venmo, Cash App, or any other payment directly from a client for services rendered at the Shop.</w:t>
      </w:r>
    </w:p>
    <w:p>
      <w:pPr>
        <w:spacing w:after="120" w:before="0"/>
        <w:jc w:val="left"/>
      </w:pPr>
      <w:r>
        <w:rPr>
          <w:rFonts w:ascii="Calibri" w:cs="Calibri" w:eastAsia="Calibri" w:hAnsi="Calibri"/>
          <w:color w:val="1A1A1A"/>
          <w:sz w:val="21"/>
          <w:szCs w:val="21"/>
        </w:rPr>
        <w:t xml:space="preserve">This is not merely a bookkeeping preference. Square is the source of truth for the entire reconciliation; a transaction that never enters Square produces no Statement line, no attribution record, and no evidence for either party if the amount is later disputed. Off-platform collection also defeats the Shop’s sales and income reporting and exposes both parties.</w:t>
      </w:r>
    </w:p>
    <w:p>
      <w:pPr>
        <w:spacing w:after="200" w:before="0"/>
        <w:jc w:val="left"/>
      </w:pPr>
      <w:r>
        <w:rPr>
          <w:rFonts w:ascii="Calibri" w:cs="Calibri" w:eastAsia="Calibri" w:hAnsi="Calibri"/>
          <w:color w:val="1A1A1A"/>
          <w:sz w:val="21"/>
          <w:szCs w:val="21"/>
        </w:rPr>
        <w:t xml:space="preserve">Where off-platform collection is identified, the full amount is treated as Shop revenue for reconciliation purposes, no Barber share arises on that transaction, and the matter is recorded in the audit log. Repetition is grounds for the owner to terminate the engagement.</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V — Settlement, Statements, and Disputes</w:t>
      </w:r>
    </w:p>
    <w:p>
      <w:pPr>
        <w:pStyle w:val="Heading2"/>
        <w:spacing w:after="120" w:before="280"/>
      </w:pPr>
      <w:r>
        <w:rPr>
          <w:rFonts w:ascii="Georgia" w:cs="Georgia" w:eastAsia="Georgia" w:hAnsi="Georgia"/>
          <w:b/>
          <w:bCs/>
          <w:color w:val="8A6A2F"/>
          <w:sz w:val="24"/>
          <w:szCs w:val="24"/>
        </w:rPr>
        <w:t xml:space="preserve">17. Cycle</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Stage</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Timing</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Settlement Week</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Monday 12:00 a.m. through Sunday 11:59 p.m. Eastern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Statement issued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Monday, by email</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Per-booking attribution notice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By SMS at the time of booking or service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Attribution dispute window</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Twenty-four hours from the SMS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Statement dispute window</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Twenty-four hours from Statement delivery</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Statement locks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Tuesday 5:00 p.m. Eastern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Payout</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Wednesday, after lock</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Payout method</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Zelle or cash, issued manually by the owner</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bl>
    <w:p>
      <w:pPr>
        <w:pStyle w:val="Heading2"/>
        <w:spacing w:after="120" w:before="280"/>
      </w:pPr>
      <w:r>
        <w:rPr>
          <w:rFonts w:ascii="Georgia" w:cs="Georgia" w:eastAsia="Georgia" w:hAnsi="Georgia"/>
          <w:b/>
          <w:bCs/>
          <w:color w:val="8A6A2F"/>
          <w:sz w:val="24"/>
          <w:szCs w:val="24"/>
        </w:rPr>
        <w:t xml:space="preserve">18. What each Statement must show</w:t>
      </w:r>
    </w:p>
    <w:p>
      <w:pPr>
        <w:spacing w:after="120" w:before="0"/>
        <w:jc w:val="left"/>
      </w:pPr>
      <w:r>
        <w:rPr>
          <w:rFonts w:ascii="Calibri" w:cs="Calibri" w:eastAsia="Calibri" w:hAnsi="Calibri"/>
          <w:color w:val="1A1A1A"/>
          <w:sz w:val="21"/>
          <w:szCs w:val="21"/>
        </w:rPr>
        <w:t xml:space="preserve">Each Statement is itemized per transaction. Each line carries the following, so that a Barber can reconstruct any figure without asking and so that the Shop can defend any figure years later.</w:t>
      </w:r>
    </w:p>
    <w:p>
      <w:pPr>
        <w:pStyle w:val="ListParagraph"/>
        <w:numPr>
          <w:ilvl w:val="0"/>
          <w:numId w:val="2"/>
        </w:numPr>
        <w:spacing w:after="60"/>
      </w:pPr>
      <w:r>
        <w:rPr>
          <w:rFonts w:ascii="Calibri" w:cs="Calibri" w:eastAsia="Calibri" w:hAnsi="Calibri"/>
          <w:color w:val="1A1A1A"/>
          <w:sz w:val="21"/>
          <w:szCs w:val="21"/>
        </w:rPr>
        <w:t xml:space="preserve">Date, time, client identifier, service, and Square transaction reference</w:t>
      </w:r>
    </w:p>
    <w:p>
      <w:pPr>
        <w:pStyle w:val="ListParagraph"/>
        <w:numPr>
          <w:ilvl w:val="0"/>
          <w:numId w:val="2"/>
        </w:numPr>
        <w:spacing w:after="60"/>
      </w:pPr>
      <w:r>
        <w:rPr>
          <w:rFonts w:ascii="Calibri" w:cs="Calibri" w:eastAsia="Calibri" w:hAnsi="Calibri"/>
          <w:color w:val="1A1A1A"/>
          <w:sz w:val="21"/>
          <w:szCs w:val="21"/>
        </w:rPr>
        <w:t xml:space="preserve">Gross service price, discounts applied, and the resulting Commission Basis</w:t>
      </w:r>
    </w:p>
    <w:p>
      <w:pPr>
        <w:pStyle w:val="ListParagraph"/>
        <w:numPr>
          <w:ilvl w:val="0"/>
          <w:numId w:val="2"/>
        </w:numPr>
        <w:spacing w:after="60"/>
      </w:pPr>
      <w:r>
        <w:rPr>
          <w:rFonts w:ascii="Calibri" w:cs="Calibri" w:eastAsia="Calibri" w:hAnsi="Calibri"/>
          <w:color w:val="1A1A1A"/>
          <w:sz w:val="21"/>
          <w:szCs w:val="21"/>
        </w:rPr>
        <w:t xml:space="preserve">Tips, shown separately and clearly outside the Basis</w:t>
      </w:r>
    </w:p>
    <w:p>
      <w:pPr>
        <w:pStyle w:val="ListParagraph"/>
        <w:numPr>
          <w:ilvl w:val="0"/>
          <w:numId w:val="2"/>
        </w:numPr>
        <w:spacing w:after="60"/>
      </w:pPr>
      <w:r>
        <w:rPr>
          <w:rFonts w:ascii="Calibri" w:cs="Calibri" w:eastAsia="Calibri" w:hAnsi="Calibri"/>
          <w:color w:val="1A1A1A"/>
          <w:sz w:val="21"/>
          <w:szCs w:val="21"/>
        </w:rPr>
        <w:t xml:space="preserve">Attribution as SHOP or BARBER, and the evidence reference where BARBER</w:t>
      </w:r>
    </w:p>
    <w:p>
      <w:pPr>
        <w:pStyle w:val="ListParagraph"/>
        <w:numPr>
          <w:ilvl w:val="0"/>
          <w:numId w:val="2"/>
        </w:numPr>
        <w:spacing w:after="60"/>
      </w:pPr>
      <w:r>
        <w:rPr>
          <w:rFonts w:ascii="Calibri" w:cs="Calibri" w:eastAsia="Calibri" w:hAnsi="Calibri"/>
          <w:color w:val="1A1A1A"/>
          <w:sz w:val="21"/>
          <w:szCs w:val="21"/>
        </w:rPr>
        <w:t xml:space="preserve">Rule Set version and effective date under which the line was computed</w:t>
      </w:r>
    </w:p>
    <w:p>
      <w:pPr>
        <w:pStyle w:val="ListParagraph"/>
        <w:numPr>
          <w:ilvl w:val="0"/>
          <w:numId w:val="2"/>
        </w:numPr>
        <w:spacing w:after="60"/>
      </w:pPr>
      <w:r>
        <w:rPr>
          <w:rFonts w:ascii="Calibri" w:cs="Calibri" w:eastAsia="Calibri" w:hAnsi="Calibri"/>
          <w:color w:val="1A1A1A"/>
          <w:sz w:val="21"/>
          <w:szCs w:val="21"/>
        </w:rPr>
        <w:t xml:space="preserve">Percentage applied and the resulting Calculated Amount</w:t>
      </w:r>
    </w:p>
    <w:p>
      <w:pPr>
        <w:pStyle w:val="ListParagraph"/>
        <w:numPr>
          <w:ilvl w:val="0"/>
          <w:numId w:val="2"/>
        </w:numPr>
        <w:spacing w:after="60"/>
      </w:pPr>
      <w:r>
        <w:rPr>
          <w:rFonts w:ascii="Calibri" w:cs="Calibri" w:eastAsia="Calibri" w:hAnsi="Calibri"/>
          <w:color w:val="1A1A1A"/>
          <w:sz w:val="21"/>
          <w:szCs w:val="21"/>
        </w:rPr>
        <w:t xml:space="preserve">Any Adjustment affecting the line, with its reason and date</w:t>
      </w:r>
    </w:p>
    <w:p>
      <w:pPr>
        <w:pStyle w:val="ListParagraph"/>
        <w:numPr>
          <w:ilvl w:val="0"/>
          <w:numId w:val="2"/>
        </w:numPr>
        <w:spacing w:after="60"/>
      </w:pPr>
      <w:r>
        <w:rPr>
          <w:rFonts w:ascii="Calibri" w:cs="Calibri" w:eastAsia="Calibri" w:hAnsi="Calibri"/>
          <w:color w:val="1A1A1A"/>
          <w:sz w:val="21"/>
          <w:szCs w:val="21"/>
        </w:rPr>
        <w:t xml:space="preserve">Lock status and dispute status</w:t>
      </w:r>
    </w:p>
    <w:p>
      <w:pPr>
        <w:pStyle w:val="ListParagraph"/>
        <w:numPr>
          <w:ilvl w:val="0"/>
          <w:numId w:val="2"/>
        </w:numPr>
        <w:spacing w:after="60"/>
      </w:pPr>
      <w:r>
        <w:rPr>
          <w:rFonts w:ascii="Calibri" w:cs="Calibri" w:eastAsia="Calibri" w:hAnsi="Calibri"/>
          <w:color w:val="1A1A1A"/>
          <w:sz w:val="21"/>
          <w:szCs w:val="21"/>
        </w:rPr>
        <w:t xml:space="preserve">Weekly totals for Basis, Calculated Amounts, tips, Adjustments, and the sum payable</w:t>
      </w:r>
    </w:p>
    <w:p>
      <w:pPr>
        <w:pStyle w:val="Heading2"/>
        <w:spacing w:after="120" w:before="280"/>
      </w:pPr>
      <w:r>
        <w:rPr>
          <w:rFonts w:ascii="Georgia" w:cs="Georgia" w:eastAsia="Georgia" w:hAnsi="Georgia"/>
          <w:b/>
          <w:bCs/>
          <w:color w:val="8A6A2F"/>
          <w:sz w:val="24"/>
          <w:szCs w:val="24"/>
        </w:rPr>
        <w:t xml:space="preserve">19. Disputes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Statement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Who may dispute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Barber to whom the line relates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What may be disputed</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Attribution of a transaction, and arithmetic or omission on a Statement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What may not be disputed</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percentages themselves, the terms of this policy, or a Locked Calculation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How</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Reply DISPUTE to the notification SMS, or reply to the Statement email, within the applicable window</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 edit rights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None. A Barber cannot alter an attribution or a calculation directly, at any time.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Silence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Non-response within the window is acceptance. The line locks.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Review</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owner reviews against the Section 8 evidence standard</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Decision deadline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Two business days from receipt of the dispute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Outcome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Written, with a reason, delivered to the Barber and recorded in the audit log</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Remedy if upheld</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positive Adjustment on the next Statement. The original line is never edited.</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Escalation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owner’s decision is final within this policy</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Owner override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Requires a written reason, is logged with author and timestamp, and cannot be applied retroactively to a Locked line except by Adjustment</w:t>
            </w:r>
          </w:p>
        </w:tc>
      </w:tr>
    </w:tbl>
    <w:p>
      <w:pPr>
        <w:pStyle w:val="Heading2"/>
        <w:spacing w:after="120" w:before="280"/>
      </w:pPr>
      <w:r>
        <w:rPr>
          <w:rFonts w:ascii="Georgia" w:cs="Georgia" w:eastAsia="Georgia" w:hAnsi="Georgia"/>
          <w:b/>
          <w:bCs/>
          <w:color w:val="8A6A2F"/>
          <w:sz w:val="24"/>
          <w:szCs w:val="24"/>
        </w:rPr>
        <w:t xml:space="preserve">20. Immutability</w:t>
      </w:r>
    </w:p>
    <w:p>
      <w:pPr>
        <w:spacing w:after="120" w:before="0"/>
        <w:jc w:val="left"/>
      </w:pPr>
      <w:r>
        <w:rPr>
          <w:rFonts w:ascii="Calibri" w:cs="Calibri" w:eastAsia="Calibri" w:hAnsi="Calibri"/>
          <w:color w:val="1A1A1A"/>
          <w:sz w:val="21"/>
          <w:szCs w:val="21"/>
        </w:rPr>
        <w:t xml:space="preserve">A Locked Calculation is never modified, deleted, or recomputed — not to fix an error, not to settle a dispute, and not to apply a later rule change. Every correction is a new dated Adjustment carrying its own reason and author. The consequence is that the Shop can reproduce, for any week in the past, exactly what was calculated, on what basis, under which rule version, and what was subsequently changed and why. That reproducibility is the entire defense if a Barber contests a figure months later, and it is lost the moment a single historical row is edited in place.</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VI — Integrity and Anti-Gaming</w:t>
      </w:r>
    </w:p>
    <w:p>
      <w:pPr>
        <w:pStyle w:val="Heading2"/>
        <w:spacing w:after="120" w:before="280"/>
      </w:pPr>
      <w:r>
        <w:rPr>
          <w:rFonts w:ascii="Georgia" w:cs="Georgia" w:eastAsia="Georgia" w:hAnsi="Georgia"/>
          <w:b/>
          <w:bCs/>
          <w:color w:val="8A6A2F"/>
          <w:sz w:val="24"/>
          <w:szCs w:val="24"/>
        </w:rPr>
        <w:t xml:space="preserve">21. Flags</w:t>
      </w:r>
    </w:p>
    <w:p>
      <w:pPr>
        <w:spacing w:after="140" w:before="0"/>
        <w:jc w:val="left"/>
      </w:pPr>
      <w:r>
        <w:rPr>
          <w:rFonts w:ascii="Calibri" w:cs="Calibri" w:eastAsia="Calibri" w:hAnsi="Calibri"/>
          <w:color w:val="1A1A1A"/>
          <w:sz w:val="21"/>
          <w:szCs w:val="21"/>
        </w:rPr>
        <w:t xml:space="preserve">Because attribution defaults to SHOP and the burden of proof sits with the Barber, the exposure runs in one direction: a Barber over-claiming clients as pre-existing. The following are monitored and surfaced to the owner. A flag is a prompt for review, not a finding.</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Flag</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Trigger</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Status</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Volume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Barber claims more than 40% of their new clients as pre-existing</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2F6B3A"/>
                <w:sz w:val="17"/>
                <w:szCs w:val="17"/>
              </w:rPr>
              <w:t xml:space="preserve">LOCKED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Retroactive-claim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pre-existing claim raised only after the client has been served</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Source-conflict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pre-existing claim on a client whose first-touch source was Google, the website, paid advertising, or walk-in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Duplicate-contact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same telephone number or email appearing across multiple client records or multiple Barbers’ rosters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Dispute-rate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Barber disputing more than 25% of their lines in a Settlement Week</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Off-platform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booked appointment with no corresponding Square transaction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Roster-drift flag</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Repeated requests to amend an accepted Imported Client Roster</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PROPOSED</w:t>
            </w:r>
          </w:p>
        </w:tc>
      </w:tr>
    </w:tbl>
    <w:p>
      <w:pPr>
        <w:pStyle w:val="Heading2"/>
        <w:spacing w:after="120" w:before="280"/>
      </w:pPr>
      <w:r>
        <w:rPr>
          <w:rFonts w:ascii="Georgia" w:cs="Georgia" w:eastAsia="Georgia" w:hAnsi="Georgia"/>
          <w:b/>
          <w:bCs/>
          <w:color w:val="8A6A2F"/>
          <w:sz w:val="24"/>
          <w:szCs w:val="24"/>
        </w:rPr>
        <w:t xml:space="preserve">22. Consequences</w:t>
      </w:r>
    </w:p>
    <w:p>
      <w:pPr>
        <w:spacing w:after="120" w:before="0"/>
        <w:jc w:val="left"/>
      </w:pPr>
      <w:r>
        <w:rPr>
          <w:rFonts w:ascii="Calibri" w:cs="Calibri" w:eastAsia="Calibri" w:hAnsi="Calibri"/>
          <w:color w:val="1A1A1A"/>
          <w:sz w:val="21"/>
          <w:szCs w:val="21"/>
        </w:rPr>
        <w:t xml:space="preserve">A claim found to be unsupported is settled as SHOP. A claim found to have been knowingly false is settled as SHOP, recorded in the audit log, and is grounds for the owner to require owner pre-approval of that Barber’s future attribution claims or to terminate the engagement.</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VII — Versioning and Records</w:t>
      </w:r>
    </w:p>
    <w:p>
      <w:pPr>
        <w:pStyle w:val="Heading2"/>
        <w:spacing w:after="120" w:before="280"/>
      </w:pPr>
      <w:r>
        <w:rPr>
          <w:rFonts w:ascii="Georgia" w:cs="Georgia" w:eastAsia="Georgia" w:hAnsi="Georgia"/>
          <w:b/>
          <w:bCs/>
          <w:color w:val="8A6A2F"/>
          <w:sz w:val="24"/>
          <w:szCs w:val="24"/>
        </w:rPr>
        <w:t xml:space="preserve">23. Rule versions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Statement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This version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Rule Set v1.0, effective 6 January 2026</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Calculation basis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Every calculation is performed under the Rule Set version in force on the transaction date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Retroactivity</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None. A new version never recalculates a prior week.</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Notice of change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Fourteen calendar days’ written notice to every Barber before a new version takes effect</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Acknowledgement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Each Barber acknowledges each version in writing before it applies to them</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Register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Shop maintains a register of every version, its effective dates, and what changed</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Record retention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Seven years for Statements, attribution evidence, disputes, decisions, and audit logs</w:t>
            </w:r>
          </w:p>
        </w:tc>
      </w:tr>
    </w:tbl>
    <w:p>
      <w:pPr>
        <w:pStyle w:val="Heading2"/>
        <w:spacing w:after="120" w:before="280"/>
      </w:pPr>
      <w:r>
        <w:rPr>
          <w:rFonts w:ascii="Georgia" w:cs="Georgia" w:eastAsia="Georgia" w:hAnsi="Georgia"/>
          <w:b/>
          <w:bCs/>
          <w:color w:val="8A6A2F"/>
          <w:sz w:val="24"/>
          <w:szCs w:val="24"/>
        </w:rPr>
        <w:t xml:space="preserve">24. Records the Shop maintains</w:t>
      </w:r>
    </w:p>
    <w:p>
      <w:pPr>
        <w:pStyle w:val="ListParagraph"/>
        <w:numPr>
          <w:ilvl w:val="0"/>
          <w:numId w:val="2"/>
        </w:numPr>
        <w:spacing w:after="60"/>
      </w:pPr>
      <w:r>
        <w:rPr>
          <w:rFonts w:ascii="Calibri" w:cs="Calibri" w:eastAsia="Calibri" w:hAnsi="Calibri"/>
          <w:color w:val="1A1A1A"/>
          <w:sz w:val="21"/>
          <w:szCs w:val="21"/>
        </w:rPr>
        <w:t xml:space="preserve">Accepted Imported Client Rosters and the evidence filed with them</w:t>
      </w:r>
    </w:p>
    <w:p>
      <w:pPr>
        <w:pStyle w:val="ListParagraph"/>
        <w:numPr>
          <w:ilvl w:val="0"/>
          <w:numId w:val="2"/>
        </w:numPr>
        <w:spacing w:after="60"/>
      </w:pPr>
      <w:r>
        <w:rPr>
          <w:rFonts w:ascii="Calibri" w:cs="Calibri" w:eastAsia="Calibri" w:hAnsi="Calibri"/>
          <w:color w:val="1A1A1A"/>
          <w:sz w:val="21"/>
          <w:szCs w:val="21"/>
        </w:rPr>
        <w:t xml:space="preserve">Every Statement as issued, in its issued form</w:t>
      </w:r>
    </w:p>
    <w:p>
      <w:pPr>
        <w:pStyle w:val="ListParagraph"/>
        <w:numPr>
          <w:ilvl w:val="0"/>
          <w:numId w:val="2"/>
        </w:numPr>
        <w:spacing w:after="60"/>
      </w:pPr>
      <w:r>
        <w:rPr>
          <w:rFonts w:ascii="Calibri" w:cs="Calibri" w:eastAsia="Calibri" w:hAnsi="Calibri"/>
          <w:color w:val="1A1A1A"/>
          <w:sz w:val="21"/>
          <w:szCs w:val="21"/>
        </w:rPr>
        <w:t xml:space="preserve">Every dispute, the evidence considered, the decision, and the reason</w:t>
      </w:r>
    </w:p>
    <w:p>
      <w:pPr>
        <w:pStyle w:val="ListParagraph"/>
        <w:numPr>
          <w:ilvl w:val="0"/>
          <w:numId w:val="2"/>
        </w:numPr>
        <w:spacing w:after="60"/>
      </w:pPr>
      <w:r>
        <w:rPr>
          <w:rFonts w:ascii="Calibri" w:cs="Calibri" w:eastAsia="Calibri" w:hAnsi="Calibri"/>
          <w:color w:val="1A1A1A"/>
          <w:sz w:val="21"/>
          <w:szCs w:val="21"/>
        </w:rPr>
        <w:t xml:space="preserve">Every owner override, with author, reason, and timestamp</w:t>
      </w:r>
    </w:p>
    <w:p>
      <w:pPr>
        <w:pStyle w:val="ListParagraph"/>
        <w:numPr>
          <w:ilvl w:val="0"/>
          <w:numId w:val="2"/>
        </w:numPr>
        <w:spacing w:after="60"/>
      </w:pPr>
      <w:r>
        <w:rPr>
          <w:rFonts w:ascii="Calibri" w:cs="Calibri" w:eastAsia="Calibri" w:hAnsi="Calibri"/>
          <w:color w:val="1A1A1A"/>
          <w:sz w:val="21"/>
          <w:szCs w:val="21"/>
        </w:rPr>
        <w:t xml:space="preserve">Every Adjustment and the line it relates to</w:t>
      </w:r>
    </w:p>
    <w:p>
      <w:pPr>
        <w:pStyle w:val="ListParagraph"/>
        <w:numPr>
          <w:ilvl w:val="0"/>
          <w:numId w:val="2"/>
        </w:numPr>
        <w:spacing w:after="60"/>
      </w:pPr>
      <w:r>
        <w:rPr>
          <w:rFonts w:ascii="Calibri" w:cs="Calibri" w:eastAsia="Calibri" w:hAnsi="Calibri"/>
          <w:color w:val="1A1A1A"/>
          <w:sz w:val="21"/>
          <w:szCs w:val="21"/>
        </w:rPr>
        <w:t xml:space="preserve">Every Rule Set version and each Barber’s acknowledgement of it</w:t>
      </w:r>
    </w:p>
    <w:p>
      <w:pPr>
        <w:pStyle w:val="ListParagraph"/>
        <w:numPr>
          <w:ilvl w:val="0"/>
          <w:numId w:val="2"/>
        </w:numPr>
        <w:spacing w:after="60"/>
      </w:pPr>
      <w:r>
        <w:rPr>
          <w:rFonts w:ascii="Calibri" w:cs="Calibri" w:eastAsia="Calibri" w:hAnsi="Calibri"/>
          <w:color w:val="1A1A1A"/>
          <w:sz w:val="21"/>
          <w:szCs w:val="21"/>
        </w:rPr>
        <w:t xml:space="preserve">Consent records for SMS and email communication</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VIII — Confirmed Defaults Carried Forward</w:t>
      </w:r>
    </w:p>
    <w:p>
      <w:pPr>
        <w:spacing w:after="160" w:before="0"/>
        <w:jc w:val="left"/>
      </w:pPr>
      <w:r>
        <w:rPr>
          <w:rFonts w:ascii="Calibri" w:cs="Calibri" w:eastAsia="Calibri" w:hAnsi="Calibri"/>
          <w:color w:val="1A1A1A"/>
          <w:sz w:val="21"/>
          <w:szCs w:val="21"/>
        </w:rPr>
        <w:t xml:space="preserve">These are the twelve values previously circulated. They are unchanged and remain in force. They are restated here so that this document is complete on its own and supersedes the summary.</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Rule</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Value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Shop-generated client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70% Barber / 30% Shop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Verified pre-existing client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Tips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 excluded from the Commission Basis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Default attribution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 unless the Barber proves otherwise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Walk-ins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Dispute window</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Twenty-four hours, by SMS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Anti-gaming flag</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 claiming more than 40% of new clients as pre-existing</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Settlement week</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Monday through Sunday</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Statement sent</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Monday</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Rules effective from</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6 January 2026</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Payout method</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Zelle or cash, paid manually by the owner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Locked calculations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Immutable. Corrections by separate Adjustment only.</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 IX — Owner Confirmation</w:t>
      </w:r>
    </w:p>
    <w:p>
      <w:pPr>
        <w:spacing w:after="200" w:before="0"/>
        <w:jc w:val="left"/>
      </w:pPr>
      <w:r>
        <w:rPr>
          <w:rFonts w:ascii="Calibri" w:cs="Calibri" w:eastAsia="Calibri" w:hAnsi="Calibri"/>
          <w:color w:val="1A1A1A"/>
          <w:sz w:val="21"/>
          <w:szCs w:val="21"/>
        </w:rPr>
        <w:t xml:space="preserve">The owner initials each line below. An initialed line is what converts a verbal understanding into a record that can be produced if a Barber contests a calculation later. The seven-line version previously circulated came back without initials; this schedule replaces it.</w:t>
      </w:r>
    </w:p>
    <w:p>
      <w:pPr>
        <w:pStyle w:val="Heading3"/>
        <w:spacing w:after="100" w:before="200"/>
      </w:pPr>
      <w:r>
        <w:rPr>
          <w:rFonts w:ascii="Calibri" w:cs="Calibri" w:eastAsia="Calibri" w:hAnsi="Calibri"/>
          <w:b/>
          <w:bCs/>
          <w:color w:val="1A1A1A"/>
          <w:sz w:val="21"/>
          <w:szCs w:val="21"/>
        </w:rPr>
        <w:t xml:space="preserve">Schedule A — Confirmed defaults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5760"/>
        <w:gridCol w:w="2400"/>
        <w:gridCol w:w="1200"/>
      </w:tblGrid>
      <w:tr>
        <w:trPr>
          <w:tblHeader/>
        </w:trPr>
        <w:tc>
          <w:tcPr>
            <w:tcW w:type="dxa" w:w="57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Line</w:t>
            </w:r>
          </w:p>
        </w:tc>
        <w:tc>
          <w:tcPr>
            <w:tcW w:type="dxa" w:w="24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Owner initials</w:t>
            </w:r>
          </w:p>
        </w:tc>
        <w:tc>
          <w:tcPr>
            <w:tcW w:type="dxa" w:w="12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Date</w:t>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Shop-generated client settles 70% Barber / 30% Shop</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Verified pre-existing client settles 100% Barber</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Tips are 100% Barber and excluded from the Commission Basis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Default attribution is SHOP; the burden of proof is on the Barber</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Walk-ins are SHOP</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Attribution dispute window is twenty-four hours by SMS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Barber claiming more than 40% of new clients as pre-existing is flagged</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Settlement week is Monday through Sunday; Statement issues Monday</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Rules take effect 6 January 2026</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Payout is by Zelle or cash, issued manually by the owner</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Locked calculations are immutable; corrections by Adjustment only</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bl>
    <w:p>
      <w:r>
        <w:br w:type="page"/>
      </w:r>
    </w:p>
    <w:p>
      <w:pPr>
        <w:pStyle w:val="Heading3"/>
        <w:spacing w:after="100" w:before="200"/>
      </w:pPr>
      <w:r>
        <w:rPr>
          <w:rFonts w:ascii="Calibri" w:cs="Calibri" w:eastAsia="Calibri" w:hAnsi="Calibri"/>
          <w:b/>
          <w:bCs/>
          <w:color w:val="1A1A1A"/>
          <w:sz w:val="21"/>
          <w:szCs w:val="21"/>
        </w:rPr>
        <w:t xml:space="preserve">Schedule B — New determinations requiring confirmation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5760"/>
        <w:gridCol w:w="2400"/>
        <w:gridCol w:w="1200"/>
      </w:tblGrid>
      <w:tr>
        <w:trPr>
          <w:tblHeader/>
        </w:trPr>
        <w:tc>
          <w:tcPr>
            <w:tcW w:type="dxa" w:w="57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Line</w:t>
            </w:r>
          </w:p>
        </w:tc>
        <w:tc>
          <w:tcPr>
            <w:tcW w:type="dxa" w:w="24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Owner initials</w:t>
            </w:r>
          </w:p>
        </w:tc>
        <w:tc>
          <w:tcPr>
            <w:tcW w:type="dxa" w:w="12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Date</w:t>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Verified Pre-Existing Client is defined by the four conditions in Section 8</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Evidence must meet the standard in Section 8; assertion alone is insufficient</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Imported Client Roster is filed within fourteen days of start date, once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client omitted from an accepted roster is SHOP, subject only to Section 10</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Attribution is permanent and specific to the client-and-Barber pairing</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 client moving to another Barber begins at SHOP with that Barber</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Sales tax is excluded from every Commission Basis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Service-level discounts reduce the Basis proportionally for both parties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Shop-funded promotions reduce the Basis unless designated marketing-funded in advance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Deposits create no commission event until the service is completed</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Forfeited deposits and no-show fees are retained 100% by the Shop</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Late-cancellation fees are retained 100% by the Shop</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Refunds and chargebacks post as negative Adjustments, never as edits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Chargeback fees are borne by the Shop</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Gift cards, packages, and memberships create a commission event on redemption only</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Unredeemed membership revenue is retained 100% by the Shop</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Multi-Barber tickets split by service line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All transactions must run through Square; off-platform collection is prohibited</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Rounding is to the nearest cent, half-up, at line level</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Statement dispute window is twenty-four hours from delivery; lock Tuesday 5:00 p.m.</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Payout issues Wednesday, after lock</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Silence within a dispute window is acceptance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Disputes are decided within two business days, in writing, with a reason</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Owner overrides require a written reason and are logged</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Rule changes require fourteen days’ written notice and are never retroactive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Records are retained for seven years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The additional integrity flags in Section 21 are enabled</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Annex A — Open Items the Owner Must Answer</w:t>
      </w:r>
    </w:p>
    <w:p>
      <w:pPr>
        <w:spacing w:after="180" w:before="0"/>
        <w:jc w:val="left"/>
      </w:pPr>
      <w:r>
        <w:rPr>
          <w:rFonts w:ascii="Calibri" w:cs="Calibri" w:eastAsia="Calibri" w:hAnsi="Calibri"/>
          <w:color w:val="1A1A1A"/>
          <w:sz w:val="21"/>
          <w:szCs w:val="21"/>
        </w:rPr>
        <w:t xml:space="preserve">These cannot be defaulted. Each requires the owner’s figure or decision before the first Statement runs.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600"/>
        <w:gridCol w:w="4000"/>
        <w:gridCol w:w="4760"/>
      </w:tblGrid>
      <w:tr>
        <w:trPr>
          <w:tblHeader/>
        </w:trPr>
        <w:tc>
          <w:tcPr>
            <w:tcW w:type="dxa" w:w="6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7"/>
                <w:szCs w:val="17"/>
              </w:rPr>
              <w:t xml:space="preserve">#</w:t>
            </w:r>
          </w:p>
        </w:tc>
        <w:tc>
          <w:tcPr>
            <w:tcW w:type="dxa" w:w="40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Question</w:t>
            </w:r>
          </w:p>
        </w:tc>
        <w:tc>
          <w:tcPr>
            <w:tcW w:type="dxa" w:w="47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Owner’s answer</w:t>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Is the arrangement booth rental or percentage commission? Both descriptions are currently in circulation and they are mutually exclusive.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2</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If booth rental applies, what is the rent amount and period, and does the 70/30 split apply in addition to rent or instead of it?</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3</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Processing fees: does the Shop absorb them, or are they deducted from the ticket before the split?</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4</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Retail product commission rate to the Barber, on the pre-tax product price.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5</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Is there a product commission at all, or are products entirely Shop revenue?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6</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Imputed per-visit service value for each membership tier, for redemption commission.</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7</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Per-visit value for each package sold, stated at the time of sale.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8</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Deposit amount and the no-show and late-cancellation fee schedule.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9</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How many hours before an appointment does a cancellation become "late"?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10</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Confirmed start date for each currently engaged Barber, which sets each roster window.</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11</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Is there a signed independent-contractor agreement for each Barber? If not, one should accompany this policy.</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12</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 count and service list, currently placeholder at five barbers and six services.</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Barber Acknowledgement</w:t>
      </w:r>
    </w:p>
    <w:p>
      <w:pPr>
        <w:spacing w:after="120" w:before="0"/>
        <w:jc w:val="left"/>
      </w:pPr>
      <w:r>
        <w:rPr>
          <w:rFonts w:ascii="Calibri" w:cs="Calibri" w:eastAsia="Calibri" w:hAnsi="Calibri"/>
          <w:color w:val="1A1A1A"/>
          <w:sz w:val="21"/>
          <w:szCs w:val="21"/>
        </w:rPr>
        <w:t xml:space="preserve">I have read this Attribution and Commission Policy. I understand that I operate as an independent contractor, that no amount is withheld from my Calculated Amounts, and that I am responsible for my own taxes, license, and insurance. I understand that client attribution defaults to SHOP, that the burden of establishing BARBER attribution rests with me and requires evidence, that I cannot edit an attribution or a calculation directly, and that my remedy is a dispute filed within the stated window. I understand that a calculation locks when its window closes and that corrections are made only by separate Adjustment.</w:t>
      </w:r>
    </w:p>
    <w:p>
      <w:pPr>
        <w:spacing w:after="300" w:before="0"/>
        <w:jc w:val="left"/>
      </w:pPr>
      <w:r>
        <w:rPr>
          <w:rFonts w:ascii="Calibri" w:cs="Calibri" w:eastAsia="Calibri" w:hAnsi="Calibri"/>
          <w:color w:val="1A1A1A"/>
          <w:sz w:val="21"/>
          <w:szCs w:val="21"/>
        </w:rPr>
        <w:t xml:space="preserve">I understand that all payments for services rendered at the Shop must be processed through the Shop’s Square point of sale, and that collecting payment outside Square is prohibited.</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00"/>
        <w:gridCol w:w="4760"/>
      </w:tblGrid>
      <w:tr>
        <w:tc>
          <w:tcPr>
            <w:tcW w:type="dxa" w:w="4600"/>
            <w:tcBorders>
              <w:top w:val="none"/>
              <w:left w:val="none"/>
              <w:bottom w:val="single" w:color="1A1A1A" w:sz="4"/>
              <w:right w:val="none"/>
            </w:tcBorders>
            <w:tcMar>
              <w:top w:type="dxa" w:w="400"/>
              <w:left w:type="dxa" w:w="0"/>
              <w:bottom w:type="dxa" w:w="60"/>
              <w:right w:type="dxa" w:w="200"/>
            </w:tcMar>
          </w:tcPr>
          <w:p>
            <w:r>
              <w:t xml:space="preserve"/>
            </w:r>
          </w:p>
        </w:tc>
        <w:tc>
          <w:tcPr>
            <w:tcW w:type="dxa" w:w="4760"/>
            <w:tcBorders>
              <w:top w:val="none"/>
              <w:left w:val="none"/>
              <w:bottom w:val="single" w:color="1A1A1A" w:sz="4"/>
              <w:right w:val="none"/>
            </w:tcBorders>
            <w:tcMar>
              <w:top w:type="dxa" w:w="400"/>
              <w:left w:type="dxa" w:w="200"/>
              <w:bottom w:type="dxa" w:w="60"/>
              <w:right w:type="dxa" w:w="0"/>
            </w:tcMar>
          </w:tcPr>
          <w:p>
            <w:r>
              <w:t xml:space="preserve"/>
            </w:r>
          </w:p>
        </w:tc>
      </w:tr>
      <w:tr>
        <w:tc>
          <w:tcPr>
            <w:tcW w:type="dxa" w:w="4600"/>
            <w:tcBorders>
              <w:top w:val="none"/>
              <w:left w:val="none"/>
              <w:bottom w:val="none"/>
              <w:right w:val="none"/>
            </w:tcBorders>
            <w:tcMar>
              <w:top w:type="dxa" w:w="40"/>
              <w:left w:type="dxa" w:w="0"/>
              <w:bottom w:type="dxa" w:w="200"/>
              <w:right w:type="dxa" w:w="200"/>
            </w:tcMar>
          </w:tcPr>
          <w:p>
            <w:r>
              <w:rPr>
                <w:rFonts w:ascii="Calibri" w:cs="Calibri" w:eastAsia="Calibri" w:hAnsi="Calibri"/>
                <w:color w:val="5A5A5A"/>
                <w:sz w:val="17"/>
                <w:szCs w:val="17"/>
              </w:rPr>
              <w:t xml:space="preserve">Barber — signature</w:t>
            </w:r>
          </w:p>
        </w:tc>
        <w:tc>
          <w:tcPr>
            <w:tcW w:type="dxa" w:w="4760"/>
            <w:tcBorders>
              <w:top w:val="none"/>
              <w:left w:val="none"/>
              <w:bottom w:val="none"/>
              <w:right w:val="none"/>
            </w:tcBorders>
            <w:tcMar>
              <w:top w:type="dxa" w:w="40"/>
              <w:left w:type="dxa" w:w="200"/>
              <w:bottom w:type="dxa" w:w="200"/>
              <w:right w:type="dxa" w:w="0"/>
            </w:tcMar>
          </w:tcPr>
          <w:p>
            <w:r>
              <w:rPr>
                <w:rFonts w:ascii="Calibri" w:cs="Calibri" w:eastAsia="Calibri" w:hAnsi="Calibri"/>
                <w:color w:val="5A5A5A"/>
                <w:sz w:val="17"/>
                <w:szCs w:val="17"/>
              </w:rPr>
              <w:t xml:space="preserve">Date</w:t>
            </w:r>
          </w:p>
        </w:tc>
      </w:tr>
    </w:tbl>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00"/>
        <w:gridCol w:w="4760"/>
      </w:tblGrid>
      <w:tr>
        <w:tc>
          <w:tcPr>
            <w:tcW w:type="dxa" w:w="4600"/>
            <w:tcBorders>
              <w:top w:val="none"/>
              <w:left w:val="none"/>
              <w:bottom w:val="single" w:color="1A1A1A" w:sz="4"/>
              <w:right w:val="none"/>
            </w:tcBorders>
            <w:tcMar>
              <w:top w:type="dxa" w:w="400"/>
              <w:left w:type="dxa" w:w="0"/>
              <w:bottom w:type="dxa" w:w="60"/>
              <w:right w:type="dxa" w:w="200"/>
            </w:tcMar>
          </w:tcPr>
          <w:p>
            <w:r>
              <w:t xml:space="preserve"/>
            </w:r>
          </w:p>
        </w:tc>
        <w:tc>
          <w:tcPr>
            <w:tcW w:type="dxa" w:w="4760"/>
            <w:tcBorders>
              <w:top w:val="none"/>
              <w:left w:val="none"/>
              <w:bottom w:val="single" w:color="1A1A1A" w:sz="4"/>
              <w:right w:val="none"/>
            </w:tcBorders>
            <w:tcMar>
              <w:top w:type="dxa" w:w="400"/>
              <w:left w:type="dxa" w:w="200"/>
              <w:bottom w:type="dxa" w:w="60"/>
              <w:right w:type="dxa" w:w="0"/>
            </w:tcMar>
          </w:tcPr>
          <w:p>
            <w:r>
              <w:t xml:space="preserve"/>
            </w:r>
          </w:p>
        </w:tc>
      </w:tr>
      <w:tr>
        <w:tc>
          <w:tcPr>
            <w:tcW w:type="dxa" w:w="4600"/>
            <w:tcBorders>
              <w:top w:val="none"/>
              <w:left w:val="none"/>
              <w:bottom w:val="none"/>
              <w:right w:val="none"/>
            </w:tcBorders>
            <w:tcMar>
              <w:top w:type="dxa" w:w="40"/>
              <w:left w:type="dxa" w:w="0"/>
              <w:bottom w:type="dxa" w:w="200"/>
              <w:right w:type="dxa" w:w="200"/>
            </w:tcMar>
          </w:tcPr>
          <w:p>
            <w:r>
              <w:rPr>
                <w:rFonts w:ascii="Calibri" w:cs="Calibri" w:eastAsia="Calibri" w:hAnsi="Calibri"/>
                <w:color w:val="5A5A5A"/>
                <w:sz w:val="17"/>
                <w:szCs w:val="17"/>
              </w:rPr>
              <w:t xml:space="preserve">Barber — printed name</w:t>
            </w:r>
          </w:p>
        </w:tc>
        <w:tc>
          <w:tcPr>
            <w:tcW w:type="dxa" w:w="4760"/>
            <w:tcBorders>
              <w:top w:val="none"/>
              <w:left w:val="none"/>
              <w:bottom w:val="none"/>
              <w:right w:val="none"/>
            </w:tcBorders>
            <w:tcMar>
              <w:top w:type="dxa" w:w="40"/>
              <w:left w:type="dxa" w:w="200"/>
              <w:bottom w:type="dxa" w:w="200"/>
              <w:right w:type="dxa" w:w="0"/>
            </w:tcMar>
          </w:tcPr>
          <w:p>
            <w:r>
              <w:rPr>
                <w:rFonts w:ascii="Calibri" w:cs="Calibri" w:eastAsia="Calibri" w:hAnsi="Calibri"/>
                <w:color w:val="5A5A5A"/>
                <w:sz w:val="17"/>
                <w:szCs w:val="17"/>
              </w:rPr>
              <w:t xml:space="preserve">Start date at the Shop</w:t>
            </w:r>
          </w:p>
        </w:tc>
      </w:tr>
    </w:tbl>
    <w:p>
      <w:pPr>
        <w:spacing w:before="300"/>
      </w:pPr>
      <w:r>
        <w:t xml:space="preserve"/>
      </w:r>
    </w:p>
    <w:p>
      <w:pPr>
        <w:pStyle w:val="Heading2"/>
        <w:spacing w:after="120" w:before="280"/>
      </w:pPr>
      <w:r>
        <w:rPr>
          <w:rFonts w:ascii="Georgia" w:cs="Georgia" w:eastAsia="Georgia" w:hAnsi="Georgia"/>
          <w:b/>
          <w:bCs/>
          <w:color w:val="8A6A2F"/>
          <w:sz w:val="24"/>
          <w:szCs w:val="24"/>
        </w:rPr>
        <w:t xml:space="preserve">For the Shop</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00"/>
        <w:gridCol w:w="4760"/>
      </w:tblGrid>
      <w:tr>
        <w:tc>
          <w:tcPr>
            <w:tcW w:type="dxa" w:w="4600"/>
            <w:tcBorders>
              <w:top w:val="none"/>
              <w:left w:val="none"/>
              <w:bottom w:val="single" w:color="1A1A1A" w:sz="4"/>
              <w:right w:val="none"/>
            </w:tcBorders>
            <w:tcMar>
              <w:top w:type="dxa" w:w="400"/>
              <w:left w:type="dxa" w:w="0"/>
              <w:bottom w:type="dxa" w:w="60"/>
              <w:right w:type="dxa" w:w="200"/>
            </w:tcMar>
          </w:tcPr>
          <w:p>
            <w:r>
              <w:t xml:space="preserve"/>
            </w:r>
          </w:p>
        </w:tc>
        <w:tc>
          <w:tcPr>
            <w:tcW w:type="dxa" w:w="4760"/>
            <w:tcBorders>
              <w:top w:val="none"/>
              <w:left w:val="none"/>
              <w:bottom w:val="single" w:color="1A1A1A" w:sz="4"/>
              <w:right w:val="none"/>
            </w:tcBorders>
            <w:tcMar>
              <w:top w:type="dxa" w:w="400"/>
              <w:left w:type="dxa" w:w="200"/>
              <w:bottom w:type="dxa" w:w="60"/>
              <w:right w:type="dxa" w:w="0"/>
            </w:tcMar>
          </w:tcPr>
          <w:p>
            <w:r>
              <w:t xml:space="preserve"/>
            </w:r>
          </w:p>
        </w:tc>
      </w:tr>
      <w:tr>
        <w:tc>
          <w:tcPr>
            <w:tcW w:type="dxa" w:w="4600"/>
            <w:tcBorders>
              <w:top w:val="none"/>
              <w:left w:val="none"/>
              <w:bottom w:val="none"/>
              <w:right w:val="none"/>
            </w:tcBorders>
            <w:tcMar>
              <w:top w:type="dxa" w:w="40"/>
              <w:left w:type="dxa" w:w="0"/>
              <w:bottom w:type="dxa" w:w="200"/>
              <w:right w:type="dxa" w:w="200"/>
            </w:tcMar>
          </w:tcPr>
          <w:p>
            <w:r>
              <w:rPr>
                <w:rFonts w:ascii="Calibri" w:cs="Calibri" w:eastAsia="Calibri" w:hAnsi="Calibri"/>
                <w:color w:val="5A5A5A"/>
                <w:sz w:val="17"/>
                <w:szCs w:val="17"/>
              </w:rPr>
              <w:t xml:space="preserve">Rubén Diaz, Jr., Member — Luxury Barber Lounge, LLC</w:t>
            </w:r>
          </w:p>
        </w:tc>
        <w:tc>
          <w:tcPr>
            <w:tcW w:type="dxa" w:w="4760"/>
            <w:tcBorders>
              <w:top w:val="none"/>
              <w:left w:val="none"/>
              <w:bottom w:val="none"/>
              <w:right w:val="none"/>
            </w:tcBorders>
            <w:tcMar>
              <w:top w:type="dxa" w:w="40"/>
              <w:left w:type="dxa" w:w="200"/>
              <w:bottom w:type="dxa" w:w="200"/>
              <w:right w:type="dxa" w:w="0"/>
            </w:tcMar>
          </w:tcPr>
          <w:p>
            <w:r>
              <w:rPr>
                <w:rFonts w:ascii="Calibri" w:cs="Calibri" w:eastAsia="Calibri" w:hAnsi="Calibri"/>
                <w:color w:val="5A5A5A"/>
                <w:sz w:val="17"/>
                <w:szCs w:val="17"/>
              </w:rPr>
              <w:t xml:space="preserve">Date</w:t>
            </w:r>
          </w:p>
        </w:tc>
      </w:tr>
    </w:tbl>
    <w:p>
      <w:pPr>
        <w:spacing w:before="400"/>
      </w:pPr>
      <w:r>
        <w:rPr>
          <w:rFonts w:ascii="Calibri" w:cs="Calibri" w:eastAsia="Calibri" w:hAnsi="Calibri"/>
          <w:i/>
          <w:iCs/>
          <w:color w:val="5A5A5A"/>
          <w:sz w:val="17"/>
          <w:szCs w:val="17"/>
        </w:rPr>
        <w:t xml:space="preserve">Rule Set v1.0  ·  Prepared by Lion Business Services LLC  ·  This document is an operating policy and calculation specification. It is not legal advice, and the classification question raised in Section 3 should be reviewed with counsel.</w:t>
      </w:r>
    </w:p>
    <w:p>
      <w:r>
        <w:br w:type="page"/>
      </w:r>
    </w:p>
    <w:p>
      <w:pPr>
        <w:spacing w:after="80" w:before="1400"/>
        <w:jc w:val="center"/>
      </w:pPr>
      <w:r>
        <w:rPr>
          <w:rFonts w:ascii="Georgia" w:cs="Georgia" w:eastAsia="Georgia" w:hAnsi="Georgia"/>
          <w:b/>
          <w:bCs/>
          <w:color w:val="8A6A2F"/>
          <w:sz w:val="26"/>
          <w:szCs w:val="26"/>
        </w:rPr>
        <w:t xml:space="preserve">LUXURY BARBER LOUNGE, LLC</w:t>
      </w:r>
    </w:p>
    <w:p>
      <w:pPr>
        <w:spacing w:after="400"/>
        <w:jc w:val="center"/>
      </w:pPr>
      <w:r>
        <w:rPr>
          <w:rFonts w:ascii="Calibri" w:cs="Calibri" w:eastAsia="Calibri" w:hAnsi="Calibri"/>
          <w:color w:val="5A5A5A"/>
          <w:sz w:val="19"/>
          <w:szCs w:val="19"/>
        </w:rPr>
        <w:t xml:space="preserve">801 Tilton Road, Suite 106  ·  Northfield, Nueva Jersey 08225</w:t>
      </w:r>
    </w:p>
    <w:p>
      <w:pPr>
        <w:spacing w:after="120"/>
        <w:jc w:val="center"/>
      </w:pPr>
      <w:r>
        <w:rPr>
          <w:rFonts w:ascii="Georgia" w:cs="Georgia" w:eastAsia="Georgia" w:hAnsi="Georgia"/>
          <w:b/>
          <w:bCs/>
          <w:color w:val="1A1A1A"/>
          <w:sz w:val="42"/>
          <w:szCs w:val="42"/>
        </w:rPr>
        <w:t xml:space="preserve">Política de Atribución y Comisiones</w:t>
      </w:r>
    </w:p>
    <w:p>
      <w:pPr>
        <w:spacing w:after="500"/>
        <w:jc w:val="center"/>
      </w:pPr>
      <w:r>
        <w:rPr>
          <w:rFonts w:ascii="Georgia" w:cs="Georgia" w:eastAsia="Georgia" w:hAnsi="Georgia"/>
          <w:i/>
          <w:iCs/>
          <w:color w:val="8A6A2F"/>
          <w:sz w:val="22"/>
          <w:szCs w:val="22"/>
        </w:rPr>
        <w:t xml:space="preserve">Reglamento v1.0  ·  Vigente desde el 6 de enero de 2026</w:t>
      </w:r>
    </w:p>
    <w:tbl>
      <w:tblPr>
        <w:tblW w:type="dxa" w:w="9360"/>
        <w:tblBorders>
          <w:top w:val="none"/>
          <w:left w:val="none"/>
          <w:bottom w:val="none"/>
          <w:right w:val="none"/>
          <w:insideH w:val="none"/>
          <w:insideV w:val="none"/>
        </w:tblBorders>
      </w:tblPr>
      <w:tblGrid>
        <w:gridCol w:w="70"/>
        <w:gridCol w:w="9290"/>
      </w:tblGrid>
      <w:tr>
        <w:tc>
          <w:tcPr>
            <w:tcW w:type="dxa" w:w="70"/>
            <w:shd w:fill="8A6A2F" w:color="auto" w:val="clear"/>
          </w:tcPr>
          <w:p>
            <w:r>
              <w:t xml:space="preserve"/>
            </w:r>
          </w:p>
        </w:tc>
        <w:tc>
          <w:tcPr>
            <w:tcW w:type="dxa" w:w="9290"/>
            <w:shd w:fill="FBF6EA" w:color="auto" w:val="clear"/>
            <w:tcMar>
              <w:top w:type="dxa" w:w="140"/>
              <w:left w:type="dxa" w:w="200"/>
              <w:bottom w:type="dxa" w:w="140"/>
              <w:right w:type="dxa" w:w="200"/>
            </w:tcMar>
          </w:tcPr>
          <w:p>
            <w:pPr>
              <w:spacing w:after="80"/>
            </w:pPr>
            <w:r>
              <w:rPr>
                <w:rFonts w:ascii="Calibri" w:cs="Calibri" w:eastAsia="Calibri" w:hAnsi="Calibri"/>
                <w:b/>
                <w:bCs/>
                <w:caps/>
                <w:color w:val="8A6A2F"/>
                <w:sz w:val="19"/>
                <w:szCs w:val="19"/>
              </w:rPr>
              <w:t xml:space="preserve">Léelo primero</w:t>
            </w:r>
          </w:p>
          <w:p>
            <w:pPr>
              <w:spacing w:after="60"/>
            </w:pPr>
            <w:r>
              <w:rPr>
                <w:rFonts w:ascii="Calibri" w:cs="Calibri" w:eastAsia="Calibri" w:hAnsi="Calibri"/>
                <w:color w:val="1A1A1A"/>
                <w:sz w:val="19"/>
                <w:szCs w:val="19"/>
              </w:rPr>
              <w:t xml:space="preserve">Los doce valores que se circularon antes son correctos. También están incompletos: definen únicamente lo que pasa con un servicio limpio, completado y a precio completo.</w:t>
            </w:r>
          </w:p>
          <w:p>
            <w:pPr>
              <w:spacing w:after="60"/>
            </w:pPr>
            <w:r>
              <w:rPr>
                <w:rFonts w:ascii="Calibri" w:cs="Calibri" w:eastAsia="Calibri" w:hAnsi="Calibri"/>
                <w:color w:val="1A1A1A"/>
                <w:sz w:val="19"/>
                <w:szCs w:val="19"/>
              </w:rPr>
              <w:t xml:space="preserve">No definen reembolsos, contracargos, depósitos, depósitos perdidos, cargos por no asistir, cargos por cancelación tardía, descuentos, promociones, comisiones de procesamiento, impuesto sobre ventas, venta de productos, tarjetas de regalo, paquetes, ingresos de membresía, tickets con varios barberos, correcciones ni pagos fuera de la plataforma. Todo eso va a ocurrir, y parte de ello en la primera semana.</w:t>
            </w:r>
          </w:p>
          <w:p>
            <w:pPr>
              <w:spacing w:after="60"/>
            </w:pPr>
            <w:r>
              <w:rPr>
                <w:rFonts w:ascii="Calibri" w:cs="Calibri" w:eastAsia="Calibri" w:hAnsi="Calibri"/>
                <w:color w:val="1A1A1A"/>
                <w:sz w:val="19"/>
                <w:szCs w:val="19"/>
              </w:rPr>
              <w:t xml:space="preserve">Tampoco definen el término del que depende toda la diferencia entre 70/30 y 100%: qué convierte a un cliente en Cliente Preexistente Verificado y con qué evidencia se comprueba.</w:t>
            </w:r>
          </w:p>
          <w:p>
            <w:pPr>
              <w:spacing w:after="60"/>
            </w:pPr>
            <w:r>
              <w:rPr>
                <w:rFonts w:ascii="Calibri" w:cs="Calibri" w:eastAsia="Calibri" w:hAnsi="Calibri"/>
                <w:color w:val="1A1A1A"/>
                <w:sz w:val="19"/>
                <w:szCs w:val="19"/>
              </w:rPr>
              <w:t xml:space="preserve">Este documento cierra esos vacíos. Las líneas marcadas FIJADO son los valores ya confirmados por el dueño y se mantienen sin cambio. Las líneas marcadas PROPUESTO son nuevas y necesitan las iniciales del dueño antes de que corra el primer estado de cuenta.</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I — Alcance, definiciones y estructura</w:t>
      </w:r>
    </w:p>
    <w:p>
      <w:pPr>
        <w:pStyle w:val="Heading2"/>
        <w:spacing w:after="120" w:before="280"/>
      </w:pPr>
      <w:r>
        <w:rPr>
          <w:rFonts w:ascii="Georgia" w:cs="Georgia" w:eastAsia="Georgia" w:hAnsi="Georgia"/>
          <w:b/>
          <w:bCs/>
          <w:color w:val="8A6A2F"/>
          <w:sz w:val="24"/>
          <w:szCs w:val="24"/>
        </w:rPr>
        <w:t xml:space="preserve">1. Propósito</w:t>
      </w:r>
    </w:p>
    <w:p>
      <w:pPr>
        <w:spacing w:after="120" w:before="0"/>
        <w:jc w:val="left"/>
      </w:pPr>
      <w:r>
        <w:rPr>
          <w:rFonts w:ascii="Calibri" w:cs="Calibri" w:eastAsia="Calibri" w:hAnsi="Calibri"/>
          <w:color w:val="1A1A1A"/>
          <w:sz w:val="21"/>
          <w:szCs w:val="21"/>
        </w:rPr>
        <w:t xml:space="preserve">Esta política establece cómo Luxury Barber Lounge, LLC (la "Barbería") determina el monto que le corresponde a cada barbero independiente (el "Barbero") por los servicios que presta en la Barbería. Funciona como acuerdo operativo entre la Barbería y cada Barbero, y como la especificación con la que calcula el motor de reconciliación. Si este documento y cualquier resultado automatizado no coinciden, manda este documento y se corrige el sistema.</w:t>
      </w:r>
    </w:p>
    <w:p>
      <w:pPr>
        <w:pStyle w:val="Heading2"/>
        <w:spacing w:after="120" w:before="280"/>
      </w:pPr>
      <w:r>
        <w:rPr>
          <w:rFonts w:ascii="Georgia" w:cs="Georgia" w:eastAsia="Georgia" w:hAnsi="Georgia"/>
          <w:b/>
          <w:bCs/>
          <w:color w:val="8A6A2F"/>
          <w:sz w:val="24"/>
          <w:szCs w:val="24"/>
        </w:rPr>
        <w:t xml:space="preserve">2. Definiciones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Término</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Significado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Ingreso por Servicio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monto cobrado por un servicio de barbería realizado por un Barbero, después de descuentos aplicados al servicio, sin incluir propinas, impuesto sobre ventas, productos, ni la compra de tarjetas de regalo o paquetes.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Base de Comisión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porción del Ingreso por Servicio sobre la cual se aplica el porcentaje. Se define en la Parte III.</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Monto Calculado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cifra que esta política produce para un Barbero en una Semana de Liquidación. No es salario ni nómina, y la Barbería no le retiene nada.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Atribución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designación de un cliente como BARBERÍA o BARBERO para efectos de comisión, según la Parte II.</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Preexistente Verificado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cliente que cumple todos los requisitos de la Sección 8 y cuya condición se comprobó con la evidencia que allí se exige.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Semana de Liquidación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De lunes 12:00 a.m. a domingo 11:59 p.m., hora del Este.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Estado de Cuenta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documento semanal detallado que se le entrega a cada Barbero conforme a la Parte V.</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Cálculo Cerrado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Una línea del Estado de Cuenta cuya ventana de disputa ya pasó. Las líneas cerradas nunca se editan; se corrigen solo con un Ajuste aparte.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Ajuste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Una entrada nueva, con su propia fecha, que compensa o complementa un Cálculo Cerrado, con su razón, autor y sello de tiempo.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Versión del Reglamento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versión numerada y con fecha de vigencia bajo la cual se hizo un cálculo determinado.</w:t>
            </w:r>
          </w:p>
        </w:tc>
      </w:tr>
    </w:tbl>
    <w:p>
      <w:pPr>
        <w:pStyle w:val="Heading2"/>
        <w:spacing w:after="120" w:before="280"/>
      </w:pPr>
      <w:r>
        <w:rPr>
          <w:rFonts w:ascii="Georgia" w:cs="Georgia" w:eastAsia="Georgia" w:hAnsi="Georgia"/>
          <w:b/>
          <w:bCs/>
          <w:color w:val="8A6A2F"/>
          <w:sz w:val="24"/>
          <w:szCs w:val="24"/>
        </w:rPr>
        <w:t xml:space="preserve">3. Estructura de la relación</w:t>
      </w:r>
    </w:p>
    <w:p>
      <w:pPr>
        <w:spacing w:after="120" w:before="0"/>
        <w:jc w:val="left"/>
      </w:pPr>
      <w:r>
        <w:rPr>
          <w:rFonts w:ascii="Calibri" w:cs="Calibri" w:eastAsia="Calibri" w:hAnsi="Calibri"/>
          <w:color w:val="1A1A1A"/>
          <w:sz w:val="21"/>
          <w:szCs w:val="21"/>
        </w:rPr>
        <w:t xml:space="preserve">Cada Barbero trabaja como contratista independiente. La Barbería no te retiene impuesto sobre la renta, Seguro Social, Medicare ni contribuciones de desempleo de ningún Monto Calculado. Tú eres responsable de tu propia licencia de barbería de Nueva Jersey, de tu propio seguro de responsabilidad y de tus obligaciones fiscales federales, estatales y de trabajo por cuenta propia. La Barbería emite el Formulario 1099-NEC por cualquier año calendario en el que tus Montos Calculados sumen $600 o más.</w:t>
      </w:r>
    </w:p>
    <w:p>
      <w:pPr>
        <w:spacing w:after="200" w:before="0"/>
        <w:jc w:val="left"/>
      </w:pPr>
      <w:r>
        <w:rPr>
          <w:rFonts w:ascii="Calibri" w:cs="Calibri" w:eastAsia="Calibri" w:hAnsi="Calibri"/>
          <w:color w:val="1A1A1A"/>
          <w:sz w:val="21"/>
          <w:szCs w:val="21"/>
        </w:rPr>
        <w:t xml:space="preserve">Ninguna parte de esta política debe describirse, por escrito ni de palabra, con vocabulario de empleo. Los términos correctos son "Monto Calculado", "liquidación" y "barbero independiente". Las palabras "nómina", "salario", "sueldo", "cheque de pago", "empleado" y "horas trabajadas" no deben aparecer en ningún Estado de Cuenta, plantilla de notificación, portal ni resultado del motor de reconciliación.</w:t>
      </w:r>
    </w:p>
    <w:tbl>
      <w:tblPr>
        <w:tblW w:type="dxa" w:w="9360"/>
        <w:tblBorders>
          <w:top w:val="none"/>
          <w:left w:val="none"/>
          <w:bottom w:val="none"/>
          <w:right w:val="none"/>
          <w:insideH w:val="none"/>
          <w:insideV w:val="none"/>
        </w:tblBorders>
      </w:tblPr>
      <w:tblGrid>
        <w:gridCol w:w="70"/>
        <w:gridCol w:w="9290"/>
      </w:tblGrid>
      <w:tr>
        <w:tc>
          <w:tcPr>
            <w:tcW w:type="dxa" w:w="70"/>
            <w:shd w:fill="8C2B22" w:color="auto" w:val="clear"/>
          </w:tcPr>
          <w:p>
            <w:r>
              <w:t xml:space="preserve"/>
            </w:r>
          </w:p>
        </w:tc>
        <w:tc>
          <w:tcPr>
            <w:tcW w:type="dxa" w:w="9290"/>
            <w:shd w:fill="FDF2F0" w:color="auto" w:val="clear"/>
            <w:tcMar>
              <w:top w:type="dxa" w:w="140"/>
              <w:left w:type="dxa" w:w="200"/>
              <w:bottom w:type="dxa" w:w="140"/>
              <w:right w:type="dxa" w:w="200"/>
            </w:tcMar>
          </w:tcPr>
          <w:p>
            <w:pPr>
              <w:spacing w:after="80"/>
            </w:pPr>
            <w:r>
              <w:rPr>
                <w:rFonts w:ascii="Calibri" w:cs="Calibri" w:eastAsia="Calibri" w:hAnsi="Calibri"/>
                <w:b/>
                <w:bCs/>
                <w:caps/>
                <w:color w:val="8C2B22"/>
                <w:sz w:val="19"/>
                <w:szCs w:val="19"/>
              </w:rPr>
              <w:t xml:space="preserve">Pregunta estructural que el dueño debe resolver antes del primer estado de cuenta</w:t>
            </w:r>
          </w:p>
          <w:p>
            <w:pPr>
              <w:spacing w:after="60"/>
            </w:pPr>
            <w:r>
              <w:rPr>
                <w:rFonts w:ascii="Calibri" w:cs="Calibri" w:eastAsia="Calibri" w:hAnsi="Calibri"/>
                <w:color w:val="1A1A1A"/>
                <w:sz w:val="19"/>
                <w:szCs w:val="19"/>
              </w:rPr>
              <w:t xml:space="preserve">La Barbería se ha descrito como un modelo de renta de silla. El reglamento de esta política no es renta de silla: es un acuerdo de comisión por porcentaje.</w:t>
            </w:r>
          </w:p>
          <w:p>
            <w:pPr>
              <w:spacing w:after="60"/>
            </w:pPr>
            <w:r>
              <w:rPr>
                <w:rFonts w:ascii="Calibri" w:cs="Calibri" w:eastAsia="Calibri" w:hAnsi="Calibri"/>
                <w:color w:val="1A1A1A"/>
                <w:sz w:val="19"/>
                <w:szCs w:val="19"/>
              </w:rPr>
              <w:t xml:space="preserve">En una renta de silla real, el Barbero le paga a la Barbería una renta fija, pone sus propios precios, cobra a sus propios clientes, se queda con el 100% de lo que cobra, y la Barbería no toma ningún porcentaje. Bajo esta política, la Barbería procesa cada transacción por su propia cuenta de Square, retiene los fondos y entrega el 70% o el 100% calculado. Son dos estructuras distintas y no pueden estar vigentes las dos.</w:t>
            </w:r>
          </w:p>
          <w:p>
            <w:pPr>
              <w:spacing w:after="60"/>
            </w:pPr>
            <w:r>
              <w:rPr>
                <w:rFonts w:ascii="Calibri" w:cs="Calibri" w:eastAsia="Calibri" w:hAnsi="Calibri"/>
                <w:color w:val="1A1A1A"/>
                <w:sz w:val="19"/>
                <w:szCs w:val="19"/>
              </w:rPr>
              <w:t xml:space="preserve">Esta distinción importa mucho más allá de la contabilidad. Bajo la prueba ABC de Nueva Jersey (N.J.S.A. 43:21-19(i)(6)) los tres requisitos deben cumplirse para sostener la condición de contratista, y el requisito B es el difícil para cualquier barbería: el servicio está dentro del giro normal del negocio y se presta en el local del negocio. Un reparto por porcentaje en el que la Barbería fija los precios, controla el medio de cobro y es dueña del registro del cliente también debilita los requisitos A y C. Usar la terminología correcta en el Estado de Cuenta ayuda, pero por sí solo no resuelve un problema estructural de clasificación.</w:t>
            </w:r>
          </w:p>
          <w:p>
            <w:pPr>
              <w:spacing w:after="60"/>
            </w:pPr>
            <w:r>
              <w:rPr>
                <w:rFonts w:ascii="Calibri" w:cs="Calibri" w:eastAsia="Calibri" w:hAnsi="Calibri"/>
                <w:color w:val="1A1A1A"/>
                <w:sz w:val="19"/>
                <w:szCs w:val="19"/>
              </w:rPr>
              <w:t xml:space="preserve">El dueño debe decidir, dejándolo por escrito, cuál estructura está realmente vigente, y si un contrato de contratista independiente y una cifra de renta (si aplica) acompañan esta política. Esa decisión le corresponde al dueño y a su abogado; aquí solo se señala que las dos descripciones que circulan hoy son incompatibles.</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II — Atribución</w:t>
      </w:r>
    </w:p>
    <w:p>
      <w:pPr>
        <w:pStyle w:val="Heading2"/>
        <w:spacing w:after="120" w:before="280"/>
      </w:pPr>
      <w:r>
        <w:rPr>
          <w:rFonts w:ascii="Georgia" w:cs="Georgia" w:eastAsia="Georgia" w:hAnsi="Georgia"/>
          <w:b/>
          <w:bCs/>
          <w:color w:val="8A6A2F"/>
          <w:sz w:val="24"/>
          <w:szCs w:val="24"/>
        </w:rPr>
        <w:t xml:space="preserve">4. Atribución por defecto</w:t>
      </w:r>
    </w:p>
    <w:p>
      <w:pPr>
        <w:spacing w:after="160" w:before="0"/>
        <w:jc w:val="left"/>
      </w:pPr>
      <w:r>
        <w:rPr>
          <w:rFonts w:ascii="Calibri" w:cs="Calibri" w:eastAsia="Calibri" w:hAnsi="Calibri"/>
          <w:color w:val="1A1A1A"/>
          <w:sz w:val="21"/>
          <w:szCs w:val="21"/>
        </w:rPr>
        <w:t xml:space="preserve">Todo cliente se atribuye a la BARBERÍA salvo que la atribución al BARBERO se establezca de forma afirmativa conforme a esta Parte. Para efectos de comisión no existe un estado neutral ni pendiente: un cliente sin resolver se liquida como BARBERÍA.</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Definición</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Por defecto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Carga de la prueba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Recae en el Barbero que reclama la atribución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Estándar de prueba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Evidencia según la Sección 8, revisada por el dueño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Clientes sin cita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Reservas en línea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 salvo que el Barbero demuestre lo contrario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bl>
    <w:p>
      <w:pPr>
        <w:pStyle w:val="Heading2"/>
        <w:spacing w:after="120" w:before="280"/>
      </w:pPr>
      <w:r>
        <w:rPr>
          <w:rFonts w:ascii="Georgia" w:cs="Georgia" w:eastAsia="Georgia" w:hAnsi="Georgia"/>
          <w:b/>
          <w:bCs/>
          <w:color w:val="8A6A2F"/>
          <w:sz w:val="24"/>
          <w:szCs w:val="24"/>
        </w:rPr>
        <w:t xml:space="preserve">5. Fuentes de atribución a la Barbería</w:t>
      </w:r>
    </w:p>
    <w:p>
      <w:pPr>
        <w:spacing w:after="120" w:before="0"/>
        <w:jc w:val="left"/>
      </w:pPr>
      <w:r>
        <w:rPr>
          <w:rFonts w:ascii="Calibri" w:cs="Calibri" w:eastAsia="Calibri" w:hAnsi="Calibri"/>
          <w:color w:val="1A1A1A"/>
          <w:sz w:val="21"/>
          <w:szCs w:val="21"/>
        </w:rPr>
        <w:t xml:space="preserve">Se atribuye a la BARBERÍA todo cliente cuya relación con el negocio se origina en cualquiera de las siguientes. La lista ilustra el principio y no lo agota; el principio es que la ubicación, la marca, la publicidad o la cartera existente de la Barbería produjeron la visita.</w:t>
      </w:r>
    </w:p>
    <w:p>
      <w:pPr>
        <w:pStyle w:val="ListParagraph"/>
        <w:numPr>
          <w:ilvl w:val="0"/>
          <w:numId w:val="2"/>
        </w:numPr>
        <w:spacing w:after="60"/>
      </w:pPr>
      <w:r>
        <w:rPr>
          <w:rFonts w:ascii="Calibri" w:cs="Calibri" w:eastAsia="Calibri" w:hAnsi="Calibri"/>
          <w:color w:val="1A1A1A"/>
          <w:sz w:val="21"/>
          <w:szCs w:val="21"/>
        </w:rPr>
        <w:t xml:space="preserve">Búsqueda de Google, Google Maps o el perfil de Google Business</w:t>
      </w:r>
    </w:p>
    <w:p>
      <w:pPr>
        <w:pStyle w:val="ListParagraph"/>
        <w:numPr>
          <w:ilvl w:val="0"/>
          <w:numId w:val="2"/>
        </w:numPr>
        <w:spacing w:after="60"/>
      </w:pPr>
      <w:r>
        <w:rPr>
          <w:rFonts w:ascii="Calibri" w:cs="Calibri" w:eastAsia="Calibri" w:hAnsi="Calibri"/>
          <w:color w:val="1A1A1A"/>
          <w:sz w:val="21"/>
          <w:szCs w:val="21"/>
        </w:rPr>
        <w:t xml:space="preserve">El sitio web de la Barbería, incluida la reserva en línea y el kiosco de clientes sin cita</w:t>
      </w:r>
    </w:p>
    <w:p>
      <w:pPr>
        <w:pStyle w:val="ListParagraph"/>
        <w:numPr>
          <w:ilvl w:val="0"/>
          <w:numId w:val="2"/>
        </w:numPr>
        <w:spacing w:after="60"/>
      </w:pPr>
      <w:r>
        <w:rPr>
          <w:rFonts w:ascii="Calibri" w:cs="Calibri" w:eastAsia="Calibri" w:hAnsi="Calibri"/>
          <w:color w:val="1A1A1A"/>
          <w:sz w:val="21"/>
          <w:szCs w:val="21"/>
        </w:rPr>
        <w:t xml:space="preserve">Redes sociales de la Barbería, orgánicas o pagadas</w:t>
      </w:r>
    </w:p>
    <w:p>
      <w:pPr>
        <w:pStyle w:val="ListParagraph"/>
        <w:numPr>
          <w:ilvl w:val="0"/>
          <w:numId w:val="2"/>
        </w:numPr>
        <w:spacing w:after="60"/>
      </w:pPr>
      <w:r>
        <w:rPr>
          <w:rFonts w:ascii="Calibri" w:cs="Calibri" w:eastAsia="Calibri" w:hAnsi="Calibri"/>
          <w:color w:val="1A1A1A"/>
          <w:sz w:val="21"/>
          <w:szCs w:val="21"/>
        </w:rPr>
        <w:t xml:space="preserve">Publicidad pagada de cualquier tipo financiada por la Barbería</w:t>
      </w:r>
    </w:p>
    <w:p>
      <w:pPr>
        <w:pStyle w:val="ListParagraph"/>
        <w:numPr>
          <w:ilvl w:val="0"/>
          <w:numId w:val="2"/>
        </w:numPr>
        <w:spacing w:after="60"/>
      </w:pPr>
      <w:r>
        <w:rPr>
          <w:rFonts w:ascii="Calibri" w:cs="Calibri" w:eastAsia="Calibri" w:hAnsi="Calibri"/>
          <w:color w:val="1A1A1A"/>
          <w:sz w:val="21"/>
          <w:szCs w:val="21"/>
        </w:rPr>
        <w:t xml:space="preserve">Tráfico peatonal, rotulación y clientes que entran de paso</w:t>
      </w:r>
    </w:p>
    <w:p>
      <w:pPr>
        <w:pStyle w:val="ListParagraph"/>
        <w:numPr>
          <w:ilvl w:val="0"/>
          <w:numId w:val="2"/>
        </w:numPr>
        <w:spacing w:after="60"/>
      </w:pPr>
      <w:r>
        <w:rPr>
          <w:rFonts w:ascii="Calibri" w:cs="Calibri" w:eastAsia="Calibri" w:hAnsi="Calibri"/>
          <w:color w:val="1A1A1A"/>
          <w:sz w:val="21"/>
          <w:szCs w:val="21"/>
        </w:rPr>
        <w:t xml:space="preserve">La línea telefónica de la Barbería</w:t>
      </w:r>
    </w:p>
    <w:p>
      <w:pPr>
        <w:pStyle w:val="ListParagraph"/>
        <w:numPr>
          <w:ilvl w:val="0"/>
          <w:numId w:val="2"/>
        </w:numPr>
        <w:spacing w:after="60"/>
      </w:pPr>
      <w:r>
        <w:rPr>
          <w:rFonts w:ascii="Calibri" w:cs="Calibri" w:eastAsia="Calibri" w:hAnsi="Calibri"/>
          <w:color w:val="1A1A1A"/>
          <w:sz w:val="21"/>
          <w:szCs w:val="21"/>
        </w:rPr>
        <w:t xml:space="preserve">Recomendación de un cliente existente de la Barbería</w:t>
      </w:r>
    </w:p>
    <w:p>
      <w:pPr>
        <w:pStyle w:val="ListParagraph"/>
        <w:numPr>
          <w:ilvl w:val="0"/>
          <w:numId w:val="2"/>
        </w:numPr>
        <w:spacing w:after="60"/>
      </w:pPr>
      <w:r>
        <w:rPr>
          <w:rFonts w:ascii="Calibri" w:cs="Calibri" w:eastAsia="Calibri" w:hAnsi="Calibri"/>
          <w:color w:val="1A1A1A"/>
          <w:sz w:val="21"/>
          <w:szCs w:val="21"/>
        </w:rPr>
        <w:t xml:space="preserve">Un cliente existente de la Barbería que reserva con otro Barbero</w:t>
      </w:r>
    </w:p>
    <w:p>
      <w:pPr>
        <w:pStyle w:val="ListParagraph"/>
        <w:numPr>
          <w:ilvl w:val="0"/>
          <w:numId w:val="2"/>
        </w:numPr>
        <w:spacing w:after="60"/>
      </w:pPr>
      <w:r>
        <w:rPr>
          <w:rFonts w:ascii="Calibri" w:cs="Calibri" w:eastAsia="Calibri" w:hAnsi="Calibri"/>
          <w:color w:val="1A1A1A"/>
          <w:sz w:val="21"/>
          <w:szCs w:val="21"/>
        </w:rPr>
        <w:t xml:space="preserve">Campañas de correo electrónico o SMS de la Barbería</w:t>
      </w:r>
    </w:p>
    <w:p>
      <w:pPr>
        <w:pStyle w:val="ListParagraph"/>
        <w:numPr>
          <w:ilvl w:val="0"/>
          <w:numId w:val="2"/>
        </w:numPr>
        <w:spacing w:after="60"/>
      </w:pPr>
      <w:r>
        <w:rPr>
          <w:rFonts w:ascii="Calibri" w:cs="Calibri" w:eastAsia="Calibri" w:hAnsi="Calibri"/>
          <w:color w:val="1A1A1A"/>
          <w:sz w:val="21"/>
          <w:szCs w:val="21"/>
        </w:rPr>
        <w:t xml:space="preserve">Una promoción, oferta o código de descuento de la Barbería</w:t>
      </w:r>
    </w:p>
    <w:p>
      <w:pPr>
        <w:pStyle w:val="ListParagraph"/>
        <w:numPr>
          <w:ilvl w:val="0"/>
          <w:numId w:val="2"/>
        </w:numPr>
        <w:spacing w:after="60"/>
      </w:pPr>
      <w:r>
        <w:rPr>
          <w:rFonts w:ascii="Calibri" w:cs="Calibri" w:eastAsia="Calibri" w:hAnsi="Calibri"/>
          <w:color w:val="1A1A1A"/>
          <w:sz w:val="21"/>
          <w:szCs w:val="21"/>
        </w:rPr>
        <w:t xml:space="preserve">Un evento organizado o patrocinado por la Barbería</w:t>
      </w:r>
    </w:p>
    <w:p>
      <w:pPr>
        <w:pStyle w:val="Heading2"/>
        <w:spacing w:after="120" w:before="280"/>
      </w:pPr>
      <w:r>
        <w:rPr>
          <w:rFonts w:ascii="Georgia" w:cs="Georgia" w:eastAsia="Georgia" w:hAnsi="Georgia"/>
          <w:b/>
          <w:bCs/>
          <w:color w:val="8A6A2F"/>
          <w:sz w:val="24"/>
          <w:szCs w:val="24"/>
        </w:rPr>
        <w:t xml:space="preserve">6. Fuentes de atribución al Barbero</w:t>
      </w:r>
    </w:p>
    <w:p>
      <w:pPr>
        <w:spacing w:after="120" w:before="0"/>
        <w:jc w:val="left"/>
      </w:pPr>
      <w:r>
        <w:rPr>
          <w:rFonts w:ascii="Calibri" w:cs="Calibri" w:eastAsia="Calibri" w:hAnsi="Calibri"/>
          <w:color w:val="1A1A1A"/>
          <w:sz w:val="21"/>
          <w:szCs w:val="21"/>
        </w:rPr>
        <w:t xml:space="preserve">Un cliente se atribuye al BARBERO solo cuando aplica y se comprueba una de las siguientes:</w:t>
      </w:r>
    </w:p>
    <w:p>
      <w:pPr>
        <w:pStyle w:val="ListParagraph"/>
        <w:numPr>
          <w:ilvl w:val="0"/>
          <w:numId w:val="2"/>
        </w:numPr>
        <w:spacing w:after="60"/>
      </w:pPr>
      <w:r>
        <w:rPr>
          <w:rFonts w:ascii="Calibri" w:cs="Calibri" w:eastAsia="Calibri" w:hAnsi="Calibri"/>
          <w:color w:val="1A1A1A"/>
          <w:sz w:val="21"/>
          <w:szCs w:val="21"/>
        </w:rPr>
        <w:t xml:space="preserve">El cliente es Cliente Preexistente Verificado según la Sección 8</w:t>
      </w:r>
    </w:p>
    <w:p>
      <w:pPr>
        <w:pStyle w:val="ListParagraph"/>
        <w:numPr>
          <w:ilvl w:val="0"/>
          <w:numId w:val="2"/>
        </w:numPr>
        <w:spacing w:after="60"/>
      </w:pPr>
      <w:r>
        <w:rPr>
          <w:rFonts w:ascii="Calibri" w:cs="Calibri" w:eastAsia="Calibri" w:hAnsi="Calibri"/>
          <w:color w:val="1A1A1A"/>
          <w:sz w:val="21"/>
          <w:szCs w:val="21"/>
        </w:rPr>
        <w:t xml:space="preserve">El cliente llegó recomendado por un familiar o amigo personal tuyo, y esa persona se identifica por nombre al momento del reclamo</w:t>
      </w:r>
    </w:p>
    <w:p>
      <w:pPr>
        <w:pStyle w:val="ListParagraph"/>
        <w:numPr>
          <w:ilvl w:val="0"/>
          <w:numId w:val="2"/>
        </w:numPr>
        <w:spacing w:after="60"/>
      </w:pPr>
      <w:r>
        <w:rPr>
          <w:rFonts w:ascii="Calibri" w:cs="Calibri" w:eastAsia="Calibri" w:hAnsi="Calibri"/>
          <w:color w:val="1A1A1A"/>
          <w:sz w:val="21"/>
          <w:szCs w:val="21"/>
        </w:rPr>
        <w:t xml:space="preserve">El cliente reservó usando tu código de referencia personal registrado</w:t>
      </w:r>
    </w:p>
    <w:p>
      <w:pPr>
        <w:pStyle w:val="ListParagraph"/>
        <w:numPr>
          <w:ilvl w:val="0"/>
          <w:numId w:val="2"/>
        </w:numPr>
        <w:spacing w:after="60"/>
      </w:pPr>
      <w:r>
        <w:rPr>
          <w:rFonts w:ascii="Calibri" w:cs="Calibri" w:eastAsia="Calibri" w:hAnsi="Calibri"/>
          <w:color w:val="1A1A1A"/>
          <w:sz w:val="21"/>
          <w:szCs w:val="21"/>
        </w:rPr>
        <w:t xml:space="preserve">El cliente vino de un prospecto que tú generaste y que el dueño aprobó antes de la primera cita</w:t>
      </w:r>
    </w:p>
    <w:p>
      <w:pPr>
        <w:pStyle w:val="ListParagraph"/>
        <w:numPr>
          <w:ilvl w:val="0"/>
          <w:numId w:val="2"/>
        </w:numPr>
        <w:spacing w:after="60"/>
      </w:pPr>
      <w:r>
        <w:rPr>
          <w:rFonts w:ascii="Calibri" w:cs="Calibri" w:eastAsia="Calibri" w:hAnsi="Calibri"/>
          <w:color w:val="1A1A1A"/>
          <w:sz w:val="21"/>
          <w:szCs w:val="21"/>
        </w:rPr>
        <w:t xml:space="preserve">El cliente aparece en tu Lista de Clientes Importados, presentada y aceptada conforme a la Sección 9</w:t>
      </w:r>
    </w:p>
    <w:p>
      <w:pPr>
        <w:pStyle w:val="Heading2"/>
        <w:spacing w:after="120" w:before="280"/>
      </w:pPr>
      <w:r>
        <w:rPr>
          <w:rFonts w:ascii="Georgia" w:cs="Georgia" w:eastAsia="Georgia" w:hAnsi="Georgia"/>
          <w:b/>
          <w:bCs/>
          <w:color w:val="8A6A2F"/>
          <w:sz w:val="24"/>
          <w:szCs w:val="24"/>
        </w:rPr>
        <w:t xml:space="preserve">7. Cadenas de recomendación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Situación</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Atribución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recomendado por un cliente existente de la Barbería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recomendado por un familiar o amigo personal tuyo, identificado por nombre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recomendado por otro Barbero de la Barbería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recomendado por un Cliente Preexistente Verificado tuyo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BARBERO, solo un grado. La recomendación de una recomendación es BARBERÍA.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Origen de la recomendación no declarado o no identificable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w:t>
            </w:r>
          </w:p>
        </w:tc>
      </w:tr>
    </w:tbl>
    <w:p>
      <w:pPr>
        <w:pStyle w:val="Heading2"/>
        <w:spacing w:after="120" w:before="280"/>
      </w:pPr>
      <w:r>
        <w:rPr>
          <w:rFonts w:ascii="Georgia" w:cs="Georgia" w:eastAsia="Georgia" w:hAnsi="Georgia"/>
          <w:b/>
          <w:bCs/>
          <w:color w:val="8A6A2F"/>
          <w:sz w:val="24"/>
          <w:szCs w:val="24"/>
        </w:rPr>
        <w:t xml:space="preserve">8. Cliente Preexistente Verificado — definición y evidencia</w:t>
      </w:r>
    </w:p>
    <w:p>
      <w:pPr>
        <w:spacing w:after="140" w:before="0"/>
        <w:jc w:val="left"/>
      </w:pPr>
      <w:r>
        <w:rPr>
          <w:rFonts w:ascii="Calibri" w:cs="Calibri" w:eastAsia="Calibri" w:hAnsi="Calibri"/>
          <w:color w:val="1A1A1A"/>
          <w:sz w:val="21"/>
          <w:szCs w:val="21"/>
        </w:rPr>
        <w:t xml:space="preserve">Esta es la única definición de la que depende toda la diferencia entre 70% y 100%, y antes no estaba definida. Un cliente es Cliente Preexistente Verificado solo si se cumplen las cuatro condiciones.</w:t>
      </w:r>
    </w:p>
    <w:p>
      <w:pPr>
        <w:pStyle w:val="Heading3"/>
        <w:spacing w:after="100" w:before="200"/>
      </w:pPr>
      <w:r>
        <w:rPr>
          <w:rFonts w:ascii="Calibri" w:cs="Calibri" w:eastAsia="Calibri" w:hAnsi="Calibri"/>
          <w:b/>
          <w:bCs/>
          <w:color w:val="1A1A1A"/>
          <w:sz w:val="21"/>
          <w:szCs w:val="21"/>
        </w:rPr>
        <w:t xml:space="preserve">Condiciones</w:t>
      </w:r>
    </w:p>
    <w:p>
      <w:pPr>
        <w:pStyle w:val="ListParagraph"/>
        <w:numPr>
          <w:ilvl w:val="0"/>
          <w:numId w:val="2"/>
        </w:numPr>
        <w:spacing w:after="60"/>
      </w:pPr>
      <w:r>
        <w:rPr>
          <w:rFonts w:ascii="Calibri" w:cs="Calibri" w:eastAsia="Calibri" w:hAnsi="Calibri"/>
          <w:color w:val="1A1A1A"/>
          <w:sz w:val="21"/>
          <w:szCs w:val="21"/>
        </w:rPr>
        <w:t xml:space="preserve">Tú le prestaste personalmente un servicio pagado a ese cliente al menos una vez antes de tu fecha de inicio en la Barbería.</w:t>
      </w:r>
    </w:p>
    <w:p>
      <w:pPr>
        <w:pStyle w:val="ListParagraph"/>
        <w:numPr>
          <w:ilvl w:val="0"/>
          <w:numId w:val="2"/>
        </w:numPr>
        <w:spacing w:after="60"/>
      </w:pPr>
      <w:r>
        <w:rPr>
          <w:rFonts w:ascii="Calibri" w:cs="Calibri" w:eastAsia="Calibri" w:hAnsi="Calibri"/>
          <w:color w:val="1A1A1A"/>
          <w:sz w:val="21"/>
          <w:szCs w:val="21"/>
        </w:rPr>
        <w:t xml:space="preserve">Ese servicio anterior ocurrió dentro de los veinticuatro meses previos a tu fecha de inicio.</w:t>
      </w:r>
    </w:p>
    <w:p>
      <w:pPr>
        <w:pStyle w:val="ListParagraph"/>
        <w:numPr>
          <w:ilvl w:val="0"/>
          <w:numId w:val="2"/>
        </w:numPr>
        <w:spacing w:after="60"/>
      </w:pPr>
      <w:r>
        <w:rPr>
          <w:rFonts w:ascii="Calibri" w:cs="Calibri" w:eastAsia="Calibri" w:hAnsi="Calibri"/>
          <w:color w:val="1A1A1A"/>
          <w:sz w:val="21"/>
          <w:szCs w:val="21"/>
        </w:rPr>
        <w:t xml:space="preserve">Ese servicio anterior ocurrió en un lugar de trabajo distinto de Luxury Barber Lounge.</w:t>
      </w:r>
    </w:p>
    <w:p>
      <w:pPr>
        <w:pStyle w:val="ListParagraph"/>
        <w:numPr>
          <w:ilvl w:val="0"/>
          <w:numId w:val="2"/>
        </w:numPr>
        <w:spacing w:after="60"/>
      </w:pPr>
      <w:r>
        <w:rPr>
          <w:rFonts w:ascii="Calibri" w:cs="Calibri" w:eastAsia="Calibri" w:hAnsi="Calibri"/>
          <w:color w:val="1A1A1A"/>
          <w:sz w:val="21"/>
          <w:szCs w:val="21"/>
        </w:rPr>
        <w:t xml:space="preserve">Presentas al menos un elemento de evidencia documental de la lista siguiente.</w:t>
      </w:r>
    </w:p>
    <w:p>
      <w:pPr>
        <w:pStyle w:val="Heading3"/>
        <w:spacing w:after="100" w:before="200"/>
      </w:pPr>
      <w:r>
        <w:rPr>
          <w:rFonts w:ascii="Calibri" w:cs="Calibri" w:eastAsia="Calibri" w:hAnsi="Calibri"/>
          <w:b/>
          <w:bCs/>
          <w:color w:val="1A1A1A"/>
          <w:sz w:val="21"/>
          <w:szCs w:val="21"/>
        </w:rPr>
        <w:t xml:space="preserve">Evidencia aceptable</w:t>
      </w:r>
    </w:p>
    <w:p>
      <w:pPr>
        <w:pStyle w:val="ListParagraph"/>
        <w:numPr>
          <w:ilvl w:val="0"/>
          <w:numId w:val="2"/>
        </w:numPr>
        <w:spacing w:after="60"/>
      </w:pPr>
      <w:r>
        <w:rPr>
          <w:rFonts w:ascii="Calibri" w:cs="Calibri" w:eastAsia="Calibri" w:hAnsi="Calibri"/>
          <w:color w:val="1A1A1A"/>
          <w:sz w:val="21"/>
          <w:szCs w:val="21"/>
        </w:rPr>
        <w:t xml:space="preserve">Un registro anterior de cita o de punto de venta con el nombre del cliente, con fecha anterior a tu inicio</w:t>
      </w:r>
    </w:p>
    <w:p>
      <w:pPr>
        <w:pStyle w:val="ListParagraph"/>
        <w:numPr>
          <w:ilvl w:val="0"/>
          <w:numId w:val="2"/>
        </w:numPr>
        <w:spacing w:after="60"/>
      </w:pPr>
      <w:r>
        <w:rPr>
          <w:rFonts w:ascii="Calibri" w:cs="Calibri" w:eastAsia="Calibri" w:hAnsi="Calibri"/>
          <w:color w:val="1A1A1A"/>
          <w:sz w:val="21"/>
          <w:szCs w:val="21"/>
        </w:rPr>
        <w:t xml:space="preserve">Una exportación de plataforma de reservas o lista de clientes de tu lugar de trabajo anterior</w:t>
      </w:r>
    </w:p>
    <w:p>
      <w:pPr>
        <w:pStyle w:val="ListParagraph"/>
        <w:numPr>
          <w:ilvl w:val="0"/>
          <w:numId w:val="2"/>
        </w:numPr>
        <w:spacing w:after="60"/>
      </w:pPr>
      <w:r>
        <w:rPr>
          <w:rFonts w:ascii="Calibri" w:cs="Calibri" w:eastAsia="Calibri" w:hAnsi="Calibri"/>
          <w:color w:val="1A1A1A"/>
          <w:sz w:val="21"/>
          <w:szCs w:val="21"/>
        </w:rPr>
        <w:t xml:space="preserve">Historial de mensajes con fecha entre tú y el cliente, anterior a tu inicio</w:t>
      </w:r>
    </w:p>
    <w:p>
      <w:pPr>
        <w:pStyle w:val="ListParagraph"/>
        <w:numPr>
          <w:ilvl w:val="0"/>
          <w:numId w:val="2"/>
        </w:numPr>
        <w:spacing w:after="60"/>
      </w:pPr>
      <w:r>
        <w:rPr>
          <w:rFonts w:ascii="Calibri" w:cs="Calibri" w:eastAsia="Calibri" w:hAnsi="Calibri"/>
          <w:color w:val="1A1A1A"/>
          <w:sz w:val="21"/>
          <w:szCs w:val="21"/>
        </w:rPr>
        <w:t xml:space="preserve">Confirmación por escrito del propio cliente, entregada directamente al dueño y no a través de ti</w:t>
      </w:r>
    </w:p>
    <w:p>
      <w:pPr>
        <w:spacing w:after="160" w:before="100"/>
      </w:pPr>
      <w:r>
        <w:rPr>
          <w:rFonts w:ascii="Calibri" w:cs="Calibri" w:eastAsia="Calibri" w:hAnsi="Calibri"/>
          <w:b/>
          <w:bCs/>
          <w:sz w:val="21"/>
          <w:szCs w:val="21"/>
        </w:rPr>
        <w:t xml:space="preserve">No es aceptable: </w:t>
      </w:r>
      <w:r>
        <w:rPr>
          <w:rFonts w:ascii="Calibri" w:cs="Calibri" w:eastAsia="Calibri" w:hAnsi="Calibri"/>
          <w:sz w:val="21"/>
          <w:szCs w:val="21"/>
        </w:rPr>
        <w:t xml:space="preserve">tu afirmación sin respaldo; un reclamo presentado después de que el cliente ya fue atendido y liquidado como BARBERÍA; reconocer la cara o el nombre del cliente sin un registro con fecha; un cliente que atendiste únicamente en Luxury Barber Lounge.</w:t>
      </w:r>
    </w:p>
    <w:p>
      <w:pPr>
        <w:pStyle w:val="Heading2"/>
        <w:spacing w:after="120" w:before="280"/>
      </w:pPr>
      <w:r>
        <w:rPr>
          <w:rFonts w:ascii="Georgia" w:cs="Georgia" w:eastAsia="Georgia" w:hAnsi="Georgia"/>
          <w:b/>
          <w:bCs/>
          <w:color w:val="8A6A2F"/>
          <w:sz w:val="24"/>
          <w:szCs w:val="24"/>
        </w:rPr>
        <w:t xml:space="preserve">9. Lista de Clientes Importados y ventana de reclamo</w:t>
      </w:r>
    </w:p>
    <w:p>
      <w:pPr>
        <w:spacing w:after="120" w:before="0"/>
        <w:jc w:val="left"/>
      </w:pPr>
      <w:r>
        <w:rPr>
          <w:rFonts w:ascii="Calibri" w:cs="Calibri" w:eastAsia="Calibri" w:hAnsi="Calibri"/>
          <w:color w:val="1A1A1A"/>
          <w:sz w:val="21"/>
          <w:szCs w:val="21"/>
        </w:rPr>
        <w:t xml:space="preserve">Dentro de catorce días calendario desde tu fecha de inicio, puedes presentar una sola Lista de Clientes Importados con los clientes que reclamas como preexistentes y la evidencia correspondiente. El dueño acepta, rechaza o consulta cada línea. La lista aceptada es definitiva.</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Definición</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Ventana de presentación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Catorce días calendario desde tu fecha de inicio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Listas permitidas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Una. Las modificaciones requieren consentimiento escrito del dueño.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Efecto de la aceptación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clientes listados se atribuyen al BARBERO en todas sus visitas futuras contigo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Efecto de la omisión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cliente que no está en la lista aceptada es BARBERÍA, salvo la Sección 10</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Barberos ya activos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ventana corre catorce días desde que el dueño adopta esta política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bl>
    <w:p>
      <w:pPr>
        <w:spacing w:after="120" w:before="0"/>
        <w:jc w:val="left"/>
      </w:pPr>
      <w:r>
        <w:rPr>
          <w:rFonts w:ascii="Calibri" w:cs="Calibri" w:eastAsia="Calibri" w:hAnsi="Calibri"/>
          <w:i/>
          <w:iCs/>
          <w:color w:val="5A5A5A"/>
          <w:sz w:val="19"/>
          <w:szCs w:val="19"/>
        </w:rPr>
        <w:t xml:space="preserve">Razón, para el registro: sin una ventana de presentación, un Barbero puede reclamar a cualquier cliente como preexistente en cualquier momento y de forma indefinida, y el único control sería la alerta del 40% — que detecta un patrón después del hecho en vez de prevenir una mala atribución individual. La lista convierte la carga de la prueba de una idea en un documento con fecha.</w:t>
      </w:r>
    </w:p>
    <w:p>
      <w:pPr>
        <w:pStyle w:val="Heading2"/>
        <w:spacing w:after="120" w:before="280"/>
      </w:pPr>
      <w:r>
        <w:rPr>
          <w:rFonts w:ascii="Georgia" w:cs="Georgia" w:eastAsia="Georgia" w:hAnsi="Georgia"/>
          <w:b/>
          <w:bCs/>
          <w:color w:val="8A6A2F"/>
          <w:sz w:val="24"/>
          <w:szCs w:val="24"/>
        </w:rPr>
        <w:t xml:space="preserve">10. Reclamos tardíos</w:t>
      </w:r>
    </w:p>
    <w:p>
      <w:pPr>
        <w:spacing w:after="120" w:before="0"/>
        <w:jc w:val="left"/>
      </w:pPr>
      <w:r>
        <w:rPr>
          <w:rFonts w:ascii="Calibri" w:cs="Calibri" w:eastAsia="Calibri" w:hAnsi="Calibri"/>
          <w:color w:val="1A1A1A"/>
          <w:sz w:val="21"/>
          <w:szCs w:val="21"/>
        </w:rPr>
        <w:t xml:space="preserve">Puedes reclamar a un cliente como preexistente después de que cierre la ventana solo si ese cliente todavía no había visitado la Barbería cuando la ventana cerró. El reclamo debe presentarse antes de que se atienda su primera cita y requiere evidencia de la Sección 8. Un reclamo planteado después de atender al cliente no es un reclamo de la Sección 10: es una disputa bajo la Parte V y se limita a la ventana de disputa de esa visita.</w:t>
      </w:r>
    </w:p>
    <w:p>
      <w:pPr>
        <w:pStyle w:val="Heading2"/>
        <w:spacing w:after="120" w:before="280"/>
      </w:pPr>
      <w:r>
        <w:rPr>
          <w:rFonts w:ascii="Georgia" w:cs="Georgia" w:eastAsia="Georgia" w:hAnsi="Georgia"/>
          <w:b/>
          <w:bCs/>
          <w:color w:val="8A6A2F"/>
          <w:sz w:val="24"/>
          <w:szCs w:val="24"/>
        </w:rPr>
        <w:t xml:space="preserve">11. Permanencia de la atribución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Definición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Cuándo se fija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En la primera transacción completada del cliente contigo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Duración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Permanente para esa combinación de cliente y Barbero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Alcance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Específica del Barbero. La atribución pertenece a la combinación, no al cliente solo.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El cliente pasa con otro Barbero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Barbero que lo recibe empieza en BARBERÍA, sin importar la atribución anterior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atribuido al BARBERO que se atiende con otro Barbero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Esa transacción es BARBERÍA para el Barbero que la realiza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Barbero que se va y regresa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atribución se establece desde cero. Una lista anterior no revive.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Cambio posterior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Solo por decisión del dueño, con razón escrita, registrada en la bitácora, con efecto hacia adelante</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III — Base de Comisión</w:t>
      </w:r>
    </w:p>
    <w:p>
      <w:pPr>
        <w:pStyle w:val="Heading2"/>
        <w:spacing w:after="120" w:before="280"/>
      </w:pPr>
      <w:r>
        <w:rPr>
          <w:rFonts w:ascii="Georgia" w:cs="Georgia" w:eastAsia="Georgia" w:hAnsi="Georgia"/>
          <w:b/>
          <w:bCs/>
          <w:color w:val="8A6A2F"/>
          <w:sz w:val="24"/>
          <w:szCs w:val="24"/>
        </w:rPr>
        <w:t xml:space="preserve">12. Porcentajes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Atribución</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Reparto de la Base de Comisión</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BARBERÍA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70% Barbero / 30% Barbería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BARBERO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Barbero / 0% Barbería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Propinas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Barbero, excluidas de la Base de Comisión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bl>
    <w:p>
      <w:pPr>
        <w:pStyle w:val="Heading2"/>
        <w:spacing w:after="120" w:before="280"/>
      </w:pPr>
      <w:r>
        <w:rPr>
          <w:rFonts w:ascii="Georgia" w:cs="Georgia" w:eastAsia="Georgia" w:hAnsi="Georgia"/>
          <w:b/>
          <w:bCs/>
          <w:color w:val="8A6A2F"/>
          <w:sz w:val="24"/>
          <w:szCs w:val="24"/>
        </w:rPr>
        <w:t xml:space="preserve">13. Qué entra y qué no entra en la Base de Comisión</w:t>
      </w:r>
    </w:p>
    <w:p>
      <w:pPr>
        <w:spacing w:after="140" w:before="0"/>
        <w:jc w:val="left"/>
      </w:pPr>
      <w:r>
        <w:rPr>
          <w:rFonts w:ascii="Calibri" w:cs="Calibri" w:eastAsia="Calibri" w:hAnsi="Calibri"/>
          <w:color w:val="1A1A1A"/>
          <w:sz w:val="21"/>
          <w:szCs w:val="21"/>
        </w:rPr>
        <w:t xml:space="preserve">La Base de Comisión es el Ingreso por Servicio de los servicios efectivamente realizados, después de descuentos, y nada más. Cada renglón indica su tratamiento porque de lo contrario cada uno se va a discutir.</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Concepto</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Tratamiento</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Cargo por servicio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Entra en la Base de Comisión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Servicios adicionales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Entran, se tratan como servicio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Propinas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entran. Se te pagan al 100%, completas.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Impuesto sobre ventas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entra. Nueva Jersey no cobra impuesto sobre ventas a los servicios de barbería; el impuesto aparece solo en las líneas de producto y nunca forma parte de ninguna Base.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Descuento aplicado al servicio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Reduce la Base. La Barbería y tú lo absorben en proporción a su reparto.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Promoción financiada por la Barbería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Reduce la Base en la misma proporción, salvo que el dueño la designe como financiada por mercadeo antes de lanzarla, en cuyo caso la Base es el precio sin descuento.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Comisiones de procesamiento de tarjeta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absorbe la Barbería. La Base es el ingreso bruto del servicio menos descuentos, antes de comisiones de procesamiento.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Venta de productos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Fuera de la Base de Comisión. Se maneja en la Sección 15.</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Compra de tarjeta de regalo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Fuera. No genera comisión al venderse.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Compra de paquete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Fuera. No genera comisión al venderse.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Cuota de membresía recibida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Fuera. Se maneja en la Sección 15.</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bl>
    <w:tbl>
      <w:tblPr>
        <w:tblW w:type="dxa" w:w="9360"/>
        <w:tblBorders>
          <w:top w:val="none"/>
          <w:left w:val="none"/>
          <w:bottom w:val="none"/>
          <w:right w:val="none"/>
          <w:insideH w:val="none"/>
          <w:insideV w:val="none"/>
        </w:tblBorders>
      </w:tblPr>
      <w:tblGrid>
        <w:gridCol w:w="70"/>
        <w:gridCol w:w="9290"/>
      </w:tblGrid>
      <w:tr>
        <w:tc>
          <w:tcPr>
            <w:tcW w:type="dxa" w:w="70"/>
            <w:shd w:fill="8A6A2F" w:color="auto" w:val="clear"/>
          </w:tcPr>
          <w:p>
            <w:r>
              <w:t xml:space="preserve"/>
            </w:r>
          </w:p>
        </w:tc>
        <w:tc>
          <w:tcPr>
            <w:tcW w:type="dxa" w:w="9290"/>
            <w:shd w:fill="FBF6EA" w:color="auto" w:val="clear"/>
            <w:tcMar>
              <w:top w:type="dxa" w:w="140"/>
              <w:left w:type="dxa" w:w="200"/>
              <w:bottom w:type="dxa" w:w="140"/>
              <w:right w:type="dxa" w:w="200"/>
            </w:tcMar>
          </w:tcPr>
          <w:p>
            <w:pPr>
              <w:spacing w:after="80"/>
            </w:pPr>
            <w:r>
              <w:rPr>
                <w:rFonts w:ascii="Calibri" w:cs="Calibri" w:eastAsia="Calibri" w:hAnsi="Calibri"/>
                <w:b/>
                <w:bCs/>
                <w:caps/>
                <w:color w:val="8A6A2F"/>
                <w:sz w:val="19"/>
                <w:szCs w:val="19"/>
              </w:rPr>
              <w:t xml:space="preserve">Comisiones de procesamiento — la decisión que hay que tomar ahora</w:t>
            </w:r>
          </w:p>
          <w:p>
            <w:pPr>
              <w:spacing w:after="60"/>
            </w:pPr>
            <w:r>
              <w:rPr>
                <w:rFonts w:ascii="Calibri" w:cs="Calibri" w:eastAsia="Calibri" w:hAnsi="Calibri"/>
                <w:color w:val="1A1A1A"/>
                <w:sz w:val="19"/>
                <w:szCs w:val="19"/>
              </w:rPr>
              <w:t xml:space="preserve">Esta política propone que la Barbería absorba las comisiones de procesamiento, de modo que tu 70% se calcule sobre el precio del servicio con descuento y no sobre el neto después de comisiones.</w:t>
            </w:r>
          </w:p>
          <w:p>
            <w:pPr>
              <w:spacing w:after="60"/>
            </w:pPr>
            <w:r>
              <w:rPr>
                <w:rFonts w:ascii="Calibri" w:cs="Calibri" w:eastAsia="Calibri" w:hAnsi="Calibri"/>
                <w:color w:val="1A1A1A"/>
                <w:sz w:val="19"/>
                <w:szCs w:val="19"/>
              </w:rPr>
              <w:t xml:space="preserve">La alternativa es descontar la comisión de Square del ticket antes de repartir. En un servicio de $50 con tarjeta presente, a aproximadamente 2.6% más $0.10, eso es cerca de $1.40 por ticket, de los cuales tú absorberías cerca de $0.98. Entre cinco barberos y con volumen, la cifra anual es significativa en cualquiera de las dos direcciones.</w:t>
            </w:r>
          </w:p>
          <w:p>
            <w:pPr>
              <w:spacing w:after="60"/>
            </w:pPr>
            <w:r>
              <w:rPr>
                <w:rFonts w:ascii="Calibri" w:cs="Calibri" w:eastAsia="Calibri" w:hAnsi="Calibri"/>
                <w:color w:val="1A1A1A"/>
                <w:sz w:val="19"/>
                <w:szCs w:val="19"/>
              </w:rPr>
              <w:t xml:space="preserve">Cualquiera de las dos respuestas se sostiene. Lo que no se sostiene es dejarlo sin decidir hasta que un Barbero revise un Estado de Cuenta y encuentre un número que no esperaba. Marca una opción con tus iniciales en el Anexo A.</w:t>
            </w:r>
          </w:p>
        </w:tc>
      </w:tr>
    </w:tbl>
    <w:p>
      <w:pPr>
        <w:pStyle w:val="Heading2"/>
        <w:spacing w:after="120" w:before="280"/>
      </w:pPr>
      <w:r>
        <w:rPr>
          <w:rFonts w:ascii="Georgia" w:cs="Georgia" w:eastAsia="Georgia" w:hAnsi="Georgia"/>
          <w:b/>
          <w:bCs/>
          <w:color w:val="8A6A2F"/>
          <w:sz w:val="24"/>
          <w:szCs w:val="24"/>
        </w:rPr>
        <w:t xml:space="preserve">14. Redondeo y aritmética</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Definición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Moneda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Dólares de Estados Unidos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Redondeo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Al centavo más cercano, medio hacia arriba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Punto de redondeo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En cada línea del Estado de Cuenta, no en el total semanal</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Orden de operaciones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Aplicar descuentos, determinar la Base, aplicar el porcentaje, redondear y sumar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Total semanal negativo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 arrastra contra la Semana de Liquidación siguiente en vez de cobrarse, salvo que el Barbero ya se haya ido</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IV — Tratamiento de transacciones</w:t>
      </w:r>
    </w:p>
    <w:p>
      <w:pPr>
        <w:spacing w:after="180" w:before="0"/>
        <w:jc w:val="left"/>
      </w:pPr>
      <w:r>
        <w:rPr>
          <w:rFonts w:ascii="Calibri" w:cs="Calibri" w:eastAsia="Calibri" w:hAnsi="Calibri"/>
          <w:color w:val="1A1A1A"/>
          <w:sz w:val="21"/>
          <w:szCs w:val="21"/>
        </w:rPr>
        <w:t xml:space="preserve">Esta Parte es justamente lo que omitía el resumen de doce líneas. Cada renglón es un tipo de transacción que va a ocurrir y que por lo tanto el motor debe manejar de forma explícita.</w:t>
      </w:r>
    </w:p>
    <w:p>
      <w:pPr>
        <w:pStyle w:val="Heading2"/>
        <w:spacing w:after="120" w:before="280"/>
      </w:pPr>
      <w:r>
        <w:rPr>
          <w:rFonts w:ascii="Georgia" w:cs="Georgia" w:eastAsia="Georgia" w:hAnsi="Georgia"/>
          <w:b/>
          <w:bCs/>
          <w:color w:val="8A6A2F"/>
          <w:sz w:val="24"/>
          <w:szCs w:val="24"/>
        </w:rPr>
        <w:t xml:space="preserve">15. Matriz de tratamiento</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Transacción</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Tratamiento</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Servicio completado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Base se establece al completarse. Se aplica el porcentaje según la atribución.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Depósito recibido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genera comisión. El depósito se retiene y se aplica al precio del servicio al completarse.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Depósito perdido por no asistir</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Barbería lo retiene al 100%. No surge Base porque no se prestó el servicio.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Cargo por no asistir</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Barbería lo retiene al 100%.</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Cargo por cancelación tardía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Barbería lo retiene al 100%.</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Cancelación sin cargo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genera comisión.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Reembolso total</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línea original no se edita. Se registra un Ajuste negativo que revierte tu parte en la Semana de Liquidación en que se procesa el reembolso.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Reembolso parcial</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Ajuste negativo proporcional al monto reembolsado, con el mismo momento de registro.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Contracargo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 trata como reembolso. La comisión del contracargo la absorbe la Barbería.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Contracargo ganado después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Ajuste positivo que restituye la parte revertida en la semana en que regresan los fondos.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Venta de producto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Recibes una comisión de producto sobre el precio del producto antes de impuesto. La tasa la define el dueño en el Anexo 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Tarjeta de regalo canjeada por servicio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Comisión normal al canjearse, sobre el precio del servicio, para el Barbero que lo realiza.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Paquete canjeado por servicio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Comisión normal al canjearse, sobre el valor por visita declarado cuando se vendió el paquete.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Servicio de membresía canjeado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Comisión normal al canjearse, sobre el valor de servicio imputado en los términos de la membresía.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Cuota de membresía no canjeada en el periodo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Barbería la retiene al 100%.</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Ticket con varios Barberos</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 divide por línea de servicio. Cada línea se atribuye y se liquida con el Barbero que la realizó.</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Servicio transferido a mitad de la cita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 atribuye al Barbero que completó el servicio, salvo que el dueño registre una división con su razón.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Efectivo cobrado fuera de Square</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Prohibido. Ver la Sección 16.</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Corrección de un error anterior</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Nunca es una edición. Es un Ajuste aparte con razón, autor y sello de tiempo.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bl>
    <w:p>
      <w:pPr>
        <w:pStyle w:val="Heading2"/>
        <w:spacing w:after="120" w:before="280"/>
      </w:pPr>
      <w:r>
        <w:rPr>
          <w:rFonts w:ascii="Georgia" w:cs="Georgia" w:eastAsia="Georgia" w:hAnsi="Georgia"/>
          <w:b/>
          <w:bCs/>
          <w:color w:val="8A6A2F"/>
          <w:sz w:val="24"/>
          <w:szCs w:val="24"/>
        </w:rPr>
        <w:t xml:space="preserve">16. Todas las transacciones pasan por Square</w:t>
      </w:r>
    </w:p>
    <w:p>
      <w:pPr>
        <w:spacing w:after="120" w:before="0"/>
        <w:jc w:val="left"/>
      </w:pPr>
      <w:r>
        <w:rPr>
          <w:rFonts w:ascii="Calibri" w:cs="Calibri" w:eastAsia="Calibri" w:hAnsi="Calibri"/>
          <w:color w:val="1A1A1A"/>
          <w:sz w:val="21"/>
          <w:szCs w:val="21"/>
        </w:rPr>
        <w:t xml:space="preserve">Todo servicio, servicio adicional, producto y propina debe registrarse en el punto de venta de Square de la Barbería al momento del servicio. No puedes aceptar efectivo, Zelle, Venmo, Cash App ni ningún otro pago directamente de un cliente por servicios prestados en la Barbería.</w:t>
      </w:r>
    </w:p>
    <w:p>
      <w:pPr>
        <w:spacing w:after="120" w:before="0"/>
        <w:jc w:val="left"/>
      </w:pPr>
      <w:r>
        <w:rPr>
          <w:rFonts w:ascii="Calibri" w:cs="Calibri" w:eastAsia="Calibri" w:hAnsi="Calibri"/>
          <w:color w:val="1A1A1A"/>
          <w:sz w:val="21"/>
          <w:szCs w:val="21"/>
        </w:rPr>
        <w:t xml:space="preserve">Esto no es solo una preferencia contable. Square es la fuente de verdad de toda la reconciliación; una transacción que nunca entra a Square no produce línea en el Estado de Cuenta, ni registro de atribución, ni evidencia para ninguna de las dos partes si después se discute el monto. Cobrar fuera de la plataforma también rompe el reporte de ventas e ingresos de la Barbería y expone a las dos partes.</w:t>
      </w:r>
    </w:p>
    <w:p>
      <w:pPr>
        <w:spacing w:after="200" w:before="0"/>
        <w:jc w:val="left"/>
      </w:pPr>
      <w:r>
        <w:rPr>
          <w:rFonts w:ascii="Calibri" w:cs="Calibri" w:eastAsia="Calibri" w:hAnsi="Calibri"/>
          <w:color w:val="1A1A1A"/>
          <w:sz w:val="21"/>
          <w:szCs w:val="21"/>
        </w:rPr>
        <w:t xml:space="preserve">Si se identifica un cobro fuera de la plataforma, el monto completo se trata como ingreso de la Barbería para efectos de reconciliación, no surge participación del Barbero en esa transacción, y el hecho queda registrado en la bitácora. La repetición es causa para que el dueño termine la relación.</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V — Liquidación, estados de cuenta y disputas</w:t>
      </w:r>
    </w:p>
    <w:p>
      <w:pPr>
        <w:pStyle w:val="Heading2"/>
        <w:spacing w:after="120" w:before="280"/>
      </w:pPr>
      <w:r>
        <w:rPr>
          <w:rFonts w:ascii="Georgia" w:cs="Georgia" w:eastAsia="Georgia" w:hAnsi="Georgia"/>
          <w:b/>
          <w:bCs/>
          <w:color w:val="8A6A2F"/>
          <w:sz w:val="24"/>
          <w:szCs w:val="24"/>
        </w:rPr>
        <w:t xml:space="preserve">17. Ciclo</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Etapa</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Momento</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Semana de Liquidación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Lunes 12:00 a.m. a domingo 11:59 p.m., hora del Este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Estado de Cuenta emitido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Lunes, por correo electrónico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Aviso de atribución por reserva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Por SMS al momento de la reserva o del servicio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Ventana de disputa de atribución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Veinticuatro horas desde el SMS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Ventana de disputa del Estado de Cuenta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Veinticuatro horas desde su entrega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Cierre del Estado de Cuenta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Martes 5:00 p.m., hora del Este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Pago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Miércoles, después del cierre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Método de pago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Zelle o efectivo, entregado manualmente por el dueño</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bl>
    <w:p>
      <w:pPr>
        <w:pStyle w:val="Heading2"/>
        <w:spacing w:after="120" w:before="280"/>
      </w:pPr>
      <w:r>
        <w:rPr>
          <w:rFonts w:ascii="Georgia" w:cs="Georgia" w:eastAsia="Georgia" w:hAnsi="Georgia"/>
          <w:b/>
          <w:bCs/>
          <w:color w:val="8A6A2F"/>
          <w:sz w:val="24"/>
          <w:szCs w:val="24"/>
        </w:rPr>
        <w:t xml:space="preserve">18. Qué debe mostrar cada Estado de Cuenta</w:t>
      </w:r>
    </w:p>
    <w:p>
      <w:pPr>
        <w:spacing w:after="120" w:before="0"/>
        <w:jc w:val="left"/>
      </w:pPr>
      <w:r>
        <w:rPr>
          <w:rFonts w:ascii="Calibri" w:cs="Calibri" w:eastAsia="Calibri" w:hAnsi="Calibri"/>
          <w:color w:val="1A1A1A"/>
          <w:sz w:val="21"/>
          <w:szCs w:val="21"/>
        </w:rPr>
        <w:t xml:space="preserve">Cada Estado de Cuenta se detalla por transacción. Cada línea incluye lo siguiente, para que puedas reconstruir cualquier cifra sin preguntar y para que la Barbería pueda defender cualquier cifra años después.</w:t>
      </w:r>
    </w:p>
    <w:p>
      <w:pPr>
        <w:pStyle w:val="ListParagraph"/>
        <w:numPr>
          <w:ilvl w:val="0"/>
          <w:numId w:val="2"/>
        </w:numPr>
        <w:spacing w:after="60"/>
      </w:pPr>
      <w:r>
        <w:rPr>
          <w:rFonts w:ascii="Calibri" w:cs="Calibri" w:eastAsia="Calibri" w:hAnsi="Calibri"/>
          <w:color w:val="1A1A1A"/>
          <w:sz w:val="21"/>
          <w:szCs w:val="21"/>
        </w:rPr>
        <w:t xml:space="preserve">Fecha, hora, identificador del cliente, servicio y referencia de la transacción en Square</w:t>
      </w:r>
    </w:p>
    <w:p>
      <w:pPr>
        <w:pStyle w:val="ListParagraph"/>
        <w:numPr>
          <w:ilvl w:val="0"/>
          <w:numId w:val="2"/>
        </w:numPr>
        <w:spacing w:after="60"/>
      </w:pPr>
      <w:r>
        <w:rPr>
          <w:rFonts w:ascii="Calibri" w:cs="Calibri" w:eastAsia="Calibri" w:hAnsi="Calibri"/>
          <w:color w:val="1A1A1A"/>
          <w:sz w:val="21"/>
          <w:szCs w:val="21"/>
        </w:rPr>
        <w:t xml:space="preserve">Precio bruto del servicio, descuentos aplicados y la Base de Comisión resultante</w:t>
      </w:r>
    </w:p>
    <w:p>
      <w:pPr>
        <w:pStyle w:val="ListParagraph"/>
        <w:numPr>
          <w:ilvl w:val="0"/>
          <w:numId w:val="2"/>
        </w:numPr>
        <w:spacing w:after="60"/>
      </w:pPr>
      <w:r>
        <w:rPr>
          <w:rFonts w:ascii="Calibri" w:cs="Calibri" w:eastAsia="Calibri" w:hAnsi="Calibri"/>
          <w:color w:val="1A1A1A"/>
          <w:sz w:val="21"/>
          <w:szCs w:val="21"/>
        </w:rPr>
        <w:t xml:space="preserve">Propinas, mostradas por separado y claramente fuera de la Base</w:t>
      </w:r>
    </w:p>
    <w:p>
      <w:pPr>
        <w:pStyle w:val="ListParagraph"/>
        <w:numPr>
          <w:ilvl w:val="0"/>
          <w:numId w:val="2"/>
        </w:numPr>
        <w:spacing w:after="60"/>
      </w:pPr>
      <w:r>
        <w:rPr>
          <w:rFonts w:ascii="Calibri" w:cs="Calibri" w:eastAsia="Calibri" w:hAnsi="Calibri"/>
          <w:color w:val="1A1A1A"/>
          <w:sz w:val="21"/>
          <w:szCs w:val="21"/>
        </w:rPr>
        <w:t xml:space="preserve">Atribución como BARBERÍA o BARBERO, y la referencia de la evidencia cuando es BARBERO</w:t>
      </w:r>
    </w:p>
    <w:p>
      <w:pPr>
        <w:pStyle w:val="ListParagraph"/>
        <w:numPr>
          <w:ilvl w:val="0"/>
          <w:numId w:val="2"/>
        </w:numPr>
        <w:spacing w:after="60"/>
      </w:pPr>
      <w:r>
        <w:rPr>
          <w:rFonts w:ascii="Calibri" w:cs="Calibri" w:eastAsia="Calibri" w:hAnsi="Calibri"/>
          <w:color w:val="1A1A1A"/>
          <w:sz w:val="21"/>
          <w:szCs w:val="21"/>
        </w:rPr>
        <w:t xml:space="preserve">Versión del Reglamento y fecha de vigencia bajo la cual se calculó la línea</w:t>
      </w:r>
    </w:p>
    <w:p>
      <w:pPr>
        <w:pStyle w:val="ListParagraph"/>
        <w:numPr>
          <w:ilvl w:val="0"/>
          <w:numId w:val="2"/>
        </w:numPr>
        <w:spacing w:after="60"/>
      </w:pPr>
      <w:r>
        <w:rPr>
          <w:rFonts w:ascii="Calibri" w:cs="Calibri" w:eastAsia="Calibri" w:hAnsi="Calibri"/>
          <w:color w:val="1A1A1A"/>
          <w:sz w:val="21"/>
          <w:szCs w:val="21"/>
        </w:rPr>
        <w:t xml:space="preserve">Porcentaje aplicado y el Monto Calculado resultante</w:t>
      </w:r>
    </w:p>
    <w:p>
      <w:pPr>
        <w:pStyle w:val="ListParagraph"/>
        <w:numPr>
          <w:ilvl w:val="0"/>
          <w:numId w:val="2"/>
        </w:numPr>
        <w:spacing w:after="60"/>
      </w:pPr>
      <w:r>
        <w:rPr>
          <w:rFonts w:ascii="Calibri" w:cs="Calibri" w:eastAsia="Calibri" w:hAnsi="Calibri"/>
          <w:color w:val="1A1A1A"/>
          <w:sz w:val="21"/>
          <w:szCs w:val="21"/>
        </w:rPr>
        <w:t xml:space="preserve">Cualquier Ajuste que afecte la línea, con su razón y fecha</w:t>
      </w:r>
    </w:p>
    <w:p>
      <w:pPr>
        <w:pStyle w:val="ListParagraph"/>
        <w:numPr>
          <w:ilvl w:val="0"/>
          <w:numId w:val="2"/>
        </w:numPr>
        <w:spacing w:after="60"/>
      </w:pPr>
      <w:r>
        <w:rPr>
          <w:rFonts w:ascii="Calibri" w:cs="Calibri" w:eastAsia="Calibri" w:hAnsi="Calibri"/>
          <w:color w:val="1A1A1A"/>
          <w:sz w:val="21"/>
          <w:szCs w:val="21"/>
        </w:rPr>
        <w:t xml:space="preserve">Estado de cierre y estado de disputa</w:t>
      </w:r>
    </w:p>
    <w:p>
      <w:pPr>
        <w:pStyle w:val="ListParagraph"/>
        <w:numPr>
          <w:ilvl w:val="0"/>
          <w:numId w:val="2"/>
        </w:numPr>
        <w:spacing w:after="60"/>
      </w:pPr>
      <w:r>
        <w:rPr>
          <w:rFonts w:ascii="Calibri" w:cs="Calibri" w:eastAsia="Calibri" w:hAnsi="Calibri"/>
          <w:color w:val="1A1A1A"/>
          <w:sz w:val="21"/>
          <w:szCs w:val="21"/>
        </w:rPr>
        <w:t xml:space="preserve">Totales semanales de Base, Montos Calculados, propinas, Ajustes y la suma a pagar</w:t>
      </w:r>
    </w:p>
    <w:p>
      <w:pPr>
        <w:pStyle w:val="Heading2"/>
        <w:spacing w:after="120" w:before="280"/>
      </w:pPr>
      <w:r>
        <w:rPr>
          <w:rFonts w:ascii="Georgia" w:cs="Georgia" w:eastAsia="Georgia" w:hAnsi="Georgia"/>
          <w:b/>
          <w:bCs/>
          <w:color w:val="8A6A2F"/>
          <w:sz w:val="24"/>
          <w:szCs w:val="24"/>
        </w:rPr>
        <w:t xml:space="preserve">19. Disputas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Definición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Quién puede disputar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Barbero al que corresponde la línea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Qué se puede disputar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atribución de una transacción, y errores de cálculo u omisiones en el Estado de Cuenta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Qué no se puede disputar</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porcentajes en sí, los términos de esta política, o un Cálculo Cerrado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Cómo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Responde DISPUTA al SMS de notificación, o responde al correo del Estado de Cuenta, dentro de la ventana correspondiente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Edición por el Barbero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Ninguna. No puedes cambiar una atribución ni un cálculo directamente, en ningún momento.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Silencio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No responder dentro de la ventana equivale a aceptar. La línea se cierra.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Revisión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dueño revisa con el estándar de evidencia de la Sección 8</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Plazo de decisión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Dos días hábiles desde que se recibe la disputa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Resultado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Por escrito, con su razón, entregado al Barbero y registrado en la bitácora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Remedio si procede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Ajuste positivo en el siguiente Estado de Cuenta. La línea original nunca se edita.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Escalamiento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decisión del dueño es final dentro de esta política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Anulación por el dueño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Requiere razón escrita, se registra con autor y sello de tiempo, y no puede aplicarse de forma retroactiva a una línea cerrada salvo por Ajuste</w:t>
            </w:r>
          </w:p>
        </w:tc>
      </w:tr>
    </w:tbl>
    <w:p>
      <w:pPr>
        <w:pStyle w:val="Heading2"/>
        <w:spacing w:after="120" w:before="280"/>
      </w:pPr>
      <w:r>
        <w:rPr>
          <w:rFonts w:ascii="Georgia" w:cs="Georgia" w:eastAsia="Georgia" w:hAnsi="Georgia"/>
          <w:b/>
          <w:bCs/>
          <w:color w:val="8A6A2F"/>
          <w:sz w:val="24"/>
          <w:szCs w:val="24"/>
        </w:rPr>
        <w:t xml:space="preserve">20. Inmutabilidad</w:t>
      </w:r>
    </w:p>
    <w:p>
      <w:pPr>
        <w:spacing w:after="120" w:before="0"/>
        <w:jc w:val="left"/>
      </w:pPr>
      <w:r>
        <w:rPr>
          <w:rFonts w:ascii="Calibri" w:cs="Calibri" w:eastAsia="Calibri" w:hAnsi="Calibri"/>
          <w:color w:val="1A1A1A"/>
          <w:sz w:val="21"/>
          <w:szCs w:val="21"/>
        </w:rPr>
        <w:t xml:space="preserve">Un Cálculo Cerrado nunca se modifica, se borra ni se vuelve a calcular: ni para corregir un error, ni para resolver una disputa, ni para aplicar un cambio de regla posterior. Toda corrección es un Ajuste nuevo con fecha, razón y autor. La consecuencia es que la Barbería puede reproducir, para cualquier semana pasada, exactamente qué se calculó, sobre qué base, bajo qué versión del reglamento, y qué se cambió después y por qué. Esa capacidad de reproducir es toda la defensa si un Barbero cuestiona una cifra meses después, y se pierde en el momento en que se edita una sola fila histórica.</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VI — Integridad y prevención de abuso</w:t>
      </w:r>
    </w:p>
    <w:p>
      <w:pPr>
        <w:pStyle w:val="Heading2"/>
        <w:spacing w:after="120" w:before="280"/>
      </w:pPr>
      <w:r>
        <w:rPr>
          <w:rFonts w:ascii="Georgia" w:cs="Georgia" w:eastAsia="Georgia" w:hAnsi="Georgia"/>
          <w:b/>
          <w:bCs/>
          <w:color w:val="8A6A2F"/>
          <w:sz w:val="24"/>
          <w:szCs w:val="24"/>
        </w:rPr>
        <w:t xml:space="preserve">21. Alertas</w:t>
      </w:r>
    </w:p>
    <w:p>
      <w:pPr>
        <w:spacing w:after="140" w:before="0"/>
        <w:jc w:val="left"/>
      </w:pPr>
      <w:r>
        <w:rPr>
          <w:rFonts w:ascii="Calibri" w:cs="Calibri" w:eastAsia="Calibri" w:hAnsi="Calibri"/>
          <w:color w:val="1A1A1A"/>
          <w:sz w:val="21"/>
          <w:szCs w:val="21"/>
        </w:rPr>
        <w:t xml:space="preserve">Como la atribución por defecto es BARBERÍA y la carga de la prueba recae en el Barbero, el riesgo corre en una sola dirección: un Barbero que reclama de más clientes como preexistentes. Lo siguiente se monitorea y se le muestra al dueño. Una alerta es un aviso para revisar, no una conclusión.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2500"/>
        <w:gridCol w:w="5060"/>
        <w:gridCol w:w="1800"/>
      </w:tblGrid>
      <w:tr>
        <w:trPr>
          <w:tblHeader/>
        </w:trPr>
        <w:tc>
          <w:tcPr>
            <w:tcW w:type="dxa" w:w="25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Alerta</w:t>
            </w:r>
          </w:p>
        </w:tc>
        <w:tc>
          <w:tcPr>
            <w:tcW w:type="dxa" w:w="5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Disparador</w:t>
            </w:r>
          </w:p>
        </w:tc>
        <w:tc>
          <w:tcPr>
            <w:tcW w:type="dxa" w:w="18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Estado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por volumen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Barbero reclama más del 40% de sus clientes nuevos como preexistentes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FIJADO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por reclamo retroactivo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reclamo de preexistencia planteado solo después de atender al cliente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por conflicto de origen</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Reclamo de preexistencia sobre un cliente cuyo primer contacto fue Google, el sitio web, publicidad pagada o entrada sin cita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por contacto duplicado</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mismo teléfono o correo apareciendo en varios registros de cliente o en listas de varios Barberos</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por tasa de disputa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Barbero que disputa más del 25% de sus líneas en una Semana de Liquidación</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fuera de plataforma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Una cita reservada sin transacción correspondiente en Square</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r>
        <w:tc>
          <w:tcPr>
            <w:tcW w:type="dxa" w:w="25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por cambios en la lista</w:t>
            </w:r>
          </w:p>
        </w:tc>
        <w:tc>
          <w:tcPr>
            <w:tcW w:type="dxa" w:w="5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Solicitudes repetidas para modificar una Lista de Clientes Importados ya aceptada</w:t>
            </w:r>
          </w:p>
        </w:tc>
        <w:tc>
          <w:tcPr>
            <w:tcW w:type="dxa" w:w="1800"/>
            <w:tcMar>
              <w:top w:type="dxa" w:w="80"/>
              <w:left w:type="dxa" w:w="120"/>
              <w:bottom w:type="dxa" w:w="80"/>
              <w:right w:type="dxa" w:w="120"/>
            </w:tcMar>
            <w:vAlign w:val="center"/>
          </w:tcPr>
          <w:p>
            <w:pPr>
              <w:spacing w:after="0" w:before="0"/>
            </w:pPr>
            <w:r>
              <w:rPr>
                <w:rFonts w:ascii="Calibri" w:cs="Calibri" w:eastAsia="Calibri" w:hAnsi="Calibri"/>
                <w:b/>
                <w:bCs/>
                <w:color w:val="8A6A2F"/>
                <w:sz w:val="17"/>
                <w:szCs w:val="17"/>
              </w:rPr>
              <w:t xml:space="preserve">PROPUESTO</w:t>
            </w:r>
          </w:p>
        </w:tc>
      </w:tr>
    </w:tbl>
    <w:p>
      <w:pPr>
        <w:pStyle w:val="Heading2"/>
        <w:spacing w:after="120" w:before="280"/>
      </w:pPr>
      <w:r>
        <w:rPr>
          <w:rFonts w:ascii="Georgia" w:cs="Georgia" w:eastAsia="Georgia" w:hAnsi="Georgia"/>
          <w:b/>
          <w:bCs/>
          <w:color w:val="8A6A2F"/>
          <w:sz w:val="24"/>
          <w:szCs w:val="24"/>
        </w:rPr>
        <w:t xml:space="preserve">22. Consecuencias</w:t>
      </w:r>
    </w:p>
    <w:p>
      <w:pPr>
        <w:spacing w:after="120" w:before="0"/>
        <w:jc w:val="left"/>
      </w:pPr>
      <w:r>
        <w:rPr>
          <w:rFonts w:ascii="Calibri" w:cs="Calibri" w:eastAsia="Calibri" w:hAnsi="Calibri"/>
          <w:color w:val="1A1A1A"/>
          <w:sz w:val="21"/>
          <w:szCs w:val="21"/>
        </w:rPr>
        <w:t xml:space="preserve">Un reclamo sin respaldo se liquida como BARBERÍA. Un reclamo que resulte falso a sabiendas se liquida como BARBERÍA, se registra en la bitácora y es causa para que el dueño exija su aprobación previa de todos tus reclamos futuros de atribución, o para terminar la relación.</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VII — Versiones y registros</w:t>
      </w:r>
    </w:p>
    <w:p>
      <w:pPr>
        <w:pStyle w:val="Heading2"/>
        <w:spacing w:after="120" w:before="280"/>
      </w:pPr>
      <w:r>
        <w:rPr>
          <w:rFonts w:ascii="Georgia" w:cs="Georgia" w:eastAsia="Georgia" w:hAnsi="Georgia"/>
          <w:b/>
          <w:bCs/>
          <w:color w:val="8A6A2F"/>
          <w:sz w:val="24"/>
          <w:szCs w:val="24"/>
        </w:rPr>
        <w:t xml:space="preserve">23. Versiones del reglamento</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Definición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Esta versión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Reglamento v1.0, vigente desde el 6 de enero de 2026</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Base de cálculo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Cada cálculo se hace bajo la versión vigente en la fecha de la transacción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Retroactividad</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Ninguna. Una versión nueva nunca vuelve a calcular una semana anterior.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Aviso de cambio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Catorce días calendario de aviso escrito a cada Barbero antes de que entre en vigor una versión nueva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Acuse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Cada Barbero acusa por escrito cada versión antes de que le aplique</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Registro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Barbería mantiene un registro de cada versión, sus fechas de vigencia y qué cambió</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Conservación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Siete años para estados de cuenta, evidencia de atribución, disputas, decisiones y bitácoras</w:t>
            </w:r>
          </w:p>
        </w:tc>
      </w:tr>
    </w:tbl>
    <w:p>
      <w:pPr>
        <w:pStyle w:val="Heading2"/>
        <w:spacing w:after="120" w:before="280"/>
      </w:pPr>
      <w:r>
        <w:rPr>
          <w:rFonts w:ascii="Georgia" w:cs="Georgia" w:eastAsia="Georgia" w:hAnsi="Georgia"/>
          <w:b/>
          <w:bCs/>
          <w:color w:val="8A6A2F"/>
          <w:sz w:val="24"/>
          <w:szCs w:val="24"/>
        </w:rPr>
        <w:t xml:space="preserve">24. Registros que mantiene la Barbería</w:t>
      </w:r>
    </w:p>
    <w:p>
      <w:pPr>
        <w:pStyle w:val="ListParagraph"/>
        <w:numPr>
          <w:ilvl w:val="0"/>
          <w:numId w:val="2"/>
        </w:numPr>
        <w:spacing w:after="60"/>
      </w:pPr>
      <w:r>
        <w:rPr>
          <w:rFonts w:ascii="Calibri" w:cs="Calibri" w:eastAsia="Calibri" w:hAnsi="Calibri"/>
          <w:color w:val="1A1A1A"/>
          <w:sz w:val="21"/>
          <w:szCs w:val="21"/>
        </w:rPr>
        <w:t xml:space="preserve">Listas de Clientes Importados aceptadas y la evidencia presentada con ellas</w:t>
      </w:r>
    </w:p>
    <w:p>
      <w:pPr>
        <w:pStyle w:val="ListParagraph"/>
        <w:numPr>
          <w:ilvl w:val="0"/>
          <w:numId w:val="2"/>
        </w:numPr>
        <w:spacing w:after="60"/>
      </w:pPr>
      <w:r>
        <w:rPr>
          <w:rFonts w:ascii="Calibri" w:cs="Calibri" w:eastAsia="Calibri" w:hAnsi="Calibri"/>
          <w:color w:val="1A1A1A"/>
          <w:sz w:val="21"/>
          <w:szCs w:val="21"/>
        </w:rPr>
        <w:t xml:space="preserve">Cada Estado de Cuenta tal como se emitió</w:t>
      </w:r>
    </w:p>
    <w:p>
      <w:pPr>
        <w:pStyle w:val="ListParagraph"/>
        <w:numPr>
          <w:ilvl w:val="0"/>
          <w:numId w:val="2"/>
        </w:numPr>
        <w:spacing w:after="60"/>
      </w:pPr>
      <w:r>
        <w:rPr>
          <w:rFonts w:ascii="Calibri" w:cs="Calibri" w:eastAsia="Calibri" w:hAnsi="Calibri"/>
          <w:color w:val="1A1A1A"/>
          <w:sz w:val="21"/>
          <w:szCs w:val="21"/>
        </w:rPr>
        <w:t xml:space="preserve">Cada disputa, la evidencia considerada, la decisión y su razón</w:t>
      </w:r>
    </w:p>
    <w:p>
      <w:pPr>
        <w:pStyle w:val="ListParagraph"/>
        <w:numPr>
          <w:ilvl w:val="0"/>
          <w:numId w:val="2"/>
        </w:numPr>
        <w:spacing w:after="60"/>
      </w:pPr>
      <w:r>
        <w:rPr>
          <w:rFonts w:ascii="Calibri" w:cs="Calibri" w:eastAsia="Calibri" w:hAnsi="Calibri"/>
          <w:color w:val="1A1A1A"/>
          <w:sz w:val="21"/>
          <w:szCs w:val="21"/>
        </w:rPr>
        <w:t xml:space="preserve">Cada anulación del dueño, con autor, razón y sello de tiempo</w:t>
      </w:r>
    </w:p>
    <w:p>
      <w:pPr>
        <w:pStyle w:val="ListParagraph"/>
        <w:numPr>
          <w:ilvl w:val="0"/>
          <w:numId w:val="2"/>
        </w:numPr>
        <w:spacing w:after="60"/>
      </w:pPr>
      <w:r>
        <w:rPr>
          <w:rFonts w:ascii="Calibri" w:cs="Calibri" w:eastAsia="Calibri" w:hAnsi="Calibri"/>
          <w:color w:val="1A1A1A"/>
          <w:sz w:val="21"/>
          <w:szCs w:val="21"/>
        </w:rPr>
        <w:t xml:space="preserve">Cada Ajuste y la línea a la que corresponde</w:t>
      </w:r>
    </w:p>
    <w:p>
      <w:pPr>
        <w:pStyle w:val="ListParagraph"/>
        <w:numPr>
          <w:ilvl w:val="0"/>
          <w:numId w:val="2"/>
        </w:numPr>
        <w:spacing w:after="60"/>
      </w:pPr>
      <w:r>
        <w:rPr>
          <w:rFonts w:ascii="Calibri" w:cs="Calibri" w:eastAsia="Calibri" w:hAnsi="Calibri"/>
          <w:color w:val="1A1A1A"/>
          <w:sz w:val="21"/>
          <w:szCs w:val="21"/>
        </w:rPr>
        <w:t xml:space="preserve">Cada versión del Reglamento y el acuse de cada Barbero</w:t>
      </w:r>
    </w:p>
    <w:p>
      <w:pPr>
        <w:pStyle w:val="ListParagraph"/>
        <w:numPr>
          <w:ilvl w:val="0"/>
          <w:numId w:val="2"/>
        </w:numPr>
        <w:spacing w:after="60"/>
      </w:pPr>
      <w:r>
        <w:rPr>
          <w:rFonts w:ascii="Calibri" w:cs="Calibri" w:eastAsia="Calibri" w:hAnsi="Calibri"/>
          <w:color w:val="1A1A1A"/>
          <w:sz w:val="21"/>
          <w:szCs w:val="21"/>
        </w:rPr>
        <w:t xml:space="preserve">Registros de consentimiento para comunicación por SMS y correo electrónico</w:t>
      </w:r>
    </w:p>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VIII — Valores confirmados que se mantienen</w:t>
      </w:r>
    </w:p>
    <w:p>
      <w:pPr>
        <w:spacing w:after="160" w:before="0"/>
        <w:jc w:val="left"/>
      </w:pPr>
      <w:r>
        <w:rPr>
          <w:rFonts w:ascii="Calibri" w:cs="Calibri" w:eastAsia="Calibri" w:hAnsi="Calibri"/>
          <w:color w:val="1A1A1A"/>
          <w:sz w:val="21"/>
          <w:szCs w:val="21"/>
        </w:rPr>
        <w:t xml:space="preserve">Estos son los doce valores que se circularon antes. No cambian y siguen vigentes. Se repiten aquí para que este documento sea completo por sí solo y reemplace el resumen.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300"/>
        <w:gridCol w:w="6060"/>
      </w:tblGrid>
      <w:tr>
        <w:trPr>
          <w:tblHeader/>
        </w:trPr>
        <w:tc>
          <w:tcPr>
            <w:tcW w:type="dxa" w:w="33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Regla</w:t>
            </w:r>
          </w:p>
        </w:tc>
        <w:tc>
          <w:tcPr>
            <w:tcW w:type="dxa" w:w="60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Valor</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generado por la Barbería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70% Barbero / 30% Barbería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 preexistente verificado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Propinas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100% Barbero, excluidas de la Base de Comisión</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Atribución por defecto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 salvo que el Barbero demuestre lo contrario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Clientes sin cita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BARBERÍA</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Ventana de disputa</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Veinticuatro horas, por SMS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Alerta contra abuso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Barbero que reclama más del 40% de clientes nuevos como preexistentes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Semana de liquidación</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Lunes a domingo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Estado de cuenta enviado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Lunes</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Reglas vigentes desde</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6 de enero de 2026</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Método de pago</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Zelle o efectivo, pagado manualmente por el dueño</w:t>
            </w:r>
          </w:p>
        </w:tc>
      </w:tr>
      <w:tr>
        <w:tc>
          <w:tcPr>
            <w:tcW w:type="dxa" w:w="33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Cálculos cerrados</w:t>
            </w:r>
          </w:p>
        </w:tc>
        <w:tc>
          <w:tcPr>
            <w:tcW w:type="dxa" w:w="60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Inmutables. Correcciones solo por Ajuste aparte.</w:t>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Parte IX — Confirmación del dueño</w:t>
      </w:r>
    </w:p>
    <w:p>
      <w:pPr>
        <w:spacing w:after="200" w:before="0"/>
        <w:jc w:val="left"/>
      </w:pPr>
      <w:r>
        <w:rPr>
          <w:rFonts w:ascii="Calibri" w:cs="Calibri" w:eastAsia="Calibri" w:hAnsi="Calibri"/>
          <w:color w:val="1A1A1A"/>
          <w:sz w:val="21"/>
          <w:szCs w:val="21"/>
        </w:rPr>
        <w:t xml:space="preserve">El dueño pone sus iniciales en cada línea. Una línea con iniciales es lo que convierte un acuerdo verbal en un registro que se puede presentar si un Barbero cuestiona un cálculo después. La versión de siete líneas que se circuló antes regresó sin iniciales; este cuadro la reemplaza.</w:t>
      </w:r>
    </w:p>
    <w:p>
      <w:pPr>
        <w:pStyle w:val="Heading3"/>
        <w:spacing w:after="100" w:before="200"/>
      </w:pPr>
      <w:r>
        <w:rPr>
          <w:rFonts w:ascii="Calibri" w:cs="Calibri" w:eastAsia="Calibri" w:hAnsi="Calibri"/>
          <w:b/>
          <w:bCs/>
          <w:color w:val="1A1A1A"/>
          <w:sz w:val="21"/>
          <w:szCs w:val="21"/>
        </w:rPr>
        <w:t xml:space="preserve">Cuadro A — Valores confirmados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5760"/>
        <w:gridCol w:w="2400"/>
        <w:gridCol w:w="1200"/>
      </w:tblGrid>
      <w:tr>
        <w:trPr>
          <w:tblHeader/>
        </w:trPr>
        <w:tc>
          <w:tcPr>
            <w:tcW w:type="dxa" w:w="57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Línea</w:t>
            </w:r>
          </w:p>
        </w:tc>
        <w:tc>
          <w:tcPr>
            <w:tcW w:type="dxa" w:w="24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Iniciales del dueño</w:t>
            </w:r>
          </w:p>
        </w:tc>
        <w:tc>
          <w:tcPr>
            <w:tcW w:type="dxa" w:w="12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Fecha</w:t>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cliente generado por la Barbería se liquida 70% Barbero / 30% Barbería</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cliente preexistente verificado se liquida 100% Barbero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propinas son 100% del Barbero y quedan fuera de la Base de Comisión</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atribución por defecto es BARBERÍA; la carga de la prueba recae en el Barbero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clientes sin cita son BARBERÍA</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ventana de disputa de atribución es de veinticuatro horas por SMS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 marca al Barbero que reclama más del 40% de clientes nuevos como preexistentes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semana de liquidación es de lunes a domingo; el estado de cuenta se emite el lunes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reglas entran en vigor el 6 de enero de 2026</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pago es por Zelle o efectivo, entregado manualmente por el dueño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cálculos cerrados son inmutables; las correcciones se hacen solo por Ajuste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bl>
    <w:p>
      <w:r>
        <w:br w:type="page"/>
      </w:r>
    </w:p>
    <w:p>
      <w:pPr>
        <w:pStyle w:val="Heading3"/>
        <w:spacing w:after="100" w:before="200"/>
      </w:pPr>
      <w:r>
        <w:rPr>
          <w:rFonts w:ascii="Calibri" w:cs="Calibri" w:eastAsia="Calibri" w:hAnsi="Calibri"/>
          <w:b/>
          <w:bCs/>
          <w:color w:val="1A1A1A"/>
          <w:sz w:val="21"/>
          <w:szCs w:val="21"/>
        </w:rPr>
        <w:t xml:space="preserve">Cuadro B — Determinaciones nuevas que requieren confirmación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5760"/>
        <w:gridCol w:w="2400"/>
        <w:gridCol w:w="1200"/>
      </w:tblGrid>
      <w:tr>
        <w:trPr>
          <w:tblHeader/>
        </w:trPr>
        <w:tc>
          <w:tcPr>
            <w:tcW w:type="dxa" w:w="57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Línea</w:t>
            </w:r>
          </w:p>
        </w:tc>
        <w:tc>
          <w:tcPr>
            <w:tcW w:type="dxa" w:w="24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Iniciales del dueño</w:t>
            </w:r>
          </w:p>
        </w:tc>
        <w:tc>
          <w:tcPr>
            <w:tcW w:type="dxa" w:w="12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Fecha</w:t>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Cliente Preexistente Verificado se define por las cuatro condiciones de la Sección 8</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evidencia debe cumplir el estándar de la Sección 8; la afirmación sola no basta</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Lista de Clientes Importados se presenta una sola vez, dentro de catorce días del inicio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cliente omitido de la lista aceptada es BARBERÍA, salvo la Sección 10</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atribución es permanente y específica de la combinación cliente-Barbero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Un cliente que pasa con otro Barbero empieza en BARBERÍA con ese Barbero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impuesto sobre ventas queda excluido de toda Base de Comisión</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descuentos al servicio reducen la Base de forma proporcional para ambas partes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promociones de la Barbería reducen la Base salvo designación previa como mercadeo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depósitos no generan comisión hasta que el servicio se completa</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depósitos perdidos y los cargos por no asistir los retiene la Barbería al 100%</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cargos por cancelación tardía los retiene la Barbería al 100%</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reembolsos y contracargos se registran como Ajustes negativos, nunca como ediciones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comisiones de contracargo las absorbe la Barbería</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Tarjetas de regalo, paquetes y membresías generan comisión solo al canjearse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ingresos de membresía no canjeados los retiene la Barbería al 100%</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tickets con varios Barberos se dividen por línea de servicio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Todas las transacciones deben pasar por Square; cobrar fuera está prohibido</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redondeo es al centavo más cercano, medio hacia arriba, por línea</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 ventana de disputa del estado de cuenta es de veinticuatro horas; cierra el martes 5:00 p.m.</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pago se emite el miércoles, después del cierre</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silencio dentro de una ventana de disputa equivale a aceptar</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disputas se deciden en dos días hábiles, por escrito y con razón</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Las anulaciones del dueño requieren razón escrita y quedan registradas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cambios de regla requieren catorce días de aviso escrito y nunca son retroactivos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Los registros se conservan siete años</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576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Se activan las alertas de integridad adicionales de la Sección 21</w:t>
            </w:r>
          </w:p>
        </w:tc>
        <w:tc>
          <w:tcPr>
            <w:tcW w:type="dxa" w:w="24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c>
          <w:tcPr>
            <w:tcW w:type="dxa" w:w="120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Anexo A — Puntos abiertos que el dueño debe contestar</w:t>
      </w:r>
    </w:p>
    <w:p>
      <w:pPr>
        <w:spacing w:after="180" w:before="0"/>
        <w:jc w:val="left"/>
      </w:pPr>
      <w:r>
        <w:rPr>
          <w:rFonts w:ascii="Calibri" w:cs="Calibri" w:eastAsia="Calibri" w:hAnsi="Calibri"/>
          <w:color w:val="1A1A1A"/>
          <w:sz w:val="21"/>
          <w:szCs w:val="21"/>
        </w:rPr>
        <w:t xml:space="preserve">Estos no se pueden dejar en un valor por defecto. Cada uno requiere una cifra o una decisión del dueño antes de que corra el primer Estado de Cuenta.</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600"/>
        <w:gridCol w:w="4000"/>
        <w:gridCol w:w="4760"/>
      </w:tblGrid>
      <w:tr>
        <w:trPr>
          <w:tblHeader/>
        </w:trPr>
        <w:tc>
          <w:tcPr>
            <w:tcW w:type="dxa" w:w="6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olor w:val="1A1A1A"/>
                <w:sz w:val="17"/>
                <w:szCs w:val="17"/>
              </w:rPr>
              <w:t xml:space="preserve">#</w:t>
            </w:r>
          </w:p>
        </w:tc>
        <w:tc>
          <w:tcPr>
            <w:tcW w:type="dxa" w:w="400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Pregunta</w:t>
            </w:r>
          </w:p>
        </w:tc>
        <w:tc>
          <w:tcPr>
            <w:tcW w:type="dxa" w:w="4760"/>
            <w:shd w:fill="F2EDE3" w:color="auto" w:val="clear"/>
            <w:tcMar>
              <w:top w:type="dxa" w:w="80"/>
              <w:left w:type="dxa" w:w="120"/>
              <w:bottom w:type="dxa" w:w="80"/>
              <w:right w:type="dxa" w:w="120"/>
            </w:tcMar>
            <w:vAlign w:val="center"/>
          </w:tcPr>
          <w:p>
            <w:pPr>
              <w:spacing w:after="0" w:before="0"/>
            </w:pPr>
            <w:r>
              <w:rPr>
                <w:rFonts w:ascii="Calibri" w:cs="Calibri" w:eastAsia="Calibri" w:hAnsi="Calibri"/>
                <w:b/>
                <w:bCs/>
                <w:caps/>
                <w:color w:val="1A1A1A"/>
                <w:sz w:val="17"/>
                <w:szCs w:val="17"/>
              </w:rPr>
              <w:t xml:space="preserve">Respuesta del dueño</w:t>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¿El arreglo es renta de silla o comisión por porcentaje? Hoy circulan las dos descripciones y son incompatibles.</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2</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Si aplica renta de silla, ¿cuál es el monto y el periodo, y el reparto 70/30 aplica además de la renta o en lugar de ella?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3</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Comisiones de procesamiento: ¿las absorbe la Barbería o se descuentan del ticket antes de repartir?</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4</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Tasa de comisión de producto para el Barbero, sobre el precio del producto antes de impuesto.</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5</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¿Existe comisión de producto, o los productos son ingreso completo de la Barbería?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6</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Valor de servicio imputado por visita para cada nivel de membresía, para la comisión al canjearse.</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7</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Valor por visita de cada paquete vendido, declarado al momento de la venta.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8</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Monto del depósito y tabla de cargos por no asistir y por cancelación tardía.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9</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¿Cuántas horas antes de la cita una cancelación se considera "tardía"?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10</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Fecha de inicio confirmada de cada Barbero activo, que define la ventana de su lista.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11</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¿Existe un contrato de contratista independiente firmado por cada Barbero? Si no, debe acompañar esta política.</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r>
        <w:tc>
          <w:tcPr>
            <w:tcW w:type="dxa" w:w="600"/>
            <w:tcMar>
              <w:top w:type="dxa" w:w="80"/>
              <w:left w:type="dxa" w:w="120"/>
              <w:bottom w:type="dxa" w:w="80"/>
              <w:right w:type="dxa" w:w="120"/>
            </w:tcMar>
            <w:vAlign w:val="center"/>
          </w:tcPr>
          <w:p>
            <w:pPr>
              <w:spacing w:after="0" w:before="0"/>
            </w:pPr>
            <w:r>
              <w:rPr>
                <w:rFonts w:ascii="Calibri" w:cs="Calibri" w:eastAsia="Calibri" w:hAnsi="Calibri"/>
                <w:b/>
                <w:bCs/>
                <w:color w:val="1A1A1A"/>
                <w:sz w:val="18"/>
                <w:szCs w:val="18"/>
              </w:rPr>
              <w:t xml:space="preserve">12</w:t>
            </w:r>
          </w:p>
        </w:tc>
        <w:tc>
          <w:tcPr>
            <w:tcW w:type="dxa" w:w="4000"/>
            <w:tcMar>
              <w:top w:type="dxa" w:w="80"/>
              <w:left w:type="dxa" w:w="120"/>
              <w:bottom w:type="dxa" w:w="80"/>
              <w:right w:type="dxa" w:w="120"/>
            </w:tcMar>
            <w:vAlign w:val="center"/>
          </w:tcPr>
          <w:p>
            <w:pPr>
              <w:spacing w:after="0" w:before="0"/>
            </w:pPr>
            <w:r>
              <w:rPr>
                <w:rFonts w:ascii="Calibri" w:cs="Calibri" w:eastAsia="Calibri" w:hAnsi="Calibri"/>
                <w:color w:val="1A1A1A"/>
                <w:sz w:val="18"/>
                <w:szCs w:val="18"/>
              </w:rPr>
              <w:t xml:space="preserve">Número de barberos y lista de servicios; hoy son valores provisionales de cinco barberos y seis servicios.</w:t>
            </w:r>
          </w:p>
        </w:tc>
        <w:tc>
          <w:tcPr>
            <w:tcW w:type="dxa" w:w="4760"/>
            <w:tcMar>
              <w:top w:type="dxa" w:w="80"/>
              <w:left w:type="dxa" w:w="120"/>
              <w:bottom w:type="dxa" w:w="80"/>
              <w:right w:type="dxa" w:w="120"/>
            </w:tcMar>
            <w:vAlign w:val="center"/>
          </w:tcPr>
          <w:p>
            <w:pPr>
              <w:spacing w:after="0" w:before="0"/>
            </w:pPr>
            <w:r>
              <w:rPr>
                <w:rFonts w:ascii="Calibri" w:cs="Calibri" w:eastAsia="Calibri" w:hAnsi="Calibri"/>
                <w:color w:val="1A1A1A"/>
                <w:sz w:val="19"/>
                <w:szCs w:val="19"/>
              </w:rPr>
              <w:t xml:space="preserve"/>
            </w:r>
          </w:p>
        </w:tc>
      </w:tr>
    </w:tbl>
    <w:p>
      <w:r>
        <w:br w:type="page"/>
      </w:r>
    </w:p>
    <w:p>
      <w:pPr>
        <w:pStyle w:val="Heading1"/>
        <w:pBdr>
          <w:bottom w:val="single" w:color="8A6A2F" w:sz="8" w:space="6"/>
        </w:pBdr>
        <w:spacing w:after="160" w:before="360"/>
      </w:pPr>
      <w:r>
        <w:rPr>
          <w:rFonts w:ascii="Georgia" w:cs="Georgia" w:eastAsia="Georgia" w:hAnsi="Georgia"/>
          <w:b/>
          <w:bCs/>
          <w:color w:val="1A1A1A"/>
          <w:sz w:val="30"/>
          <w:szCs w:val="30"/>
        </w:rPr>
        <w:t xml:space="preserve">Acuse del Barbero</w:t>
      </w:r>
    </w:p>
    <w:p>
      <w:pPr>
        <w:spacing w:after="120" w:before="0"/>
        <w:jc w:val="left"/>
      </w:pPr>
      <w:r>
        <w:rPr>
          <w:rFonts w:ascii="Calibri" w:cs="Calibri" w:eastAsia="Calibri" w:hAnsi="Calibri"/>
          <w:color w:val="1A1A1A"/>
          <w:sz w:val="21"/>
          <w:szCs w:val="21"/>
        </w:rPr>
        <w:t xml:space="preserve">He leído esta Política de Atribución y Comisiones. Entiendo que trabajo como contratista independiente, que no se me retiene nada de mis Montos Calculados, y que soy responsable de mis propios impuestos, licencia y seguro. Entiendo que la atribución del cliente es BARBERÍA por defecto, que a mí me corresponde comprobar la atribución al BARBERO con evidencia, que no puedo cambiar una atribución ni un cálculo directamente, y que mi recurso es una disputa presentada dentro de la ventana establecida. Entiendo que un cálculo se cierra cuando su ventana termina y que las correcciones se hacen solo por Ajuste aparte.</w:t>
      </w:r>
    </w:p>
    <w:p>
      <w:pPr>
        <w:spacing w:after="300" w:before="0"/>
        <w:jc w:val="left"/>
      </w:pPr>
      <w:r>
        <w:rPr>
          <w:rFonts w:ascii="Calibri" w:cs="Calibri" w:eastAsia="Calibri" w:hAnsi="Calibri"/>
          <w:color w:val="1A1A1A"/>
          <w:sz w:val="21"/>
          <w:szCs w:val="21"/>
        </w:rPr>
        <w:t xml:space="preserve">Entiendo que todo pago por servicios prestados en la Barbería debe procesarse por el punto de venta de Square de la Barbería, y que cobrar fuera de Square está prohibido.</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00"/>
        <w:gridCol w:w="4760"/>
      </w:tblGrid>
      <w:tr>
        <w:tc>
          <w:tcPr>
            <w:tcW w:type="dxa" w:w="4600"/>
            <w:tcBorders>
              <w:top w:val="none"/>
              <w:left w:val="none"/>
              <w:bottom w:val="single" w:color="1A1A1A" w:sz="4"/>
              <w:right w:val="none"/>
            </w:tcBorders>
            <w:tcMar>
              <w:top w:type="dxa" w:w="400"/>
              <w:left w:type="dxa" w:w="0"/>
              <w:bottom w:type="dxa" w:w="60"/>
              <w:right w:type="dxa" w:w="200"/>
            </w:tcMar>
          </w:tcPr>
          <w:p>
            <w:r>
              <w:t xml:space="preserve"/>
            </w:r>
          </w:p>
        </w:tc>
        <w:tc>
          <w:tcPr>
            <w:tcW w:type="dxa" w:w="4760"/>
            <w:tcBorders>
              <w:top w:val="none"/>
              <w:left w:val="none"/>
              <w:bottom w:val="single" w:color="1A1A1A" w:sz="4"/>
              <w:right w:val="none"/>
            </w:tcBorders>
            <w:tcMar>
              <w:top w:type="dxa" w:w="400"/>
              <w:left w:type="dxa" w:w="200"/>
              <w:bottom w:type="dxa" w:w="60"/>
              <w:right w:type="dxa" w:w="0"/>
            </w:tcMar>
          </w:tcPr>
          <w:p>
            <w:r>
              <w:t xml:space="preserve"/>
            </w:r>
          </w:p>
        </w:tc>
      </w:tr>
      <w:tr>
        <w:tc>
          <w:tcPr>
            <w:tcW w:type="dxa" w:w="4600"/>
            <w:tcBorders>
              <w:top w:val="none"/>
              <w:left w:val="none"/>
              <w:bottom w:val="none"/>
              <w:right w:val="none"/>
            </w:tcBorders>
            <w:tcMar>
              <w:top w:type="dxa" w:w="40"/>
              <w:left w:type="dxa" w:w="0"/>
              <w:bottom w:type="dxa" w:w="200"/>
              <w:right w:type="dxa" w:w="200"/>
            </w:tcMar>
          </w:tcPr>
          <w:p>
            <w:r>
              <w:rPr>
                <w:rFonts w:ascii="Calibri" w:cs="Calibri" w:eastAsia="Calibri" w:hAnsi="Calibri"/>
                <w:color w:val="5A5A5A"/>
                <w:sz w:val="17"/>
                <w:szCs w:val="17"/>
              </w:rPr>
              <w:t xml:space="preserve">Barbero — firma</w:t>
            </w:r>
          </w:p>
        </w:tc>
        <w:tc>
          <w:tcPr>
            <w:tcW w:type="dxa" w:w="4760"/>
            <w:tcBorders>
              <w:top w:val="none"/>
              <w:left w:val="none"/>
              <w:bottom w:val="none"/>
              <w:right w:val="none"/>
            </w:tcBorders>
            <w:tcMar>
              <w:top w:type="dxa" w:w="40"/>
              <w:left w:type="dxa" w:w="200"/>
              <w:bottom w:type="dxa" w:w="200"/>
              <w:right w:type="dxa" w:w="0"/>
            </w:tcMar>
          </w:tcPr>
          <w:p>
            <w:r>
              <w:rPr>
                <w:rFonts w:ascii="Calibri" w:cs="Calibri" w:eastAsia="Calibri" w:hAnsi="Calibri"/>
                <w:color w:val="5A5A5A"/>
                <w:sz w:val="17"/>
                <w:szCs w:val="17"/>
              </w:rPr>
              <w:t xml:space="preserve">Fecha</w:t>
            </w:r>
          </w:p>
        </w:tc>
      </w:tr>
    </w:tbl>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00"/>
        <w:gridCol w:w="4760"/>
      </w:tblGrid>
      <w:tr>
        <w:tc>
          <w:tcPr>
            <w:tcW w:type="dxa" w:w="4600"/>
            <w:tcBorders>
              <w:top w:val="none"/>
              <w:left w:val="none"/>
              <w:bottom w:val="single" w:color="1A1A1A" w:sz="4"/>
              <w:right w:val="none"/>
            </w:tcBorders>
            <w:tcMar>
              <w:top w:type="dxa" w:w="400"/>
              <w:left w:type="dxa" w:w="0"/>
              <w:bottom w:type="dxa" w:w="60"/>
              <w:right w:type="dxa" w:w="200"/>
            </w:tcMar>
          </w:tcPr>
          <w:p>
            <w:r>
              <w:t xml:space="preserve"/>
            </w:r>
          </w:p>
        </w:tc>
        <w:tc>
          <w:tcPr>
            <w:tcW w:type="dxa" w:w="4760"/>
            <w:tcBorders>
              <w:top w:val="none"/>
              <w:left w:val="none"/>
              <w:bottom w:val="single" w:color="1A1A1A" w:sz="4"/>
              <w:right w:val="none"/>
            </w:tcBorders>
            <w:tcMar>
              <w:top w:type="dxa" w:w="400"/>
              <w:left w:type="dxa" w:w="200"/>
              <w:bottom w:type="dxa" w:w="60"/>
              <w:right w:type="dxa" w:w="0"/>
            </w:tcMar>
          </w:tcPr>
          <w:p>
            <w:r>
              <w:t xml:space="preserve"/>
            </w:r>
          </w:p>
        </w:tc>
      </w:tr>
      <w:tr>
        <w:tc>
          <w:tcPr>
            <w:tcW w:type="dxa" w:w="4600"/>
            <w:tcBorders>
              <w:top w:val="none"/>
              <w:left w:val="none"/>
              <w:bottom w:val="none"/>
              <w:right w:val="none"/>
            </w:tcBorders>
            <w:tcMar>
              <w:top w:type="dxa" w:w="40"/>
              <w:left w:type="dxa" w:w="0"/>
              <w:bottom w:type="dxa" w:w="200"/>
              <w:right w:type="dxa" w:w="200"/>
            </w:tcMar>
          </w:tcPr>
          <w:p>
            <w:r>
              <w:rPr>
                <w:rFonts w:ascii="Calibri" w:cs="Calibri" w:eastAsia="Calibri" w:hAnsi="Calibri"/>
                <w:color w:val="5A5A5A"/>
                <w:sz w:val="17"/>
                <w:szCs w:val="17"/>
              </w:rPr>
              <w:t xml:space="preserve">Barbero — nombre en letra de molde</w:t>
            </w:r>
          </w:p>
        </w:tc>
        <w:tc>
          <w:tcPr>
            <w:tcW w:type="dxa" w:w="4760"/>
            <w:tcBorders>
              <w:top w:val="none"/>
              <w:left w:val="none"/>
              <w:bottom w:val="none"/>
              <w:right w:val="none"/>
            </w:tcBorders>
            <w:tcMar>
              <w:top w:type="dxa" w:w="40"/>
              <w:left w:type="dxa" w:w="200"/>
              <w:bottom w:type="dxa" w:w="200"/>
              <w:right w:type="dxa" w:w="0"/>
            </w:tcMar>
          </w:tcPr>
          <w:p>
            <w:r>
              <w:rPr>
                <w:rFonts w:ascii="Calibri" w:cs="Calibri" w:eastAsia="Calibri" w:hAnsi="Calibri"/>
                <w:color w:val="5A5A5A"/>
                <w:sz w:val="17"/>
                <w:szCs w:val="17"/>
              </w:rPr>
              <w:t xml:space="preserve">Fecha de inicio en la Barbería</w:t>
            </w:r>
          </w:p>
        </w:tc>
      </w:tr>
    </w:tbl>
    <w:p>
      <w:pPr>
        <w:spacing w:before="300"/>
      </w:pPr>
      <w:r>
        <w:t xml:space="preserve"/>
      </w:r>
    </w:p>
    <w:p>
      <w:pPr>
        <w:pStyle w:val="Heading2"/>
        <w:spacing w:after="120" w:before="280"/>
      </w:pPr>
      <w:r>
        <w:rPr>
          <w:rFonts w:ascii="Georgia" w:cs="Georgia" w:eastAsia="Georgia" w:hAnsi="Georgia"/>
          <w:b/>
          <w:bCs/>
          <w:color w:val="8A6A2F"/>
          <w:sz w:val="24"/>
          <w:szCs w:val="24"/>
        </w:rPr>
        <w:t xml:space="preserve">Por la Barbería</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4600"/>
        <w:gridCol w:w="4760"/>
      </w:tblGrid>
      <w:tr>
        <w:tc>
          <w:tcPr>
            <w:tcW w:type="dxa" w:w="4600"/>
            <w:tcBorders>
              <w:top w:val="none"/>
              <w:left w:val="none"/>
              <w:bottom w:val="single" w:color="1A1A1A" w:sz="4"/>
              <w:right w:val="none"/>
            </w:tcBorders>
            <w:tcMar>
              <w:top w:type="dxa" w:w="400"/>
              <w:left w:type="dxa" w:w="0"/>
              <w:bottom w:type="dxa" w:w="60"/>
              <w:right w:type="dxa" w:w="200"/>
            </w:tcMar>
          </w:tcPr>
          <w:p>
            <w:r>
              <w:t xml:space="preserve"/>
            </w:r>
          </w:p>
        </w:tc>
        <w:tc>
          <w:tcPr>
            <w:tcW w:type="dxa" w:w="4760"/>
            <w:tcBorders>
              <w:top w:val="none"/>
              <w:left w:val="none"/>
              <w:bottom w:val="single" w:color="1A1A1A" w:sz="4"/>
              <w:right w:val="none"/>
            </w:tcBorders>
            <w:tcMar>
              <w:top w:type="dxa" w:w="400"/>
              <w:left w:type="dxa" w:w="200"/>
              <w:bottom w:type="dxa" w:w="60"/>
              <w:right w:type="dxa" w:w="0"/>
            </w:tcMar>
          </w:tcPr>
          <w:p>
            <w:r>
              <w:t xml:space="preserve"/>
            </w:r>
          </w:p>
        </w:tc>
      </w:tr>
      <w:tr>
        <w:tc>
          <w:tcPr>
            <w:tcW w:type="dxa" w:w="4600"/>
            <w:tcBorders>
              <w:top w:val="none"/>
              <w:left w:val="none"/>
              <w:bottom w:val="none"/>
              <w:right w:val="none"/>
            </w:tcBorders>
            <w:tcMar>
              <w:top w:type="dxa" w:w="40"/>
              <w:left w:type="dxa" w:w="0"/>
              <w:bottom w:type="dxa" w:w="200"/>
              <w:right w:type="dxa" w:w="200"/>
            </w:tcMar>
          </w:tcPr>
          <w:p>
            <w:r>
              <w:rPr>
                <w:rFonts w:ascii="Calibri" w:cs="Calibri" w:eastAsia="Calibri" w:hAnsi="Calibri"/>
                <w:color w:val="5A5A5A"/>
                <w:sz w:val="17"/>
                <w:szCs w:val="17"/>
              </w:rPr>
              <w:t xml:space="preserve">Rubén Diaz, Jr., Miembro — Luxury Barber Lounge, LLC</w:t>
            </w:r>
          </w:p>
        </w:tc>
        <w:tc>
          <w:tcPr>
            <w:tcW w:type="dxa" w:w="4760"/>
            <w:tcBorders>
              <w:top w:val="none"/>
              <w:left w:val="none"/>
              <w:bottom w:val="none"/>
              <w:right w:val="none"/>
            </w:tcBorders>
            <w:tcMar>
              <w:top w:type="dxa" w:w="40"/>
              <w:left w:type="dxa" w:w="200"/>
              <w:bottom w:type="dxa" w:w="200"/>
              <w:right w:type="dxa" w:w="0"/>
            </w:tcMar>
          </w:tcPr>
          <w:p>
            <w:r>
              <w:rPr>
                <w:rFonts w:ascii="Calibri" w:cs="Calibri" w:eastAsia="Calibri" w:hAnsi="Calibri"/>
                <w:color w:val="5A5A5A"/>
                <w:sz w:val="17"/>
                <w:szCs w:val="17"/>
              </w:rPr>
              <w:t xml:space="preserve">Fecha</w:t>
            </w:r>
          </w:p>
        </w:tc>
      </w:tr>
    </w:tbl>
    <w:p>
      <w:pPr>
        <w:spacing w:before="400"/>
      </w:pPr>
      <w:r>
        <w:rPr>
          <w:rFonts w:ascii="Calibri" w:cs="Calibri" w:eastAsia="Calibri" w:hAnsi="Calibri"/>
          <w:i/>
          <w:iCs/>
          <w:color w:val="5A5A5A"/>
          <w:sz w:val="17"/>
          <w:szCs w:val="17"/>
        </w:rPr>
        <w:t xml:space="preserve">Reglamento v1.0  ·  Preparado por Lion Business Services LLC  ·  Este documento es una política operativa y una especificación de cálculo. No es asesoría legal, y la pregunta de clasificación de la Sección 3 debe revisarse con un abogado.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2026-07-29T20:38:19.320Z</dcterms:created>
  <dcterms:modified xsi:type="dcterms:W3CDTF">2026-07-29T20:38:19.335Z</dcterms:modified>
</cp:coreProperties>
</file>

<file path=docProps/custom.xml><?xml version="1.0" encoding="utf-8"?>
<Properties xmlns="http://schemas.openxmlformats.org/officeDocument/2006/custom-properties" xmlns:vt="http://schemas.openxmlformats.org/officeDocument/2006/docPropsVTypes"/>
</file>