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华为AI日志分析模型项目进展报告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第一版模型实现思路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第一版模型旨在对华为AI日志数据</w:t>
      </w:r>
      <w:r>
        <w:rPr>
          <w:rFonts w:hint="eastAsia" w:ascii="宋体" w:hAnsi="宋体" w:eastAsia="宋体" w:cs="宋体"/>
          <w:lang w:val="en-US" w:eastAsia="zh-CN"/>
        </w:rPr>
        <w:t>针对华为提供的动态日志中提取的列表项数据</w:t>
      </w:r>
      <w:r>
        <w:rPr>
          <w:rFonts w:hint="eastAsia" w:ascii="宋体" w:hAnsi="宋体" w:eastAsia="宋体" w:cs="宋体"/>
        </w:rPr>
        <w:t>进行误报分类识别，整体流程包括数据预处理、特征提取、模型训练与评估，以及模型推理功能的实现。主要步骤如下：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1) 数据预处理：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- 使用OneHotEncoder对结构化字段（oracle_name、sut.component、sut.component_set、sut.module）进行独热编码。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- 使用CodeBERT对文本字段（api_ut、tags）进行语义向量化编码（768维）。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2) 特征融合：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- 将OneHot编码向量与CodeBERT文本向量拼接成完整特征向量。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3) 数据集处理：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- 划分训练集与测试集，使用RandomOverSampler进行上采样以缓解类别不平衡问题。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4) 模型结构：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- 使用两层全连接神经网络（输入层→隐藏层ReLU→输出层）进行二分类。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5) 训练与评估：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- 使用加权交叉熵损失函数（CrossEntropyLoss）平衡类别权重。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- 训练过程中记录Loss、Accuracy、Precision、Recall、F1等指标，并使用TensorBoard可视化。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6) 推理功能：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- 提供推理脚本infer.py，支持加载训练时的编码器（encoder.pkl）与模型权重（log_classifier.pt）对新数据进行预测。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项目当前进展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目前已完成：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- 第一版模型的设计、训练与测试，且推理脚本已实现。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- 模型在训练集上的指标：Acc=82.24%，Precision=0.84，Recall=0.80，F1=0.82。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- 模型在测试集上的指标：Acc=81.3%，Precision=0.99，Recall=0.81，F1=0.89。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- 已保存OneHot编码器（encoder.pkl）、编码列顺序（encoder_columns.npy）及模型权重（log_classifier.pt）。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- 数据输入格式与华为</w:t>
      </w:r>
      <w:r>
        <w:rPr>
          <w:rFonts w:hint="eastAsia" w:ascii="宋体" w:hAnsi="宋体" w:eastAsia="宋体" w:cs="宋体"/>
          <w:lang w:val="en-US" w:eastAsia="zh-CN"/>
        </w:rPr>
        <w:t>提供的</w:t>
      </w:r>
      <w:bookmarkStart w:id="0" w:name="_GoBack"/>
      <w:bookmarkEnd w:id="0"/>
      <w:r>
        <w:rPr>
          <w:rFonts w:hint="eastAsia" w:ascii="宋体" w:hAnsi="宋体" w:eastAsia="宋体" w:cs="宋体"/>
        </w:rPr>
        <w:t>原始日志提取的列表项格式一致。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潜在风险与应对措施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潜在风险：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- 训练数据与实际部署流水线数据分布可能存在较大差异，影响模型泛化性能。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应对方案：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1) 第二版模型将引入静态分析的警报信息与代码信息，通过主动学习逐步优化模型性能。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2) 根据上线运行情况进行数据反馈闭环，持续微调模型参数与特征工程。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3) 在特征提取阶段增加调用栈相关的代码信息，以提升模型在复杂场景下的判别能力。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后续数据需求</w:t>
      </w:r>
    </w:p>
    <w:p>
      <w:r>
        <w:rPr>
          <w:rFonts w:hint="eastAsia" w:ascii="宋体" w:hAnsi="宋体" w:eastAsia="宋体" w:cs="宋体"/>
        </w:rPr>
        <w:t>第二轮迭代模型需要补充的数据包括：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1) 完整的动态日志。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2) 报错代码调用链上的完整代码（包括触发错误的代码）。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3) 报错代码的静态分析结果，包括警报类型、警报优先级、严重程度等</w:t>
      </w:r>
      <w:r>
        <w:rPr>
          <w:rFonts w:hint="eastAsia" w:ascii="宋体" w:hAnsi="宋体" w:eastAsia="宋体" w:cs="宋体"/>
          <w:lang w:val="en-US" w:eastAsia="zh-CN"/>
        </w:rPr>
        <w:t>多有静态分析工具输出的</w:t>
      </w:r>
      <w:r>
        <w:rPr>
          <w:rFonts w:hint="eastAsia" w:ascii="宋体" w:hAnsi="宋体" w:eastAsia="宋体" w:cs="宋体"/>
        </w:rPr>
        <w:t>信息。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说明：有了调用栈信息后，可以在日志中保留相关函数的运行信息，从而提取更多有价值的运行时特征。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DBEA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pingguo</cp:lastModifiedBy>
  <dcterms:modified xsi:type="dcterms:W3CDTF">2025-08-11T17:11:32Z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95597F2588236BD0C4B39968EBB7B0B1_42</vt:lpwstr>
  </property>
</Properties>
</file>