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EE49DFD" w14:textId="77777777" w:rsidR="00082552" w:rsidRDefault="00082552" w:rsidP="00082552">
      <w:pPr>
        <w:pStyle w:val="Title"/>
      </w:pPr>
      <w:bookmarkStart w:id="0" w:name="_GoBack"/>
      <w:bookmarkEnd w:id="0"/>
      <w:r>
        <w:t xml:space="preserve">DATA Act Schema Model </w:t>
      </w:r>
    </w:p>
    <w:p w14:paraId="038DE64E" w14:textId="77777777" w:rsidR="00082552" w:rsidRPr="004D183F" w:rsidRDefault="00082552" w:rsidP="00082552">
      <w:r w:rsidRPr="004D183F">
        <w:rPr>
          <w:i/>
        </w:rPr>
        <w:t>Draft</w:t>
      </w:r>
      <w:r>
        <w:rPr>
          <w:i/>
        </w:rPr>
        <w:t xml:space="preserve"> Version 0.1</w:t>
      </w:r>
    </w:p>
    <w:p w14:paraId="75C8E752" w14:textId="77777777" w:rsidR="00082552" w:rsidRDefault="00082552" w:rsidP="00082552">
      <w:pPr>
        <w:pStyle w:val="Heading1"/>
      </w:pPr>
      <w:r>
        <w:t>Background</w:t>
      </w:r>
    </w:p>
    <w:p w14:paraId="375F1C57" w14:textId="77777777" w:rsidR="00082552" w:rsidRDefault="00082552" w:rsidP="00082552">
      <w:r>
        <w:t xml:space="preserve">The DATA Act directs OMB and Treasury to establish government-wide data standards for federal funds and entities receiving such funds. While standard data definitions will help to ensure that information will be consistent and comparable, a standard data exchange, as part of our implementation will make financial management data accessible and reusable and provide the necessary linkages between financial events. By making federal spending data accessible, searchable, and reliable, the public can understand how government spending impacts their communities. The standard data exchange will also reduce the need for massive system changes across federal agencies to collect information and allow agencies to focus on managing data. </w:t>
      </w:r>
    </w:p>
    <w:p w14:paraId="56CF10A4" w14:textId="77777777" w:rsidR="00082552" w:rsidRDefault="00082552" w:rsidP="00082552">
      <w:r>
        <w:t xml:space="preserve">Accordingly, Treasury will issue data exchange guidelines that leverage industry standards to tag financial and non-financial data with metadata, or structured information that describes, explains, locates, or otherwise makes it easier to retrieve data. Treasury will require agencies to submit data for posting on USAspending.gov (or successor site) via a </w:t>
      </w:r>
      <w:r w:rsidRPr="004D183F">
        <w:t>standard data exchange called</w:t>
      </w:r>
      <w:r>
        <w:t xml:space="preserve"> the “Digital Accountability Transparency Act Schema” (DATA Act Schema). </w:t>
      </w:r>
    </w:p>
    <w:p w14:paraId="60BE5804" w14:textId="77777777" w:rsidR="00082552" w:rsidRDefault="00082552" w:rsidP="00082552">
      <w:r>
        <w:t xml:space="preserve">The standard data exchange, or DATA Act Schema, has two components: a standard taxonomy and a standard format, or “language” for exchanging data. The DATA Act Schema includes the required DATA Act data elements and related metadata, including relationship and validation rules. The DATA Act Schema will provide a comprehensive view of the data definition standards and their relationships to one another.  </w:t>
      </w:r>
    </w:p>
    <w:p w14:paraId="014375A3" w14:textId="77777777" w:rsidR="00082552" w:rsidRDefault="00082552" w:rsidP="00082552">
      <w:r>
        <w:t xml:space="preserve">Treasury has created a draft subset of the DATA Act Schema based upon a subset of U.S. Standard General Ledger (USSGL), </w:t>
      </w:r>
      <w:r w:rsidRPr="004D183F">
        <w:t>which is expressed in XML.</w:t>
      </w:r>
      <w:r>
        <w:t xml:space="preserve"> The draft schema can be found </w:t>
      </w:r>
      <w:hyperlink r:id="rId10" w:history="1">
        <w:r w:rsidRPr="00407D3A">
          <w:rPr>
            <w:rStyle w:val="Hyperlink"/>
          </w:rPr>
          <w:t>here</w:t>
        </w:r>
      </w:hyperlink>
      <w:r>
        <w:t xml:space="preserve">. Additional components of the DATA Act Schema will be created in the future to capture other data elements (see Figure 1). For data transmission within the federal government and to external stakeholders, Treasury will leverage a combination of XBRL, JSON, Protocol Buffer, CSV, and other formats, as appropriate. This will allow matching of the optimal format given data volume, performance, and data presentation needs. </w:t>
      </w:r>
    </w:p>
    <w:p w14:paraId="14049C13" w14:textId="77777777" w:rsidR="00082552" w:rsidRDefault="00082552" w:rsidP="00082552">
      <w:r>
        <w:t>The DATA Act Schema will be revised periodically and is expected to evolve over time to capture unique requirements for more complex or specialized areas and to reflect changes due to law or regulation.</w:t>
      </w:r>
    </w:p>
    <w:p w14:paraId="0FE43EAD" w14:textId="77777777" w:rsidR="00082552" w:rsidRDefault="00082552" w:rsidP="00082552">
      <w:r>
        <w:t xml:space="preserve">The DATA Act Schema, including a both the technical representation and “human readable” taxonomy documentation and format are provided </w:t>
      </w:r>
      <w:hyperlink r:id="rId11" w:history="1">
        <w:r w:rsidRPr="00407D3A">
          <w:rPr>
            <w:rStyle w:val="Hyperlink"/>
          </w:rPr>
          <w:t>here</w:t>
        </w:r>
      </w:hyperlink>
      <w:r>
        <w:t>.</w:t>
      </w:r>
    </w:p>
    <w:p w14:paraId="4245338C" w14:textId="77777777" w:rsidR="007D05A5" w:rsidRPr="00082552" w:rsidRDefault="00082552" w:rsidP="001358D8">
      <w:pPr>
        <w:rPr>
          <w:i/>
        </w:rPr>
      </w:pPr>
      <w:r w:rsidRPr="007F4CAD">
        <w:rPr>
          <w:b/>
        </w:rPr>
        <w:t>Important:</w:t>
      </w:r>
      <w:r w:rsidRPr="007D05A5">
        <w:rPr>
          <w:i/>
        </w:rPr>
        <w:t xml:space="preserve"> The draft schema does not constitute as official USSGL guidance and should not be used as official guidance by federal agencies or the public. For official guidance, see </w:t>
      </w:r>
      <w:hyperlink r:id="rId12" w:history="1">
        <w:r w:rsidRPr="007D05A5">
          <w:rPr>
            <w:rStyle w:val="Hyperlink"/>
            <w:i/>
          </w:rPr>
          <w:t>http://tfm.fiscal.treasury.gov/v1/supplements/ussgl.html</w:t>
        </w:r>
      </w:hyperlink>
      <w:r w:rsidRPr="007D05A5">
        <w:rPr>
          <w:i/>
        </w:rPr>
        <w:t xml:space="preserve">. </w:t>
      </w:r>
    </w:p>
    <w:p w14:paraId="73D768FF" w14:textId="77777777" w:rsidR="00355D51" w:rsidRDefault="008E78E7">
      <w:pPr>
        <w:pStyle w:val="Heading1"/>
      </w:pPr>
      <w:r>
        <w:lastRenderedPageBreak/>
        <w:t>Summary</w:t>
      </w:r>
    </w:p>
    <w:p w14:paraId="29E3ECC8" w14:textId="77777777" w:rsidR="007B5B4F" w:rsidRDefault="007B5B4F" w:rsidP="008E78E7">
      <w:r>
        <w:t>T</w:t>
      </w:r>
      <w:r w:rsidR="00FA4DC5">
        <w:t xml:space="preserve">he </w:t>
      </w:r>
      <w:r w:rsidR="009B05B8">
        <w:t xml:space="preserve">draft </w:t>
      </w:r>
      <w:r w:rsidR="007D05A5">
        <w:t>DATA Act Schema</w:t>
      </w:r>
      <w:r w:rsidR="00FA4DC5">
        <w:t xml:space="preserve">, as depicted here in </w:t>
      </w:r>
      <w:r w:rsidR="00802791">
        <w:t>F</w:t>
      </w:r>
      <w:r w:rsidR="00FA4DC5">
        <w:t>igure 1,</w:t>
      </w:r>
      <w:r w:rsidR="002F0BA3">
        <w:t xml:space="preserve"> </w:t>
      </w:r>
      <w:r>
        <w:t xml:space="preserve">is a model </w:t>
      </w:r>
      <w:r w:rsidR="009B05B8">
        <w:t xml:space="preserve">that includes the DATA Act </w:t>
      </w:r>
      <w:r>
        <w:t xml:space="preserve">data </w:t>
      </w:r>
      <w:hyperlink r:id="rId13" w:history="1">
        <w:r w:rsidRPr="00DB4193">
          <w:rPr>
            <w:rStyle w:val="Hyperlink"/>
          </w:rPr>
          <w:t>element</w:t>
        </w:r>
      </w:hyperlink>
      <w:r w:rsidR="009B05B8">
        <w:t xml:space="preserve"> areas.</w:t>
      </w:r>
      <w:r>
        <w:t xml:space="preserve"> </w:t>
      </w:r>
      <w:r w:rsidR="00EE0E86">
        <w:t xml:space="preserve">The model </w:t>
      </w:r>
      <w:r w:rsidR="00842042">
        <w:t xml:space="preserve">represents </w:t>
      </w:r>
      <w:r w:rsidR="009B05B8">
        <w:t xml:space="preserve">both </w:t>
      </w:r>
      <w:r w:rsidR="00842042">
        <w:t>awards (Financial Assistance, Contract</w:t>
      </w:r>
      <w:r w:rsidR="00942427">
        <w:t>,</w:t>
      </w:r>
      <w:r w:rsidR="00842042">
        <w:t xml:space="preserve"> and Loan) </w:t>
      </w:r>
      <w:r w:rsidR="009B05B8">
        <w:t xml:space="preserve">and </w:t>
      </w:r>
      <w:r w:rsidR="00942427">
        <w:t>f</w:t>
      </w:r>
      <w:r w:rsidR="00842042">
        <w:t>inancial data</w:t>
      </w:r>
      <w:r w:rsidR="00AF3C3D">
        <w:t xml:space="preserve"> (i.e., </w:t>
      </w:r>
      <w:r w:rsidR="00DB4193">
        <w:t>Obligations</w:t>
      </w:r>
      <w:r w:rsidR="00AF3C3D">
        <w:t>, Ou</w:t>
      </w:r>
      <w:r w:rsidR="00117083">
        <w:t>t</w:t>
      </w:r>
      <w:r w:rsidR="00AF3C3D">
        <w:t>lays)</w:t>
      </w:r>
      <w:r w:rsidR="009B05B8">
        <w:t>.</w:t>
      </w:r>
    </w:p>
    <w:p w14:paraId="27FF8F19" w14:textId="77777777" w:rsidR="002F0BA3" w:rsidRDefault="006E202E" w:rsidP="008E78E7">
      <w:r>
        <w:rPr>
          <w:noProof/>
          <w:lang w:eastAsia="en-US"/>
        </w:rPr>
        <mc:AlternateContent>
          <mc:Choice Requires="wps">
            <w:drawing>
              <wp:anchor distT="0" distB="0" distL="114300" distR="114300" simplePos="0" relativeHeight="251661312" behindDoc="0" locked="0" layoutInCell="1" allowOverlap="1" wp14:anchorId="42C00101" wp14:editId="5AF35BA1">
                <wp:simplePos x="0" y="0"/>
                <wp:positionH relativeFrom="margin">
                  <wp:posOffset>1861820</wp:posOffset>
                </wp:positionH>
                <wp:positionV relativeFrom="paragraph">
                  <wp:posOffset>5080</wp:posOffset>
                </wp:positionV>
                <wp:extent cx="3665220" cy="16573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3665220" cy="165735"/>
                        </a:xfrm>
                        <a:prstGeom prst="rect">
                          <a:avLst/>
                        </a:prstGeom>
                        <a:solidFill>
                          <a:prstClr val="white"/>
                        </a:solidFill>
                        <a:ln>
                          <a:noFill/>
                        </a:ln>
                        <a:effectLst/>
                      </wps:spPr>
                      <wps:txbx>
                        <w:txbxContent>
                          <w:p w14:paraId="3E92A64E" w14:textId="77777777" w:rsidR="0086752E" w:rsidRDefault="0086752E" w:rsidP="00FA4DC5">
                            <w:pPr>
                              <w:pStyle w:val="Caption"/>
                              <w:rPr>
                                <w:noProof/>
                              </w:rPr>
                            </w:pPr>
                            <w:r>
                              <w:t xml:space="preserve">Figure </w:t>
                            </w:r>
                            <w:r w:rsidR="00A613D4">
                              <w:fldChar w:fldCharType="begin"/>
                            </w:r>
                            <w:r w:rsidR="00A613D4">
                              <w:instrText xml:space="preserve"> SEQ Figure \* ARABIC </w:instrText>
                            </w:r>
                            <w:r w:rsidR="00A613D4">
                              <w:fldChar w:fldCharType="separate"/>
                            </w:r>
                            <w:r>
                              <w:rPr>
                                <w:noProof/>
                              </w:rPr>
                              <w:t>1</w:t>
                            </w:r>
                            <w:r w:rsidR="00A613D4">
                              <w:rPr>
                                <w:noProof/>
                              </w:rPr>
                              <w:fldChar w:fldCharType="end"/>
                            </w:r>
                            <w:r>
                              <w:t>: The DATA Act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46.6pt;margin-top:.4pt;width:288.6pt;height:1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" stroked="f">
                <v:textbox inset="0,0,0,0">
                  <w:txbxContent>
                    <w:p w14:paraId="3E92A64E" w14:textId="77777777" w:rsidR="0086752E" w:rsidRDefault="0086752E" w:rsidP="00FA4DC5">
                      <w:pPr>
                        <w:pStyle w:val="Caption"/>
                        <w:rPr>
                          <w:noProof/>
                        </w:rPr>
                      </w:pPr>
                      <w:r>
                        <w:t xml:space="preserve">Figure </w:t>
                      </w:r>
                      <w:fldSimple w:instr=" SEQ Figure \* ARABIC ">
                        <w:r>
                          <w:rPr>
                            <w:noProof/>
                          </w:rPr>
                          <w:t>1</w:t>
                        </w:r>
                      </w:fldSimple>
                      <w:r>
                        <w:t>: The DATA Act Schema</w:t>
                      </w:r>
                    </w:p>
                  </w:txbxContent>
                </v:textbox>
                <w10:wrap type="square" anchorx="margin"/>
              </v:shape>
            </w:pict>
          </mc:Fallback>
        </mc:AlternateContent>
      </w:r>
      <w:r w:rsidR="00A613D4">
        <w:rPr>
          <w:noProof/>
        </w:rPr>
        <w:pict w14:anchorId="450F0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32.2pt;margin-top:12.75pt;width:335.95pt;height:143.45pt;z-index:251660287;mso-position-horizontal-relative:text;mso-position-vertical-relative:text" wrapcoords="723 113 627 339 723 16398 771 16398 16296 16398 16345 16398 16393 14588 20443 14588 21166 14362 21070 452 20973 113 723 113">
            <v:imagedata r:id="rId14" o:title=""/>
            <w10:wrap type="tight"/>
          </v:shape>
          <o:OLEObject Type="Embed" ProgID="Visio.Drawing.15" ShapeID="_x0000_s1033" DrawAspect="Content" ObjectID="_1364979196" r:id="rId15"/>
        </w:pict>
      </w:r>
      <w:r w:rsidR="008E78E7">
        <w:t xml:space="preserve">The </w:t>
      </w:r>
      <w:r w:rsidR="007D05A5">
        <w:t>DATA Act Schema</w:t>
      </w:r>
      <w:r w:rsidR="008C4ED3">
        <w:t xml:space="preserve"> will be composed of </w:t>
      </w:r>
      <w:r w:rsidR="007515B5">
        <w:t>several</w:t>
      </w:r>
      <w:r w:rsidR="00EE0E86">
        <w:t xml:space="preserve"> schemas,</w:t>
      </w:r>
      <w:r w:rsidR="008C4ED3">
        <w:t xml:space="preserve"> stan</w:t>
      </w:r>
      <w:r w:rsidR="00EE0E86">
        <w:t xml:space="preserve">dardizing the way we represent </w:t>
      </w:r>
      <w:r w:rsidR="00BA4732">
        <w:t xml:space="preserve">financial </w:t>
      </w:r>
      <w:r w:rsidR="003D6CDA">
        <w:t>assistance</w:t>
      </w:r>
      <w:r w:rsidR="00EE0E86">
        <w:t>, contract</w:t>
      </w:r>
      <w:r w:rsidR="00BA4732">
        <w:t>,</w:t>
      </w:r>
      <w:r w:rsidR="00EE0E86">
        <w:t xml:space="preserve"> and l</w:t>
      </w:r>
      <w:r w:rsidR="008C4ED3">
        <w:t xml:space="preserve">oan award data as well </w:t>
      </w:r>
      <w:r w:rsidR="009B05B8">
        <w:t xml:space="preserve">financial </w:t>
      </w:r>
      <w:r w:rsidR="008C4ED3">
        <w:t xml:space="preserve">data.  </w:t>
      </w:r>
    </w:p>
    <w:p w14:paraId="12216EC7" w14:textId="77777777" w:rsidR="007F4CAD" w:rsidRDefault="007F4CAD" w:rsidP="007F4CAD">
      <w:r>
        <w:t xml:space="preserve">The structure of the DATA Act Schema is such that a complete representation is “compiled” by assembling a set of schemas via a parent schema to represent a specific business concept around financial assistance, contracts, loans, either singularly or in any combination. </w:t>
      </w:r>
    </w:p>
    <w:p w14:paraId="27A380B7" w14:textId="77777777" w:rsidR="008E78E7" w:rsidRDefault="008E78E7" w:rsidP="008E78E7">
      <w:r>
        <w:t xml:space="preserve">Each </w:t>
      </w:r>
      <w:r w:rsidR="00EE0E86">
        <w:t>of these schemas</w:t>
      </w:r>
      <w:r>
        <w:t xml:space="preserve"> can be seen as </w:t>
      </w:r>
      <w:r w:rsidR="003730E0">
        <w:t>a</w:t>
      </w:r>
      <w:r w:rsidR="008C4ED3">
        <w:t xml:space="preserve"> building block to </w:t>
      </w:r>
      <w:r w:rsidR="0097765A">
        <w:t xml:space="preserve">assemble </w:t>
      </w:r>
      <w:r w:rsidR="002F0BA3">
        <w:t>structure</w:t>
      </w:r>
      <w:r w:rsidR="0097765A">
        <w:t>d</w:t>
      </w:r>
      <w:r w:rsidR="002F0BA3">
        <w:t xml:space="preserve"> data oriented to </w:t>
      </w:r>
      <w:r w:rsidR="00112C9B" w:rsidRPr="003858BB">
        <w:t>US</w:t>
      </w:r>
      <w:r w:rsidR="003858BB">
        <w:t xml:space="preserve">SGL </w:t>
      </w:r>
      <w:r w:rsidR="00EE0E86">
        <w:t>accounting</w:t>
      </w:r>
      <w:r w:rsidR="002F0BA3">
        <w:t xml:space="preserve"> concepts</w:t>
      </w:r>
      <w:r>
        <w:t>.</w:t>
      </w:r>
      <w:r w:rsidR="00BA4732">
        <w:t xml:space="preserve"> </w:t>
      </w:r>
      <w:r w:rsidR="00C460FC" w:rsidRPr="00C460FC">
        <w:t>The USSGL provides a uniform chart of accounts and technical guidance for standardizing federal agency accountin</w:t>
      </w:r>
      <w:r w:rsidR="00C460FC">
        <w:t>g.</w:t>
      </w:r>
    </w:p>
    <w:p w14:paraId="468DBDB4" w14:textId="77777777" w:rsidR="007515B5" w:rsidRDefault="007515B5" w:rsidP="008E78E7"/>
    <w:p w14:paraId="46B37855" w14:textId="77777777" w:rsidR="003730E0" w:rsidRDefault="003730E0" w:rsidP="000E6D06">
      <w:pPr>
        <w:pStyle w:val="Heading1"/>
      </w:pPr>
      <w:r>
        <w:t xml:space="preserve">Scope of </w:t>
      </w:r>
      <w:r w:rsidR="00FF4510">
        <w:t>Release</w:t>
      </w:r>
    </w:p>
    <w:p w14:paraId="6E1C3BD4" w14:textId="77777777" w:rsidR="00EE0E86" w:rsidRDefault="003730E0" w:rsidP="003730E0">
      <w:r w:rsidRPr="003730E0">
        <w:t xml:space="preserve">This document defines the </w:t>
      </w:r>
      <w:r w:rsidR="00FF4510">
        <w:t xml:space="preserve">current release </w:t>
      </w:r>
      <w:r w:rsidRPr="003730E0">
        <w:t>of the</w:t>
      </w:r>
      <w:r w:rsidR="00326147">
        <w:t xml:space="preserve"> draft</w:t>
      </w:r>
      <w:r w:rsidRPr="003730E0">
        <w:t xml:space="preserve"> </w:t>
      </w:r>
      <w:r w:rsidR="007D05A5">
        <w:t>DATA Act Schema</w:t>
      </w:r>
      <w:r w:rsidR="00FF4510">
        <w:t xml:space="preserve"> for review. The </w:t>
      </w:r>
      <w:r w:rsidR="00326147">
        <w:t xml:space="preserve">draft </w:t>
      </w:r>
      <w:r w:rsidR="007D05A5">
        <w:t>DATA Act Schema</w:t>
      </w:r>
      <w:r w:rsidR="00FF4510">
        <w:t xml:space="preserve"> is a work in progress and, as such</w:t>
      </w:r>
      <w:r w:rsidR="003251B1">
        <w:t>, this is a living document intended to change with each new release</w:t>
      </w:r>
      <w:r w:rsidRPr="003730E0">
        <w:t>.</w:t>
      </w:r>
      <w:r w:rsidR="003251B1">
        <w:t xml:space="preserve"> </w:t>
      </w:r>
    </w:p>
    <w:p w14:paraId="4C3023E2" w14:textId="77777777" w:rsidR="00EE0E86" w:rsidRDefault="00EE0E86" w:rsidP="00EF4447">
      <w:r>
        <w:t xml:space="preserve">In the current release, only </w:t>
      </w:r>
      <w:r w:rsidR="0046551C">
        <w:t xml:space="preserve">a subset of </w:t>
      </w:r>
      <w:r>
        <w:t xml:space="preserve">the </w:t>
      </w:r>
      <w:r w:rsidR="00326147">
        <w:t xml:space="preserve">draft </w:t>
      </w:r>
      <w:r>
        <w:t xml:space="preserve">USSGL-Financial schema (depicted in blue) is being released for review. Subsequent releases will begin to include the other schemas (depicted in grey) as they are </w:t>
      </w:r>
      <w:r w:rsidR="0046551C">
        <w:t>drafted</w:t>
      </w:r>
      <w:r>
        <w:t xml:space="preserve">. </w:t>
      </w:r>
    </w:p>
    <w:p w14:paraId="6DDD7648" w14:textId="77777777" w:rsidR="00596710" w:rsidRDefault="00596710" w:rsidP="00596710">
      <w:pPr>
        <w:pStyle w:val="Heading2"/>
      </w:pPr>
      <w:r>
        <w:t>Broader Considerations</w:t>
      </w:r>
    </w:p>
    <w:p w14:paraId="640F988C" w14:textId="77777777" w:rsidR="003251B1" w:rsidRDefault="00326147" w:rsidP="003730E0">
      <w:r>
        <w:t>In anticipation of future releases</w:t>
      </w:r>
      <w:r w:rsidR="00802791">
        <w:t xml:space="preserve"> to both the financial and award schemas</w:t>
      </w:r>
      <w:r>
        <w:t>, please note the following broad</w:t>
      </w:r>
      <w:r w:rsidR="003251B1">
        <w:t xml:space="preserve"> considerations</w:t>
      </w:r>
      <w:r w:rsidR="00DB4193">
        <w:t>:</w:t>
      </w:r>
    </w:p>
    <w:p w14:paraId="455C1E62" w14:textId="77777777" w:rsidR="007B3F46" w:rsidRDefault="007B3F46">
      <w:r>
        <w:br w:type="page"/>
      </w:r>
    </w:p>
    <w:p w14:paraId="7A06622D" w14:textId="77777777" w:rsidR="007B3F46" w:rsidRDefault="007B3F46" w:rsidP="003730E0"/>
    <w:p w14:paraId="61F14A9D" w14:textId="77777777" w:rsidR="003251B1" w:rsidRDefault="003251B1" w:rsidP="00596710">
      <w:pPr>
        <w:pStyle w:val="Heading3"/>
      </w:pPr>
      <w:r>
        <w:t>The Interaction of the Awards and Financial Modules</w:t>
      </w:r>
    </w:p>
    <w:p w14:paraId="00C84307" w14:textId="77777777" w:rsidR="00774906" w:rsidRDefault="00752DAD" w:rsidP="003251B1">
      <w:r>
        <w:rPr>
          <w:noProof/>
          <w:lang w:eastAsia="en-US"/>
        </w:rPr>
        <mc:AlternateContent>
          <mc:Choice Requires="wps">
            <w:drawing>
              <wp:anchor distT="0" distB="0" distL="114300" distR="114300" simplePos="0" relativeHeight="251666432" behindDoc="0" locked="0" layoutInCell="1" allowOverlap="1" wp14:anchorId="6CBD6EFF" wp14:editId="3A58195C">
                <wp:simplePos x="0" y="0"/>
                <wp:positionH relativeFrom="column">
                  <wp:posOffset>2613025</wp:posOffset>
                </wp:positionH>
                <wp:positionV relativeFrom="paragraph">
                  <wp:posOffset>850265</wp:posOffset>
                </wp:positionV>
                <wp:extent cx="2900045" cy="17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00045" cy="177800"/>
                        </a:xfrm>
                        <a:prstGeom prst="rect">
                          <a:avLst/>
                        </a:prstGeom>
                        <a:solidFill>
                          <a:prstClr val="white"/>
                        </a:solidFill>
                        <a:ln>
                          <a:noFill/>
                        </a:ln>
                        <a:effectLst/>
                      </wps:spPr>
                      <wps:txbx>
                        <w:txbxContent>
                          <w:p w14:paraId="791F0841" w14:textId="77777777" w:rsidR="0086752E" w:rsidRDefault="0086752E" w:rsidP="00FE52B7">
                            <w:pPr>
                              <w:pStyle w:val="Caption"/>
                              <w:rPr>
                                <w:noProof/>
                              </w:rPr>
                            </w:pPr>
                            <w:r>
                              <w:t xml:space="preserve">Figure </w:t>
                            </w:r>
                            <w:r w:rsidR="00A613D4">
                              <w:fldChar w:fldCharType="begin"/>
                            </w:r>
                            <w:r w:rsidR="00A613D4">
                              <w:instrText xml:space="preserve"> SEQ Figure \* ARABIC </w:instrText>
                            </w:r>
                            <w:r w:rsidR="00A613D4">
                              <w:fldChar w:fldCharType="separate"/>
                            </w:r>
                            <w:r>
                              <w:rPr>
                                <w:noProof/>
                              </w:rPr>
                              <w:t>2</w:t>
                            </w:r>
                            <w:r w:rsidR="00A613D4">
                              <w:rPr>
                                <w:noProof/>
                              </w:rPr>
                              <w:fldChar w:fldCharType="end"/>
                            </w:r>
                            <w:r>
                              <w:t>: Awards relationship to USSGL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05.75pt;margin-top:66.95pt;width:228.3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" stroked="f">
                <v:textbox inset="0,0,0,0">
                  <w:txbxContent>
                    <w:p w14:paraId="791F0841" w14:textId="77777777" w:rsidR="0086752E" w:rsidRDefault="0086752E" w:rsidP="00FE52B7">
                      <w:pPr>
                        <w:pStyle w:val="Caption"/>
                        <w:rPr>
                          <w:noProof/>
                        </w:rPr>
                      </w:pPr>
                      <w:r>
                        <w:t xml:space="preserve">Figure </w:t>
                      </w:r>
                      <w:fldSimple w:instr=" SEQ Figure \* ARABIC ">
                        <w:r>
                          <w:rPr>
                            <w:noProof/>
                          </w:rPr>
                          <w:t>2</w:t>
                        </w:r>
                      </w:fldSimple>
                      <w:r>
                        <w:t>: Awards relationship to USSGL accounts</w:t>
                      </w:r>
                    </w:p>
                  </w:txbxContent>
                </v:textbox>
                <w10:wrap type="square"/>
              </v:shape>
            </w:pict>
          </mc:Fallback>
        </mc:AlternateContent>
      </w:r>
      <w:r w:rsidR="00A613D4">
        <w:rPr>
          <w:noProof/>
          <w:lang w:eastAsia="en-US"/>
        </w:rPr>
        <w:pict w14:anchorId="60D1A77A">
          <v:shape id="_x0000_s1031" type="#_x0000_t75" style="position:absolute;margin-left:195.05pt;margin-top:117pt;width:308.45pt;height:242.85pt;z-index:251664384;mso-position-horizontal-relative:margin;mso-position-vertical-relative:margin">
            <v:imagedata r:id="rId16" o:title=""/>
            <w10:wrap type="square" anchorx="margin" anchory="margin"/>
          </v:shape>
          <o:OLEObject Type="Embed" ProgID="Visio.Drawing.15" ShapeID="_x0000_s1031" DrawAspect="Content" ObjectID="_1364979197" r:id="rId17"/>
        </w:pict>
      </w:r>
      <w:r w:rsidR="00DD7D54">
        <w:t>I</w:t>
      </w:r>
      <w:r w:rsidR="00FE52B7">
        <w:t xml:space="preserve">t is important to note that the </w:t>
      </w:r>
      <w:r w:rsidR="003251B1">
        <w:t xml:space="preserve">modular structure of the </w:t>
      </w:r>
      <w:r w:rsidR="007D05A5">
        <w:t>DATA Act Schema</w:t>
      </w:r>
      <w:r w:rsidR="003251B1">
        <w:t xml:space="preserve"> allows for both a one-to-one </w:t>
      </w:r>
      <w:r w:rsidR="00774906">
        <w:t xml:space="preserve">OR </w:t>
      </w:r>
      <w:r w:rsidR="003251B1">
        <w:t xml:space="preserve">a one-to-many </w:t>
      </w:r>
      <w:r w:rsidR="000E6D06">
        <w:t>relationship between an award</w:t>
      </w:r>
      <w:r w:rsidR="003251B1">
        <w:t xml:space="preserve"> </w:t>
      </w:r>
      <w:r w:rsidR="00F34B6A">
        <w:t xml:space="preserve">(e.g., contract, loan, etc.) </w:t>
      </w:r>
      <w:r w:rsidR="003251B1">
        <w:t>and the</w:t>
      </w:r>
      <w:r w:rsidR="000E6D06">
        <w:t xml:space="preserve"> </w:t>
      </w:r>
      <w:hyperlink r:id="rId18" w:history="1">
        <w:r w:rsidR="003251B1" w:rsidRPr="0046551C">
          <w:rPr>
            <w:rStyle w:val="Hyperlink"/>
          </w:rPr>
          <w:t>object class</w:t>
        </w:r>
      </w:hyperlink>
      <w:r w:rsidR="00075D7A">
        <w:t xml:space="preserve"> </w:t>
      </w:r>
      <w:r w:rsidR="00FE52B7">
        <w:t>(</w:t>
      </w:r>
      <w:proofErr w:type="spellStart"/>
      <w:r w:rsidR="00FE52B7">
        <w:t>objectC</w:t>
      </w:r>
      <w:r w:rsidR="000E6D06">
        <w:t>lass</w:t>
      </w:r>
      <w:proofErr w:type="spellEnd"/>
      <w:r w:rsidR="000E6D06">
        <w:t>)</w:t>
      </w:r>
      <w:r w:rsidR="003251B1">
        <w:t xml:space="preserve"> </w:t>
      </w:r>
      <w:r w:rsidR="00FE52B7">
        <w:t>of a USSGL account</w:t>
      </w:r>
      <w:r w:rsidR="00774906">
        <w:t xml:space="preserve"> and its transactions</w:t>
      </w:r>
      <w:r w:rsidR="00802791">
        <w:t>. The USSGL account transaction and the award are</w:t>
      </w:r>
      <w:r w:rsidR="00FE52B7">
        <w:t xml:space="preserve"> linked by </w:t>
      </w:r>
      <w:r w:rsidR="00802791">
        <w:t xml:space="preserve">the </w:t>
      </w:r>
      <w:r w:rsidR="00FE52B7">
        <w:t>a</w:t>
      </w:r>
      <w:r w:rsidR="003251B1">
        <w:t xml:space="preserve">ward </w:t>
      </w:r>
      <w:r w:rsidR="00FE52B7">
        <w:t>identifier (</w:t>
      </w:r>
      <w:proofErr w:type="spellStart"/>
      <w:r w:rsidR="00FE52B7">
        <w:t>awardNumber</w:t>
      </w:r>
      <w:proofErr w:type="spellEnd"/>
      <w:r w:rsidR="00FE52B7">
        <w:t>)</w:t>
      </w:r>
      <w:r w:rsidR="003251B1">
        <w:t xml:space="preserve"> </w:t>
      </w:r>
      <w:r w:rsidR="00802791">
        <w:t xml:space="preserve">in </w:t>
      </w:r>
      <w:r w:rsidR="003251B1">
        <w:t xml:space="preserve">the </w:t>
      </w:r>
      <w:r w:rsidR="007D05A5">
        <w:t>DATA Act Schema</w:t>
      </w:r>
      <w:r w:rsidR="003251B1">
        <w:t xml:space="preserve">. </w:t>
      </w:r>
    </w:p>
    <w:p w14:paraId="1DC01CCA" w14:textId="77777777" w:rsidR="003251B1" w:rsidRDefault="00FE52B7" w:rsidP="003251B1">
      <w:r>
        <w:t>As depicted in Figure 2, e</w:t>
      </w:r>
      <w:r w:rsidR="003251B1">
        <w:t xml:space="preserve">ach award </w:t>
      </w:r>
      <w:r w:rsidR="003A0CAA">
        <w:t xml:space="preserve">transaction </w:t>
      </w:r>
      <w:r w:rsidR="003251B1">
        <w:t>entry contain</w:t>
      </w:r>
      <w:r>
        <w:t xml:space="preserve">s a </w:t>
      </w:r>
      <w:r w:rsidR="00774906">
        <w:t xml:space="preserve">link called an </w:t>
      </w:r>
      <w:r>
        <w:t>award identifier</w:t>
      </w:r>
      <w:r w:rsidR="00774906">
        <w:t xml:space="preserve"> which links it directly to the USSGL accounts and transaction for that award. The </w:t>
      </w:r>
      <w:r w:rsidR="00EE0CF5">
        <w:t xml:space="preserve">USSGL </w:t>
      </w:r>
      <w:r w:rsidR="00774906">
        <w:t>accounts and transaction</w:t>
      </w:r>
      <w:r w:rsidR="00EE0CF5">
        <w:t>s</w:t>
      </w:r>
      <w:r w:rsidR="00774906">
        <w:t xml:space="preserve"> also </w:t>
      </w:r>
      <w:r w:rsidR="00117083">
        <w:t>contain</w:t>
      </w:r>
      <w:r>
        <w:t xml:space="preserve"> </w:t>
      </w:r>
      <w:r w:rsidR="00117083">
        <w:t xml:space="preserve">an </w:t>
      </w:r>
      <w:r w:rsidR="003251B1">
        <w:t>object class</w:t>
      </w:r>
      <w:r>
        <w:t xml:space="preserve"> descriptor</w:t>
      </w:r>
      <w:r w:rsidR="00EE0CF5">
        <w:t>,</w:t>
      </w:r>
      <w:r w:rsidR="00774906">
        <w:t xml:space="preserve"> which </w:t>
      </w:r>
      <w:r w:rsidR="003251B1">
        <w:t xml:space="preserve">allows </w:t>
      </w:r>
      <w:r w:rsidR="00774906">
        <w:t xml:space="preserve">the accounts and transactions to be </w:t>
      </w:r>
      <w:r w:rsidR="00EE0CF5">
        <w:t xml:space="preserve">associated </w:t>
      </w:r>
      <w:r w:rsidR="00774906">
        <w:t xml:space="preserve">with one or more object class values. These can be at both the summary </w:t>
      </w:r>
      <w:r w:rsidR="00EE0CF5">
        <w:t xml:space="preserve">USSGL </w:t>
      </w:r>
      <w:r w:rsidR="00774906">
        <w:t xml:space="preserve">account level and the detailed transaction level. </w:t>
      </w:r>
      <w:r w:rsidR="00410C32">
        <w:t xml:space="preserve">As stated previously, </w:t>
      </w:r>
      <w:r w:rsidR="00117083">
        <w:t>this representation of o</w:t>
      </w:r>
      <w:r w:rsidR="0046551C">
        <w:t>bject class does not constitute as</w:t>
      </w:r>
      <w:r w:rsidR="007F4CAD">
        <w:t xml:space="preserve"> official USSGL guidance. </w:t>
      </w:r>
      <w:r w:rsidR="00117083">
        <w:t xml:space="preserve">For official guidance, see </w:t>
      </w:r>
      <w:hyperlink r:id="rId19" w:history="1">
        <w:r w:rsidR="00A058B7" w:rsidRPr="00897684">
          <w:rPr>
            <w:rStyle w:val="Hyperlink"/>
          </w:rPr>
          <w:t>http://tfm.fiscal.treasury.gov/v1/supplements/ussgl.html</w:t>
        </w:r>
      </w:hyperlink>
      <w:r w:rsidR="00117083">
        <w:t>.</w:t>
      </w:r>
    </w:p>
    <w:p w14:paraId="6E1D4287" w14:textId="77777777" w:rsidR="003251B1" w:rsidRDefault="003251B1" w:rsidP="003251B1"/>
    <w:p w14:paraId="738E35E1" w14:textId="77777777" w:rsidR="00083219" w:rsidRDefault="00EE0CF5" w:rsidP="00083219">
      <w:pPr>
        <w:pStyle w:val="Heading3"/>
      </w:pPr>
      <w:r>
        <w:t xml:space="preserve">Benefits: </w:t>
      </w:r>
      <w:r w:rsidR="00083219">
        <w:t>Enhanced Analytic Capabilities</w:t>
      </w:r>
    </w:p>
    <w:p w14:paraId="31B5F27F" w14:textId="77777777" w:rsidR="00A87025" w:rsidRDefault="00A87025" w:rsidP="00A87025">
      <w:r>
        <w:t xml:space="preserve">The implementation of a </w:t>
      </w:r>
      <w:r w:rsidR="007D05A5">
        <w:t>DATA Act Schema</w:t>
      </w:r>
      <w:r>
        <w:t xml:space="preserve"> creates a common language across information assets and can represen</w:t>
      </w:r>
      <w:r w:rsidR="00CB6BA1">
        <w:t>t data across multiple systems.</w:t>
      </w:r>
      <w:r>
        <w:t xml:space="preserve"> This creat</w:t>
      </w:r>
      <w:r w:rsidR="00735C9C">
        <w:t xml:space="preserve">es some distinct advantages </w:t>
      </w:r>
      <w:r>
        <w:t>around:</w:t>
      </w:r>
    </w:p>
    <w:p w14:paraId="2C24D26C" w14:textId="77777777" w:rsidR="00A87025" w:rsidRDefault="00A87025" w:rsidP="005127F6">
      <w:pPr>
        <w:pStyle w:val="IntenseQuote"/>
      </w:pPr>
      <w:r>
        <w:t>Improved business intelligence capabilities across disparate sources of data</w:t>
      </w:r>
    </w:p>
    <w:p w14:paraId="1BA93C5F" w14:textId="77777777" w:rsidR="00A87025" w:rsidRDefault="00A87025" w:rsidP="005127F6">
      <w:pPr>
        <w:pStyle w:val="IntenseQuote"/>
      </w:pPr>
      <w:r>
        <w:t>More effective self-service of business intelligence</w:t>
      </w:r>
    </w:p>
    <w:p w14:paraId="467DD8C3" w14:textId="77777777" w:rsidR="00A87025" w:rsidRDefault="00A87025" w:rsidP="005127F6">
      <w:pPr>
        <w:pStyle w:val="IntenseQuote"/>
      </w:pPr>
      <w:r>
        <w:t>Cross-agency analysis opportunities</w:t>
      </w:r>
    </w:p>
    <w:p w14:paraId="64F178EB" w14:textId="77777777" w:rsidR="00A87025" w:rsidRPr="00C10510" w:rsidRDefault="00A87025" w:rsidP="005127F6">
      <w:pPr>
        <w:pStyle w:val="IntenseQuote"/>
      </w:pPr>
      <w:r>
        <w:t>Elimination of redundant reporting/report updates and maintenance</w:t>
      </w:r>
    </w:p>
    <w:p w14:paraId="1EB8C589" w14:textId="77777777" w:rsidR="00A87025" w:rsidRDefault="00410C32" w:rsidP="00A87025">
      <w:r>
        <w:br w:type="column"/>
      </w:r>
      <w:r w:rsidR="00075D7A">
        <w:rPr>
          <w:noProof/>
          <w:lang w:eastAsia="en-US"/>
        </w:rPr>
        <w:lastRenderedPageBreak/>
        <mc:AlternateContent>
          <mc:Choice Requires="wps">
            <w:drawing>
              <wp:anchor distT="0" distB="0" distL="114300" distR="114300" simplePos="0" relativeHeight="251673600" behindDoc="0" locked="0" layoutInCell="1" allowOverlap="1" wp14:anchorId="6612D0FB" wp14:editId="7AE808F8">
                <wp:simplePos x="0" y="0"/>
                <wp:positionH relativeFrom="column">
                  <wp:posOffset>2164080</wp:posOffset>
                </wp:positionH>
                <wp:positionV relativeFrom="paragraph">
                  <wp:posOffset>428625</wp:posOffset>
                </wp:positionV>
                <wp:extent cx="4524375" cy="15430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154305"/>
                        </a:xfrm>
                        <a:prstGeom prst="rect">
                          <a:avLst/>
                        </a:prstGeom>
                        <a:solidFill>
                          <a:prstClr val="white"/>
                        </a:solidFill>
                        <a:ln>
                          <a:noFill/>
                        </a:ln>
                        <a:effectLst/>
                      </wps:spPr>
                      <wps:txbx>
                        <w:txbxContent>
                          <w:p w14:paraId="7FE2E93B" w14:textId="77777777" w:rsidR="0086752E" w:rsidRDefault="0086752E" w:rsidP="00A87025">
                            <w:pPr>
                              <w:pStyle w:val="Caption"/>
                              <w:rPr>
                                <w:noProof/>
                              </w:rPr>
                            </w:pPr>
                            <w:r>
                              <w:t xml:space="preserve">Figure </w:t>
                            </w:r>
                            <w:r w:rsidR="00A613D4">
                              <w:fldChar w:fldCharType="begin"/>
                            </w:r>
                            <w:r w:rsidR="00A613D4">
                              <w:instrText xml:space="preserve"> SEQ Figure \* ARABIC </w:instrText>
                            </w:r>
                            <w:r w:rsidR="00A613D4">
                              <w:fldChar w:fldCharType="separate"/>
                            </w:r>
                            <w:r>
                              <w:rPr>
                                <w:noProof/>
                              </w:rPr>
                              <w:t>3</w:t>
                            </w:r>
                            <w:r w:rsidR="00A613D4">
                              <w:rPr>
                                <w:noProof/>
                              </w:rPr>
                              <w:fldChar w:fldCharType="end"/>
                            </w:r>
                            <w:r>
                              <w:t>: Budget Authority (illustrative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170.4pt;margin-top:33.75pt;width:356.25pt;height:12.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" stroked="f">
                <v:textbox inset="0,0,0,0">
                  <w:txbxContent>
                    <w:p w14:paraId="7FE2E93B" w14:textId="77777777" w:rsidR="0086752E" w:rsidRDefault="0086752E" w:rsidP="00A87025">
                      <w:pPr>
                        <w:pStyle w:val="Caption"/>
                        <w:rPr>
                          <w:noProof/>
                        </w:rPr>
                      </w:pPr>
                      <w:r>
                        <w:t xml:space="preserve">Figure </w:t>
                      </w:r>
                      <w:fldSimple w:instr=" SEQ Figure \* ARABIC ">
                        <w:r>
                          <w:rPr>
                            <w:noProof/>
                          </w:rPr>
                          <w:t>3</w:t>
                        </w:r>
                      </w:fldSimple>
                      <w:r>
                        <w:t>: Budget Authority (illustrative example)</w:t>
                      </w:r>
                    </w:p>
                  </w:txbxContent>
                </v:textbox>
                <w10:wrap type="square"/>
              </v:shape>
            </w:pict>
          </mc:Fallback>
        </mc:AlternateContent>
      </w:r>
      <w:r w:rsidR="00EE0CF5">
        <w:t xml:space="preserve">For example, by implementing the </w:t>
      </w:r>
      <w:r w:rsidR="007D05A5">
        <w:t>DATA Act Schema</w:t>
      </w:r>
      <w:r w:rsidR="00EE0CF5">
        <w:t xml:space="preserve">, </w:t>
      </w:r>
      <w:r w:rsidR="00735C9C">
        <w:t>a user</w:t>
      </w:r>
      <w:r w:rsidR="00EE0CF5">
        <w:t xml:space="preserve"> can enhance and enable real-time analysis of balances of budget authority by appropriations account</w:t>
      </w:r>
      <w:r w:rsidR="00BD1628">
        <w:t>, which</w:t>
      </w:r>
      <w:r w:rsidR="00A87025">
        <w:t xml:space="preserve"> </w:t>
      </w:r>
      <w:r w:rsidR="00FF51CD">
        <w:t>can</w:t>
      </w:r>
      <w:r w:rsidR="00BD1628">
        <w:t xml:space="preserve"> better enable</w:t>
      </w:r>
      <w:r w:rsidR="00FF51CD">
        <w:t xml:space="preserve"> agencies to</w:t>
      </w:r>
      <w:r w:rsidR="00A87025">
        <w:t xml:space="preserve"> </w:t>
      </w:r>
      <w:r w:rsidR="00FF51CD">
        <w:t>manage their</w:t>
      </w:r>
      <w:r w:rsidR="00BD1628">
        <w:t xml:space="preserve"> </w:t>
      </w:r>
      <w:r w:rsidR="00A87025">
        <w:t>programs.</w:t>
      </w:r>
      <w:r w:rsidR="00A87025" w:rsidRPr="00A87025">
        <w:rPr>
          <w:noProof/>
        </w:rPr>
        <w:t xml:space="preserve"> </w:t>
      </w:r>
    </w:p>
    <w:p w14:paraId="317EDD68" w14:textId="77777777" w:rsidR="00A87025" w:rsidRDefault="00446123" w:rsidP="00A87025">
      <w:r>
        <w:rPr>
          <w:noProof/>
          <w:lang w:eastAsia="en-US"/>
        </w:rPr>
        <w:drawing>
          <wp:anchor distT="0" distB="0" distL="114300" distR="114300" simplePos="0" relativeHeight="251674624" behindDoc="0" locked="0" layoutInCell="1" allowOverlap="1" wp14:anchorId="32ACFF7D" wp14:editId="31D23FBE">
            <wp:simplePos x="0" y="0"/>
            <wp:positionH relativeFrom="column">
              <wp:posOffset>2128520</wp:posOffset>
            </wp:positionH>
            <wp:positionV relativeFrom="paragraph">
              <wp:posOffset>10160</wp:posOffset>
            </wp:positionV>
            <wp:extent cx="4196715" cy="2360930"/>
            <wp:effectExtent l="0" t="0" r="0" b="1270"/>
            <wp:wrapSquare wrapText="bothSides"/>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671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025">
        <w:t xml:space="preserve">The analysis in </w:t>
      </w:r>
      <w:r w:rsidR="00EE0CF5">
        <w:t>F</w:t>
      </w:r>
      <w:r w:rsidR="00A87025">
        <w:t xml:space="preserve">igure 3 represents a sample of how </w:t>
      </w:r>
      <w:r w:rsidR="00FF51CD">
        <w:t>a user</w:t>
      </w:r>
      <w:r w:rsidR="00A87025">
        <w:t xml:space="preserve"> </w:t>
      </w:r>
      <w:r w:rsidR="007C0FE6">
        <w:t>could</w:t>
      </w:r>
      <w:r w:rsidR="00A87025">
        <w:t xml:space="preserve"> analyze information on obligations unpaid/pre-paid/advanced, segment </w:t>
      </w:r>
      <w:r w:rsidR="00410C32">
        <w:t>it</w:t>
      </w:r>
      <w:r w:rsidR="00A87025">
        <w:t xml:space="preserve"> by apportionment category</w:t>
      </w:r>
      <w:r w:rsidR="0086752E">
        <w:t xml:space="preserve">, budget authority, etc., </w:t>
      </w:r>
      <w:r w:rsidR="00A87025">
        <w:t xml:space="preserve">and review the detailed USSGL account entries. </w:t>
      </w:r>
    </w:p>
    <w:p w14:paraId="6B00A0F1" w14:textId="77777777" w:rsidR="0086752E" w:rsidRDefault="0086752E" w:rsidP="00A87025"/>
    <w:p w14:paraId="122B264E" w14:textId="77777777" w:rsidR="0086752E" w:rsidRDefault="0086752E" w:rsidP="0086752E"/>
    <w:p w14:paraId="1C692F6B" w14:textId="77777777" w:rsidR="00A87025" w:rsidRDefault="00A87025" w:rsidP="0086752E">
      <w:pPr>
        <w:pStyle w:val="Heading1"/>
        <w:numPr>
          <w:ilvl w:val="0"/>
          <w:numId w:val="1"/>
        </w:numPr>
        <w:spacing w:before="0"/>
      </w:pPr>
      <w:r>
        <w:t>Derived DATA Act Elements</w:t>
      </w:r>
    </w:p>
    <w:p w14:paraId="0A4CCE60" w14:textId="77777777" w:rsidR="006B7AB2" w:rsidRPr="00AF3C3D" w:rsidRDefault="00AA0275" w:rsidP="006B7AB2">
      <w:pPr>
        <w:autoSpaceDE w:val="0"/>
        <w:autoSpaceDN w:val="0"/>
        <w:adjustRightInd w:val="0"/>
        <w:spacing w:after="0" w:line="240" w:lineRule="auto"/>
      </w:pPr>
      <w:r w:rsidRPr="00AF3C3D">
        <w:t xml:space="preserve">The </w:t>
      </w:r>
      <w:r w:rsidR="007D05A5">
        <w:t>DATA Act Schema</w:t>
      </w:r>
      <w:r w:rsidRPr="00AF3C3D">
        <w:t xml:space="preserve"> provides detailed data and aggregates that detail into summary level information. Below are a list of DATA Act elements which are considered summary</w:t>
      </w:r>
      <w:r w:rsidR="007C0FE6">
        <w:t>-level</w:t>
      </w:r>
      <w:r w:rsidRPr="00AF3C3D">
        <w:t xml:space="preserve"> and a description of how those values are derived from the detailed account transaction</w:t>
      </w:r>
      <w:r w:rsidR="007C0FE6">
        <w:t>-level</w:t>
      </w:r>
      <w:r w:rsidRPr="00AF3C3D">
        <w:t xml:space="preserve"> data.</w:t>
      </w:r>
      <w:r w:rsidR="00BD0904">
        <w:t xml:space="preserve"> Note: The below table does not constitute as official USSGL guidance (For official guidance, see </w:t>
      </w:r>
      <w:hyperlink r:id="rId21" w:history="1">
        <w:r w:rsidR="00BD0904" w:rsidRPr="00E732E5">
          <w:rPr>
            <w:rStyle w:val="Hyperlink"/>
          </w:rPr>
          <w:t>http://tfm.fiscal.treasury.gov/v1/supplements/ussgl.html</w:t>
        </w:r>
      </w:hyperlink>
      <w:r w:rsidR="00BD0904">
        <w:t>).</w:t>
      </w:r>
    </w:p>
    <w:p w14:paraId="3F95FCAF" w14:textId="77777777" w:rsidR="00AA0275" w:rsidRPr="00AF3C3D" w:rsidRDefault="00AA0275" w:rsidP="006B7AB2">
      <w:pPr>
        <w:autoSpaceDE w:val="0"/>
        <w:autoSpaceDN w:val="0"/>
        <w:adjustRightInd w:val="0"/>
        <w:spacing w:after="0" w:line="240" w:lineRule="auto"/>
      </w:pPr>
    </w:p>
    <w:tbl>
      <w:tblPr>
        <w:tblW w:w="9535" w:type="dxa"/>
        <w:tblInd w:w="-3" w:type="dxa"/>
        <w:tblLayout w:type="fixed"/>
        <w:tblLook w:val="00A0" w:firstRow="1" w:lastRow="0" w:firstColumn="1" w:lastColumn="0" w:noHBand="0" w:noVBand="0"/>
      </w:tblPr>
      <w:tblGrid>
        <w:gridCol w:w="3294"/>
        <w:gridCol w:w="6241"/>
      </w:tblGrid>
      <w:tr w:rsidR="006B7AB2" w:rsidRPr="00D32B80" w14:paraId="09EB75A4" w14:textId="77777777" w:rsidTr="0086752E">
        <w:trPr>
          <w:trHeight w:val="363"/>
        </w:trPr>
        <w:tc>
          <w:tcPr>
            <w:tcW w:w="3294" w:type="dxa"/>
            <w:tcBorders>
              <w:top w:val="single" w:sz="6" w:space="0" w:color="000000"/>
              <w:left w:val="single" w:sz="6" w:space="0" w:color="000000"/>
              <w:bottom w:val="single" w:sz="6" w:space="0" w:color="000000"/>
              <w:right w:val="single" w:sz="6" w:space="0" w:color="000000"/>
            </w:tcBorders>
          </w:tcPr>
          <w:p w14:paraId="780BAE2C" w14:textId="77777777" w:rsidR="006B7AB2" w:rsidRPr="005127F6" w:rsidRDefault="006B7AB2" w:rsidP="0086752E">
            <w:pPr>
              <w:spacing w:after="0"/>
              <w:rPr>
                <w:b/>
              </w:rPr>
            </w:pPr>
            <w:r w:rsidRPr="005127F6">
              <w:rPr>
                <w:b/>
              </w:rPr>
              <w:t>Data Element Name</w:t>
            </w:r>
          </w:p>
        </w:tc>
        <w:tc>
          <w:tcPr>
            <w:tcW w:w="6241" w:type="dxa"/>
            <w:tcBorders>
              <w:top w:val="single" w:sz="6" w:space="0" w:color="000000"/>
              <w:left w:val="single" w:sz="6" w:space="0" w:color="000000"/>
              <w:bottom w:val="single" w:sz="6" w:space="0" w:color="000000"/>
              <w:right w:val="single" w:sz="6" w:space="0" w:color="000000"/>
            </w:tcBorders>
          </w:tcPr>
          <w:p w14:paraId="7325BDB3" w14:textId="77777777" w:rsidR="006B7AB2" w:rsidRPr="005127F6" w:rsidRDefault="006B7AB2" w:rsidP="0086752E">
            <w:pPr>
              <w:spacing w:after="0"/>
              <w:rPr>
                <w:b/>
              </w:rPr>
            </w:pPr>
            <w:r w:rsidRPr="005127F6">
              <w:rPr>
                <w:b/>
              </w:rPr>
              <w:t>Aggregate values</w:t>
            </w:r>
          </w:p>
        </w:tc>
      </w:tr>
      <w:tr w:rsidR="006B7AB2" w:rsidRPr="00D32B80" w14:paraId="758098CC" w14:textId="77777777" w:rsidTr="0086752E">
        <w:trPr>
          <w:trHeight w:val="300"/>
        </w:trPr>
        <w:tc>
          <w:tcPr>
            <w:tcW w:w="3294" w:type="dxa"/>
            <w:tcBorders>
              <w:top w:val="single" w:sz="6" w:space="0" w:color="000000"/>
              <w:left w:val="single" w:sz="6" w:space="0" w:color="000000"/>
              <w:bottom w:val="single" w:sz="6" w:space="0" w:color="000000"/>
              <w:right w:val="single" w:sz="6" w:space="0" w:color="000000"/>
            </w:tcBorders>
          </w:tcPr>
          <w:p w14:paraId="290CC090" w14:textId="77777777" w:rsidR="006B7AB2" w:rsidRPr="005127F6" w:rsidRDefault="006B7AB2" w:rsidP="0086752E">
            <w:pPr>
              <w:spacing w:after="0"/>
            </w:pPr>
            <w:r w:rsidRPr="005127F6">
              <w:t>Appropriations Account</w:t>
            </w:r>
          </w:p>
        </w:tc>
        <w:tc>
          <w:tcPr>
            <w:tcW w:w="6241" w:type="dxa"/>
            <w:tcBorders>
              <w:top w:val="single" w:sz="6" w:space="0" w:color="000000"/>
              <w:left w:val="single" w:sz="6" w:space="0" w:color="000000"/>
              <w:bottom w:val="single" w:sz="6" w:space="0" w:color="000000"/>
              <w:right w:val="single" w:sz="6" w:space="0" w:color="000000"/>
            </w:tcBorders>
          </w:tcPr>
          <w:p w14:paraId="69441FB0" w14:textId="77777777" w:rsidR="006B7AB2" w:rsidRPr="00D32B80" w:rsidRDefault="00AA0275" w:rsidP="0086752E">
            <w:pPr>
              <w:spacing w:after="0"/>
            </w:pPr>
            <w:r w:rsidRPr="00D32B80">
              <w:t>Summary based on the TAS</w:t>
            </w:r>
            <w:r w:rsidR="00EE2815">
              <w:t xml:space="preserve"> </w:t>
            </w:r>
            <w:r w:rsidRPr="00D32B80">
              <w:t>(i.e.</w:t>
            </w:r>
            <w:r w:rsidR="006B7AB2" w:rsidRPr="00D32B80">
              <w:t xml:space="preserve"> 01X1234</w:t>
            </w:r>
            <w:r w:rsidRPr="00D32B80">
              <w:t>)</w:t>
            </w:r>
          </w:p>
        </w:tc>
      </w:tr>
      <w:tr w:rsidR="006B7AB2" w:rsidRPr="00D32B80" w14:paraId="00AD4F53" w14:textId="77777777" w:rsidTr="0086752E">
        <w:trPr>
          <w:trHeight w:val="1002"/>
        </w:trPr>
        <w:tc>
          <w:tcPr>
            <w:tcW w:w="3294" w:type="dxa"/>
            <w:tcBorders>
              <w:top w:val="single" w:sz="6" w:space="0" w:color="000000"/>
              <w:left w:val="single" w:sz="6" w:space="0" w:color="000000"/>
              <w:bottom w:val="single" w:sz="6" w:space="0" w:color="000000"/>
              <w:right w:val="single" w:sz="6" w:space="0" w:color="000000"/>
            </w:tcBorders>
          </w:tcPr>
          <w:p w14:paraId="6172BF98" w14:textId="77777777" w:rsidR="006B7AB2" w:rsidRPr="005127F6" w:rsidRDefault="006B7AB2" w:rsidP="0086752E">
            <w:pPr>
              <w:spacing w:after="0"/>
            </w:pPr>
            <w:r w:rsidRPr="005127F6">
              <w:t>Amount of Budget Authority Appropriated</w:t>
            </w:r>
          </w:p>
        </w:tc>
        <w:tc>
          <w:tcPr>
            <w:tcW w:w="6241" w:type="dxa"/>
            <w:tcBorders>
              <w:top w:val="single" w:sz="6" w:space="0" w:color="000000"/>
              <w:left w:val="single" w:sz="6" w:space="0" w:color="000000"/>
              <w:bottom w:val="single" w:sz="6" w:space="0" w:color="000000"/>
              <w:right w:val="single" w:sz="6" w:space="0" w:color="000000"/>
            </w:tcBorders>
          </w:tcPr>
          <w:p w14:paraId="0A2D233B" w14:textId="77777777" w:rsidR="006B7AB2" w:rsidRPr="00D32B80" w:rsidRDefault="006B7AB2" w:rsidP="0086752E">
            <w:pPr>
              <w:spacing w:after="0"/>
            </w:pPr>
            <w:r w:rsidRPr="00D32B80">
              <w:t xml:space="preserve">Calculated based on USSGL account balances, </w:t>
            </w:r>
            <w:r w:rsidR="0086752E">
              <w:t>t</w:t>
            </w:r>
            <w:r w:rsidR="004F3DD9" w:rsidRPr="00D32B80">
              <w:t xml:space="preserve">here are a number of </w:t>
            </w:r>
            <w:r w:rsidRPr="00D32B80">
              <w:t xml:space="preserve">USSGL accounts </w:t>
            </w:r>
            <w:r w:rsidR="004F3DD9" w:rsidRPr="00D32B80">
              <w:t>whic</w:t>
            </w:r>
            <w:r w:rsidR="0086752E">
              <w:t xml:space="preserve">h make up this value including: </w:t>
            </w:r>
            <w:r w:rsidRPr="00D32B80">
              <w:t>Appropriated, Contract, Borrowing, and Spending Authority from Offsetting Collections</w:t>
            </w:r>
          </w:p>
        </w:tc>
      </w:tr>
      <w:tr w:rsidR="006B7AB2" w:rsidRPr="00D32B80" w14:paraId="4274ACF3"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13C8E22C" w14:textId="77777777" w:rsidR="006B7AB2" w:rsidRPr="005127F6" w:rsidRDefault="006B7AB2" w:rsidP="0086752E">
            <w:pPr>
              <w:spacing w:after="0"/>
            </w:pPr>
            <w:r w:rsidRPr="005127F6">
              <w:t>Obligated Amount</w:t>
            </w:r>
          </w:p>
        </w:tc>
        <w:tc>
          <w:tcPr>
            <w:tcW w:w="6241" w:type="dxa"/>
            <w:tcBorders>
              <w:top w:val="single" w:sz="6" w:space="0" w:color="000000"/>
              <w:left w:val="single" w:sz="6" w:space="0" w:color="000000"/>
              <w:bottom w:val="single" w:sz="6" w:space="0" w:color="000000"/>
              <w:right w:val="single" w:sz="6" w:space="0" w:color="000000"/>
            </w:tcBorders>
          </w:tcPr>
          <w:p w14:paraId="1C995C3F" w14:textId="77777777" w:rsidR="006B7AB2" w:rsidRPr="00D32B80" w:rsidRDefault="006B7AB2" w:rsidP="0086752E">
            <w:pPr>
              <w:spacing w:after="0"/>
            </w:pPr>
            <w:r w:rsidRPr="00D32B80">
              <w:t>Calculated based on USSGL account balances and difference between opening and closing bal</w:t>
            </w:r>
            <w:r w:rsidR="0086752E">
              <w:t>ances, m</w:t>
            </w:r>
            <w:r w:rsidRPr="00D32B80">
              <w:t>ain USSGL accounts are 480100, 480200, 490100, 490200**</w:t>
            </w:r>
          </w:p>
        </w:tc>
      </w:tr>
      <w:tr w:rsidR="006B7AB2" w:rsidRPr="00D32B80" w14:paraId="361BCAD6"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111BB01F" w14:textId="77777777" w:rsidR="006B7AB2" w:rsidRPr="005127F6" w:rsidRDefault="006B7AB2" w:rsidP="0086752E">
            <w:pPr>
              <w:spacing w:after="0"/>
            </w:pPr>
            <w:r w:rsidRPr="005127F6">
              <w:t>Unobligated Amount</w:t>
            </w:r>
          </w:p>
        </w:tc>
        <w:tc>
          <w:tcPr>
            <w:tcW w:w="6241" w:type="dxa"/>
            <w:tcBorders>
              <w:top w:val="single" w:sz="6" w:space="0" w:color="000000"/>
              <w:left w:val="single" w:sz="6" w:space="0" w:color="000000"/>
              <w:bottom w:val="single" w:sz="6" w:space="0" w:color="000000"/>
              <w:right w:val="single" w:sz="6" w:space="0" w:color="000000"/>
            </w:tcBorders>
          </w:tcPr>
          <w:p w14:paraId="6E405C24" w14:textId="77777777" w:rsidR="006B7AB2" w:rsidRPr="00D32B80" w:rsidRDefault="006B7AB2" w:rsidP="0086752E">
            <w:pPr>
              <w:spacing w:after="0"/>
            </w:pPr>
            <w:r w:rsidRPr="00D32B80">
              <w:t>Calculated ba</w:t>
            </w:r>
            <w:r w:rsidR="0086752E">
              <w:t>sed on USSGL account balances, m</w:t>
            </w:r>
            <w:r w:rsidRPr="00D32B80">
              <w:t>ain USSGL accounts are 445000, 451000, 461000 and 465000**</w:t>
            </w:r>
          </w:p>
        </w:tc>
      </w:tr>
      <w:tr w:rsidR="006B7AB2" w:rsidRPr="00D32B80" w14:paraId="51340A75"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63415406" w14:textId="77777777" w:rsidR="006B7AB2" w:rsidRPr="005127F6" w:rsidRDefault="006B7AB2" w:rsidP="0086752E">
            <w:pPr>
              <w:spacing w:after="0"/>
            </w:pPr>
            <w:r w:rsidRPr="005127F6">
              <w:t>Amount of other budgetary resources</w:t>
            </w:r>
          </w:p>
        </w:tc>
        <w:tc>
          <w:tcPr>
            <w:tcW w:w="6241" w:type="dxa"/>
            <w:tcBorders>
              <w:top w:val="single" w:sz="6" w:space="0" w:color="000000"/>
              <w:left w:val="single" w:sz="6" w:space="0" w:color="000000"/>
              <w:bottom w:val="single" w:sz="6" w:space="0" w:color="000000"/>
              <w:right w:val="single" w:sz="6" w:space="0" w:color="000000"/>
            </w:tcBorders>
          </w:tcPr>
          <w:p w14:paraId="5C4153AD" w14:textId="77777777" w:rsidR="006B7AB2" w:rsidRPr="00D32B80" w:rsidRDefault="006B7AB2" w:rsidP="0086752E">
            <w:pPr>
              <w:spacing w:after="0"/>
            </w:pPr>
            <w:r w:rsidRPr="00D32B80">
              <w:t>Calculated based on USSGL account balances</w:t>
            </w:r>
          </w:p>
        </w:tc>
      </w:tr>
      <w:tr w:rsidR="006B7AB2" w:rsidRPr="00D32B80" w14:paraId="186AADE7" w14:textId="77777777" w:rsidTr="005127F6">
        <w:trPr>
          <w:trHeight w:val="316"/>
        </w:trPr>
        <w:tc>
          <w:tcPr>
            <w:tcW w:w="3294" w:type="dxa"/>
            <w:tcBorders>
              <w:top w:val="single" w:sz="6" w:space="0" w:color="000000"/>
              <w:left w:val="single" w:sz="6" w:space="0" w:color="000000"/>
              <w:bottom w:val="single" w:sz="6" w:space="0" w:color="000000"/>
              <w:right w:val="single" w:sz="6" w:space="0" w:color="000000"/>
            </w:tcBorders>
          </w:tcPr>
          <w:p w14:paraId="548218F3" w14:textId="77777777" w:rsidR="006B7AB2" w:rsidRPr="005127F6" w:rsidRDefault="006B7AB2" w:rsidP="0086752E">
            <w:pPr>
              <w:spacing w:after="0"/>
            </w:pPr>
            <w:r w:rsidRPr="005127F6">
              <w:t>Outlay</w:t>
            </w:r>
          </w:p>
        </w:tc>
        <w:tc>
          <w:tcPr>
            <w:tcW w:w="6241" w:type="dxa"/>
            <w:tcBorders>
              <w:top w:val="single" w:sz="6" w:space="0" w:color="000000"/>
              <w:left w:val="single" w:sz="6" w:space="0" w:color="000000"/>
              <w:bottom w:val="single" w:sz="6" w:space="0" w:color="000000"/>
              <w:right w:val="single" w:sz="6" w:space="0" w:color="000000"/>
            </w:tcBorders>
          </w:tcPr>
          <w:p w14:paraId="1E03F214" w14:textId="77777777" w:rsidR="006B7AB2" w:rsidRPr="00D32B80" w:rsidRDefault="006B7AB2" w:rsidP="0086752E">
            <w:pPr>
              <w:spacing w:after="0"/>
            </w:pPr>
            <w:r w:rsidRPr="00D32B80">
              <w:t>Calculated based on USSGL account balances and difference between</w:t>
            </w:r>
            <w:r w:rsidR="0086752E">
              <w:t xml:space="preserve"> opening and closing balances, m</w:t>
            </w:r>
            <w:r w:rsidRPr="00D32B80">
              <w:t>ain USSGL accounts are 480200 and 490200**</w:t>
            </w:r>
          </w:p>
        </w:tc>
      </w:tr>
    </w:tbl>
    <w:p w14:paraId="4F9E3914" w14:textId="77777777" w:rsidR="006B7AB2" w:rsidRPr="006B7AB2" w:rsidRDefault="006B7AB2" w:rsidP="005127F6">
      <w:r>
        <w:t>**</w:t>
      </w:r>
      <w:r w:rsidRPr="006B7AB2">
        <w:t>Note that the USSGL accounts listed don't make up the entire population of possible USSGL accounts for those balances, but those will be the biggest accounts.</w:t>
      </w:r>
    </w:p>
    <w:p w14:paraId="04009D05" w14:textId="77777777" w:rsidR="0048178F" w:rsidRDefault="007A324D" w:rsidP="0048178F">
      <w:pPr>
        <w:pStyle w:val="Heading2"/>
        <w:numPr>
          <w:ilvl w:val="1"/>
          <w:numId w:val="1"/>
        </w:numPr>
      </w:pPr>
      <w:r>
        <w:lastRenderedPageBreak/>
        <w:t>F</w:t>
      </w:r>
      <w:r w:rsidR="0048178F">
        <w:t>inancial</w:t>
      </w:r>
      <w:r>
        <w:t xml:space="preserve"> DATA Act Elements</w:t>
      </w:r>
    </w:p>
    <w:p w14:paraId="269479BF" w14:textId="77777777" w:rsidR="0048178F" w:rsidRDefault="0048178F" w:rsidP="0048178F">
      <w:pPr>
        <w:pStyle w:val="IntenseQuote"/>
      </w:pPr>
      <w:r>
        <w:t>Element: accountingEntries</w:t>
      </w:r>
    </w:p>
    <w:p w14:paraId="290F5F51" w14:textId="77777777" w:rsidR="0048178F" w:rsidRDefault="0048178F" w:rsidP="0048178F">
      <w:pPr>
        <w:pStyle w:val="IntenseQuote"/>
      </w:pPr>
      <w:r>
        <w:t>Proposed Type: complex</w:t>
      </w:r>
    </w:p>
    <w:p w14:paraId="4DC8727A" w14:textId="77777777" w:rsidR="0048178F" w:rsidRDefault="0048178F" w:rsidP="0048178F"/>
    <w:tbl>
      <w:tblPr>
        <w:tblStyle w:val="TableGrid"/>
        <w:tblpPr w:leftFromText="180" w:rightFromText="180" w:vertAnchor="text" w:horzAnchor="margin" w:tblpY="233"/>
        <w:tblW w:w="0" w:type="auto"/>
        <w:tblLook w:val="04A0" w:firstRow="1" w:lastRow="0" w:firstColumn="1" w:lastColumn="0" w:noHBand="0" w:noVBand="1"/>
      </w:tblPr>
      <w:tblGrid>
        <w:gridCol w:w="1818"/>
        <w:gridCol w:w="2880"/>
        <w:gridCol w:w="1800"/>
        <w:gridCol w:w="1104"/>
        <w:gridCol w:w="1107"/>
        <w:gridCol w:w="867"/>
      </w:tblGrid>
      <w:tr w:rsidR="0048178F" w14:paraId="2DB36522" w14:textId="77777777" w:rsidTr="00D76706">
        <w:tc>
          <w:tcPr>
            <w:tcW w:w="1818" w:type="dxa"/>
          </w:tcPr>
          <w:p w14:paraId="1DDC9A2C" w14:textId="77777777" w:rsidR="0048178F" w:rsidRDefault="0048178F" w:rsidP="00D76706">
            <w:pPr>
              <w:rPr>
                <w:sz w:val="14"/>
                <w:szCs w:val="14"/>
              </w:rPr>
            </w:pPr>
            <w:r w:rsidRPr="00891476">
              <w:rPr>
                <w:b/>
                <w:sz w:val="14"/>
                <w:szCs w:val="14"/>
              </w:rPr>
              <w:t>Data Element</w:t>
            </w:r>
          </w:p>
        </w:tc>
        <w:tc>
          <w:tcPr>
            <w:tcW w:w="2880" w:type="dxa"/>
          </w:tcPr>
          <w:p w14:paraId="33135A62" w14:textId="77777777" w:rsidR="0048178F" w:rsidRDefault="0048178F" w:rsidP="00D76706">
            <w:pPr>
              <w:rPr>
                <w:sz w:val="14"/>
                <w:szCs w:val="14"/>
              </w:rPr>
            </w:pPr>
            <w:r w:rsidRPr="00891476">
              <w:rPr>
                <w:b/>
                <w:sz w:val="14"/>
                <w:szCs w:val="14"/>
              </w:rPr>
              <w:t>Description</w:t>
            </w:r>
          </w:p>
        </w:tc>
        <w:tc>
          <w:tcPr>
            <w:tcW w:w="1800" w:type="dxa"/>
          </w:tcPr>
          <w:p w14:paraId="087F379F" w14:textId="77777777" w:rsidR="0048178F" w:rsidRDefault="0048178F" w:rsidP="00D76706">
            <w:pPr>
              <w:jc w:val="center"/>
              <w:rPr>
                <w:sz w:val="14"/>
                <w:szCs w:val="14"/>
              </w:rPr>
            </w:pPr>
            <w:r>
              <w:rPr>
                <w:b/>
                <w:sz w:val="14"/>
                <w:szCs w:val="14"/>
              </w:rPr>
              <w:t>Type</w:t>
            </w:r>
          </w:p>
        </w:tc>
        <w:tc>
          <w:tcPr>
            <w:tcW w:w="1104" w:type="dxa"/>
          </w:tcPr>
          <w:p w14:paraId="13859652" w14:textId="77777777" w:rsidR="0048178F" w:rsidRDefault="0048178F" w:rsidP="00D76706">
            <w:pPr>
              <w:jc w:val="center"/>
              <w:rPr>
                <w:sz w:val="14"/>
                <w:szCs w:val="14"/>
              </w:rPr>
            </w:pPr>
            <w:r w:rsidRPr="00891476">
              <w:rPr>
                <w:b/>
                <w:sz w:val="14"/>
                <w:szCs w:val="14"/>
              </w:rPr>
              <w:t>Length</w:t>
            </w:r>
          </w:p>
        </w:tc>
        <w:tc>
          <w:tcPr>
            <w:tcW w:w="1107" w:type="dxa"/>
          </w:tcPr>
          <w:p w14:paraId="06E48D2D" w14:textId="77777777" w:rsidR="0048178F" w:rsidRDefault="0048178F" w:rsidP="00D76706">
            <w:pPr>
              <w:rPr>
                <w:sz w:val="14"/>
                <w:szCs w:val="14"/>
              </w:rPr>
            </w:pPr>
            <w:r w:rsidRPr="00891476">
              <w:rPr>
                <w:b/>
                <w:sz w:val="14"/>
                <w:szCs w:val="14"/>
              </w:rPr>
              <w:t>Example</w:t>
            </w:r>
          </w:p>
        </w:tc>
        <w:tc>
          <w:tcPr>
            <w:tcW w:w="867" w:type="dxa"/>
          </w:tcPr>
          <w:p w14:paraId="0908B278" w14:textId="77777777" w:rsidR="0048178F" w:rsidRDefault="0048178F" w:rsidP="00D76706">
            <w:pPr>
              <w:jc w:val="center"/>
              <w:rPr>
                <w:sz w:val="14"/>
                <w:szCs w:val="14"/>
              </w:rPr>
            </w:pPr>
            <w:r w:rsidRPr="00891476">
              <w:rPr>
                <w:b/>
                <w:sz w:val="14"/>
                <w:szCs w:val="14"/>
              </w:rPr>
              <w:t>Data Act Element</w:t>
            </w:r>
          </w:p>
        </w:tc>
      </w:tr>
      <w:tr w:rsidR="0048178F" w14:paraId="11FECA81" w14:textId="77777777" w:rsidTr="00D76706">
        <w:tc>
          <w:tcPr>
            <w:tcW w:w="1818" w:type="dxa"/>
          </w:tcPr>
          <w:p w14:paraId="563BA463" w14:textId="77777777" w:rsidR="0048178F" w:rsidRDefault="0086752E" w:rsidP="00D76706">
            <w:pPr>
              <w:rPr>
                <w:sz w:val="14"/>
                <w:szCs w:val="14"/>
              </w:rPr>
            </w:pPr>
            <w:proofErr w:type="spellStart"/>
            <w:r>
              <w:rPr>
                <w:sz w:val="14"/>
                <w:szCs w:val="14"/>
              </w:rPr>
              <w:t>F</w:t>
            </w:r>
            <w:r w:rsidR="0048178F">
              <w:rPr>
                <w:sz w:val="14"/>
                <w:szCs w:val="14"/>
              </w:rPr>
              <w:t>iscalYear</w:t>
            </w:r>
            <w:proofErr w:type="spellEnd"/>
          </w:p>
        </w:tc>
        <w:tc>
          <w:tcPr>
            <w:tcW w:w="2880" w:type="dxa"/>
          </w:tcPr>
          <w:p w14:paraId="491E5E67" w14:textId="77777777" w:rsidR="0048178F" w:rsidRDefault="0048178F" w:rsidP="00D76706">
            <w:pPr>
              <w:rPr>
                <w:sz w:val="14"/>
                <w:szCs w:val="14"/>
              </w:rPr>
            </w:pPr>
            <w:r w:rsidRPr="00E46799">
              <w:rPr>
                <w:sz w:val="14"/>
                <w:szCs w:val="14"/>
              </w:rPr>
              <w:t>Designates the fiscal year for which the</w:t>
            </w:r>
            <w:r>
              <w:rPr>
                <w:sz w:val="14"/>
                <w:szCs w:val="14"/>
              </w:rPr>
              <w:t xml:space="preserve"> </w:t>
            </w:r>
            <w:r w:rsidRPr="00E46799">
              <w:rPr>
                <w:sz w:val="14"/>
                <w:szCs w:val="14"/>
              </w:rPr>
              <w:t>data is being submitted.</w:t>
            </w:r>
          </w:p>
        </w:tc>
        <w:tc>
          <w:tcPr>
            <w:tcW w:w="1800" w:type="dxa"/>
          </w:tcPr>
          <w:p w14:paraId="2D187999"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04" w:type="dxa"/>
          </w:tcPr>
          <w:p w14:paraId="1EFDB6CE" w14:textId="77777777" w:rsidR="0048178F" w:rsidRDefault="0048178F" w:rsidP="00D76706">
            <w:pPr>
              <w:jc w:val="center"/>
              <w:rPr>
                <w:sz w:val="14"/>
                <w:szCs w:val="14"/>
              </w:rPr>
            </w:pPr>
            <w:r>
              <w:rPr>
                <w:sz w:val="14"/>
                <w:szCs w:val="14"/>
              </w:rPr>
              <w:t>4</w:t>
            </w:r>
          </w:p>
        </w:tc>
        <w:tc>
          <w:tcPr>
            <w:tcW w:w="1107" w:type="dxa"/>
          </w:tcPr>
          <w:p w14:paraId="065AB69C" w14:textId="77777777" w:rsidR="0048178F" w:rsidRDefault="0048178F" w:rsidP="00D76706">
            <w:pPr>
              <w:rPr>
                <w:sz w:val="14"/>
                <w:szCs w:val="14"/>
              </w:rPr>
            </w:pPr>
            <w:r>
              <w:rPr>
                <w:sz w:val="14"/>
                <w:szCs w:val="14"/>
              </w:rPr>
              <w:t>2014</w:t>
            </w:r>
          </w:p>
        </w:tc>
        <w:tc>
          <w:tcPr>
            <w:tcW w:w="867" w:type="dxa"/>
          </w:tcPr>
          <w:p w14:paraId="611C33DF" w14:textId="77777777" w:rsidR="0048178F" w:rsidRDefault="0048178F" w:rsidP="00D76706">
            <w:pPr>
              <w:jc w:val="center"/>
              <w:rPr>
                <w:sz w:val="14"/>
                <w:szCs w:val="14"/>
              </w:rPr>
            </w:pPr>
            <w:r>
              <w:rPr>
                <w:sz w:val="14"/>
                <w:szCs w:val="14"/>
              </w:rPr>
              <w:t>-</w:t>
            </w:r>
          </w:p>
        </w:tc>
      </w:tr>
      <w:tr w:rsidR="0048178F" w14:paraId="0B45DB0C" w14:textId="77777777" w:rsidTr="00D76706">
        <w:tc>
          <w:tcPr>
            <w:tcW w:w="1818" w:type="dxa"/>
          </w:tcPr>
          <w:p w14:paraId="76AB7E31" w14:textId="77777777" w:rsidR="0048178F" w:rsidRDefault="0048178F" w:rsidP="00D76706">
            <w:pPr>
              <w:rPr>
                <w:sz w:val="14"/>
                <w:szCs w:val="14"/>
              </w:rPr>
            </w:pPr>
            <w:r>
              <w:rPr>
                <w:sz w:val="14"/>
                <w:szCs w:val="14"/>
              </w:rPr>
              <w:t>Period</w:t>
            </w:r>
          </w:p>
        </w:tc>
        <w:tc>
          <w:tcPr>
            <w:tcW w:w="2880" w:type="dxa"/>
          </w:tcPr>
          <w:p w14:paraId="2C151B02" w14:textId="77777777" w:rsidR="0048178F" w:rsidRDefault="0048178F" w:rsidP="00D76706">
            <w:pPr>
              <w:rPr>
                <w:sz w:val="14"/>
                <w:szCs w:val="14"/>
              </w:rPr>
            </w:pPr>
            <w:r w:rsidRPr="00E46799">
              <w:rPr>
                <w:sz w:val="14"/>
                <w:szCs w:val="14"/>
              </w:rPr>
              <w:t>Designates the month for which the data</w:t>
            </w:r>
            <w:r>
              <w:rPr>
                <w:sz w:val="14"/>
                <w:szCs w:val="14"/>
              </w:rPr>
              <w:t xml:space="preserve"> is being submitted. This is</w:t>
            </w:r>
            <w:r w:rsidRPr="00E46799">
              <w:rPr>
                <w:sz w:val="14"/>
                <w:szCs w:val="14"/>
              </w:rPr>
              <w:t xml:space="preserve"> a 2 digit</w:t>
            </w:r>
            <w:r>
              <w:rPr>
                <w:sz w:val="14"/>
                <w:szCs w:val="14"/>
              </w:rPr>
              <w:t xml:space="preserve"> </w:t>
            </w:r>
            <w:r w:rsidRPr="00E46799">
              <w:rPr>
                <w:sz w:val="14"/>
                <w:szCs w:val="14"/>
              </w:rPr>
              <w:t>num</w:t>
            </w:r>
            <w:r>
              <w:rPr>
                <w:sz w:val="14"/>
                <w:szCs w:val="14"/>
              </w:rPr>
              <w:t>b</w:t>
            </w:r>
            <w:r w:rsidRPr="00E46799">
              <w:rPr>
                <w:sz w:val="14"/>
                <w:szCs w:val="14"/>
              </w:rPr>
              <w:t>er that starts with 01 for October and</w:t>
            </w:r>
            <w:r>
              <w:rPr>
                <w:sz w:val="14"/>
                <w:szCs w:val="14"/>
              </w:rPr>
              <w:t xml:space="preserve"> </w:t>
            </w:r>
            <w:r w:rsidRPr="00E46799">
              <w:rPr>
                <w:sz w:val="14"/>
                <w:szCs w:val="14"/>
              </w:rPr>
              <w:t>goes through 12 for September.</w:t>
            </w:r>
          </w:p>
        </w:tc>
        <w:tc>
          <w:tcPr>
            <w:tcW w:w="1800" w:type="dxa"/>
          </w:tcPr>
          <w:p w14:paraId="40B9E349"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04" w:type="dxa"/>
          </w:tcPr>
          <w:p w14:paraId="36512CE7" w14:textId="77777777" w:rsidR="0048178F" w:rsidRDefault="0048178F" w:rsidP="00D76706">
            <w:pPr>
              <w:jc w:val="center"/>
              <w:rPr>
                <w:sz w:val="14"/>
                <w:szCs w:val="14"/>
              </w:rPr>
            </w:pPr>
          </w:p>
        </w:tc>
        <w:tc>
          <w:tcPr>
            <w:tcW w:w="1107" w:type="dxa"/>
          </w:tcPr>
          <w:p w14:paraId="63347B66" w14:textId="77777777" w:rsidR="0048178F" w:rsidRDefault="0048178F" w:rsidP="00D76706">
            <w:pPr>
              <w:rPr>
                <w:sz w:val="14"/>
                <w:szCs w:val="14"/>
              </w:rPr>
            </w:pPr>
            <w:r>
              <w:rPr>
                <w:sz w:val="14"/>
                <w:szCs w:val="14"/>
              </w:rPr>
              <w:t>6</w:t>
            </w:r>
          </w:p>
        </w:tc>
        <w:tc>
          <w:tcPr>
            <w:tcW w:w="867" w:type="dxa"/>
          </w:tcPr>
          <w:p w14:paraId="6F6EDDF4" w14:textId="77777777" w:rsidR="0048178F" w:rsidRDefault="0048178F" w:rsidP="00D76706">
            <w:pPr>
              <w:jc w:val="center"/>
              <w:rPr>
                <w:sz w:val="14"/>
                <w:szCs w:val="14"/>
              </w:rPr>
            </w:pPr>
            <w:r>
              <w:rPr>
                <w:sz w:val="14"/>
                <w:szCs w:val="14"/>
              </w:rPr>
              <w:t>-</w:t>
            </w:r>
          </w:p>
        </w:tc>
      </w:tr>
      <w:tr w:rsidR="0048178F" w14:paraId="04F4430D" w14:textId="77777777" w:rsidTr="00D76706">
        <w:tc>
          <w:tcPr>
            <w:tcW w:w="1818" w:type="dxa"/>
          </w:tcPr>
          <w:p w14:paraId="11F10326" w14:textId="77777777" w:rsidR="0048178F" w:rsidRDefault="00A613D4" w:rsidP="00D76706">
            <w:pPr>
              <w:rPr>
                <w:sz w:val="14"/>
                <w:szCs w:val="14"/>
              </w:rPr>
            </w:pPr>
            <w:hyperlink w:anchor="_Type:USSGLentryHeader" w:history="1">
              <w:r w:rsidR="0048178F" w:rsidRPr="00B576EE">
                <w:rPr>
                  <w:rStyle w:val="Hyperlink"/>
                  <w:sz w:val="14"/>
                  <w:szCs w:val="14"/>
                </w:rPr>
                <w:t>USSGLentryHeader</w:t>
              </w:r>
            </w:hyperlink>
          </w:p>
        </w:tc>
        <w:tc>
          <w:tcPr>
            <w:tcW w:w="2880" w:type="dxa"/>
          </w:tcPr>
          <w:p w14:paraId="66128D96" w14:textId="77777777" w:rsidR="0048178F" w:rsidRDefault="0048178F" w:rsidP="00D76706">
            <w:pPr>
              <w:rPr>
                <w:sz w:val="14"/>
                <w:szCs w:val="14"/>
              </w:rPr>
            </w:pPr>
          </w:p>
        </w:tc>
        <w:tc>
          <w:tcPr>
            <w:tcW w:w="1800" w:type="dxa"/>
          </w:tcPr>
          <w:p w14:paraId="70CEA9F3" w14:textId="77777777" w:rsidR="0048178F" w:rsidRPr="0050395C" w:rsidRDefault="0048178F" w:rsidP="00D76706">
            <w:pPr>
              <w:jc w:val="center"/>
              <w:rPr>
                <w:sz w:val="14"/>
                <w:szCs w:val="14"/>
              </w:rPr>
            </w:pPr>
            <w:r>
              <w:rPr>
                <w:sz w:val="14"/>
                <w:szCs w:val="14"/>
              </w:rPr>
              <w:t>See complex type USSGLentryHeader below</w:t>
            </w:r>
          </w:p>
        </w:tc>
        <w:tc>
          <w:tcPr>
            <w:tcW w:w="1104" w:type="dxa"/>
          </w:tcPr>
          <w:p w14:paraId="435AD626" w14:textId="77777777" w:rsidR="0048178F" w:rsidRDefault="0048178F" w:rsidP="00D76706">
            <w:pPr>
              <w:jc w:val="center"/>
              <w:rPr>
                <w:sz w:val="14"/>
                <w:szCs w:val="14"/>
              </w:rPr>
            </w:pPr>
            <w:r>
              <w:rPr>
                <w:sz w:val="14"/>
                <w:szCs w:val="14"/>
              </w:rPr>
              <w:t>-</w:t>
            </w:r>
          </w:p>
        </w:tc>
        <w:tc>
          <w:tcPr>
            <w:tcW w:w="1107" w:type="dxa"/>
          </w:tcPr>
          <w:p w14:paraId="0ED647D9" w14:textId="77777777" w:rsidR="0048178F" w:rsidRDefault="0048178F" w:rsidP="00D76706">
            <w:pPr>
              <w:jc w:val="center"/>
              <w:rPr>
                <w:sz w:val="14"/>
                <w:szCs w:val="14"/>
              </w:rPr>
            </w:pPr>
            <w:r>
              <w:rPr>
                <w:sz w:val="14"/>
                <w:szCs w:val="14"/>
              </w:rPr>
              <w:t>-</w:t>
            </w:r>
          </w:p>
        </w:tc>
        <w:tc>
          <w:tcPr>
            <w:tcW w:w="867" w:type="dxa"/>
          </w:tcPr>
          <w:p w14:paraId="4D8F13B7" w14:textId="77777777" w:rsidR="0048178F" w:rsidRDefault="0048178F" w:rsidP="00D76706">
            <w:pPr>
              <w:jc w:val="center"/>
              <w:rPr>
                <w:sz w:val="14"/>
                <w:szCs w:val="14"/>
              </w:rPr>
            </w:pPr>
            <w:r>
              <w:rPr>
                <w:sz w:val="14"/>
                <w:szCs w:val="14"/>
              </w:rPr>
              <w:t>-</w:t>
            </w:r>
          </w:p>
        </w:tc>
      </w:tr>
    </w:tbl>
    <w:p w14:paraId="29BD0EF5" w14:textId="77777777" w:rsidR="0048178F" w:rsidRDefault="0048178F" w:rsidP="0048178F"/>
    <w:p w14:paraId="54F3A08C" w14:textId="77777777" w:rsidR="0048178F" w:rsidRDefault="0048178F" w:rsidP="0048178F">
      <w:pPr>
        <w:pStyle w:val="Heading3"/>
        <w:numPr>
          <w:ilvl w:val="2"/>
          <w:numId w:val="1"/>
        </w:numPr>
      </w:pPr>
      <w:bookmarkStart w:id="1" w:name="_Type:USSGLentryHeader"/>
      <w:bookmarkEnd w:id="1"/>
      <w:r>
        <w:t>Entry Header</w:t>
      </w:r>
    </w:p>
    <w:p w14:paraId="21630902" w14:textId="77777777" w:rsidR="0048178F" w:rsidRDefault="0048178F" w:rsidP="0048178F">
      <w:pPr>
        <w:pStyle w:val="IntenseQuote"/>
      </w:pPr>
      <w:r>
        <w:t>Element: USSGLentryHeader</w:t>
      </w:r>
    </w:p>
    <w:p w14:paraId="6F5D45A6" w14:textId="77777777" w:rsidR="0048178F" w:rsidRDefault="0048178F" w:rsidP="0048178F">
      <w:pPr>
        <w:pStyle w:val="IntenseQuote"/>
      </w:pPr>
      <w:r>
        <w:t>Proposed Type: complex</w:t>
      </w:r>
    </w:p>
    <w:p w14:paraId="6845ECC9" w14:textId="77777777" w:rsidR="0048178F" w:rsidRDefault="00EE2815" w:rsidP="0048178F">
      <w:r>
        <w:t xml:space="preserve"> </w:t>
      </w:r>
    </w:p>
    <w:tbl>
      <w:tblPr>
        <w:tblStyle w:val="TableGrid"/>
        <w:tblpPr w:leftFromText="180" w:rightFromText="180" w:vertAnchor="text" w:horzAnchor="margin" w:tblpY="233"/>
        <w:tblW w:w="9558" w:type="dxa"/>
        <w:tblLook w:val="04A0" w:firstRow="1" w:lastRow="0" w:firstColumn="1" w:lastColumn="0" w:noHBand="0" w:noVBand="1"/>
      </w:tblPr>
      <w:tblGrid>
        <w:gridCol w:w="1818"/>
        <w:gridCol w:w="2880"/>
        <w:gridCol w:w="1800"/>
        <w:gridCol w:w="1170"/>
        <w:gridCol w:w="1115"/>
        <w:gridCol w:w="775"/>
      </w:tblGrid>
      <w:tr w:rsidR="0048178F" w14:paraId="1AA4DD1F" w14:textId="77777777" w:rsidTr="00D76706">
        <w:tc>
          <w:tcPr>
            <w:tcW w:w="1818" w:type="dxa"/>
          </w:tcPr>
          <w:p w14:paraId="5D99C20B" w14:textId="77777777" w:rsidR="0048178F" w:rsidRDefault="0048178F" w:rsidP="00D76706">
            <w:pPr>
              <w:rPr>
                <w:sz w:val="14"/>
                <w:szCs w:val="14"/>
              </w:rPr>
            </w:pPr>
            <w:r w:rsidRPr="00891476">
              <w:rPr>
                <w:b/>
                <w:sz w:val="14"/>
                <w:szCs w:val="14"/>
              </w:rPr>
              <w:t>Data Element</w:t>
            </w:r>
          </w:p>
        </w:tc>
        <w:tc>
          <w:tcPr>
            <w:tcW w:w="2880" w:type="dxa"/>
          </w:tcPr>
          <w:p w14:paraId="6EB616D4" w14:textId="77777777" w:rsidR="0048178F" w:rsidRDefault="0048178F" w:rsidP="00D76706">
            <w:pPr>
              <w:rPr>
                <w:sz w:val="14"/>
                <w:szCs w:val="14"/>
              </w:rPr>
            </w:pPr>
            <w:r w:rsidRPr="00891476">
              <w:rPr>
                <w:b/>
                <w:sz w:val="14"/>
                <w:szCs w:val="14"/>
              </w:rPr>
              <w:t>Description</w:t>
            </w:r>
          </w:p>
        </w:tc>
        <w:tc>
          <w:tcPr>
            <w:tcW w:w="1800" w:type="dxa"/>
          </w:tcPr>
          <w:p w14:paraId="5A96C65D" w14:textId="77777777" w:rsidR="0048178F" w:rsidRDefault="0048178F" w:rsidP="00D76706">
            <w:pPr>
              <w:jc w:val="center"/>
              <w:rPr>
                <w:sz w:val="14"/>
                <w:szCs w:val="14"/>
              </w:rPr>
            </w:pPr>
            <w:r>
              <w:rPr>
                <w:b/>
                <w:sz w:val="14"/>
                <w:szCs w:val="14"/>
              </w:rPr>
              <w:t>Type</w:t>
            </w:r>
          </w:p>
        </w:tc>
        <w:tc>
          <w:tcPr>
            <w:tcW w:w="1170" w:type="dxa"/>
          </w:tcPr>
          <w:p w14:paraId="6544C7A8" w14:textId="77777777" w:rsidR="0048178F" w:rsidRDefault="0048178F" w:rsidP="00D76706">
            <w:pPr>
              <w:jc w:val="center"/>
              <w:rPr>
                <w:sz w:val="14"/>
                <w:szCs w:val="14"/>
              </w:rPr>
            </w:pPr>
            <w:r w:rsidRPr="00891476">
              <w:rPr>
                <w:b/>
                <w:sz w:val="14"/>
                <w:szCs w:val="14"/>
              </w:rPr>
              <w:t>Length</w:t>
            </w:r>
          </w:p>
        </w:tc>
        <w:tc>
          <w:tcPr>
            <w:tcW w:w="1115" w:type="dxa"/>
          </w:tcPr>
          <w:p w14:paraId="1AAC6B20" w14:textId="77777777" w:rsidR="0048178F" w:rsidRDefault="0048178F" w:rsidP="00D76706">
            <w:pPr>
              <w:rPr>
                <w:sz w:val="14"/>
                <w:szCs w:val="14"/>
              </w:rPr>
            </w:pPr>
            <w:r w:rsidRPr="00891476">
              <w:rPr>
                <w:b/>
                <w:sz w:val="14"/>
                <w:szCs w:val="14"/>
              </w:rPr>
              <w:t>Example</w:t>
            </w:r>
          </w:p>
        </w:tc>
        <w:tc>
          <w:tcPr>
            <w:tcW w:w="775" w:type="dxa"/>
            <w:shd w:val="clear" w:color="auto" w:fill="auto"/>
          </w:tcPr>
          <w:p w14:paraId="63965E19" w14:textId="77777777" w:rsidR="0048178F" w:rsidRDefault="0048178F" w:rsidP="00D76706">
            <w:pPr>
              <w:jc w:val="center"/>
              <w:rPr>
                <w:sz w:val="14"/>
                <w:szCs w:val="14"/>
              </w:rPr>
            </w:pPr>
            <w:r w:rsidRPr="00891476">
              <w:rPr>
                <w:b/>
                <w:sz w:val="14"/>
                <w:szCs w:val="14"/>
              </w:rPr>
              <w:t>Data Act Element</w:t>
            </w:r>
          </w:p>
        </w:tc>
      </w:tr>
      <w:tr w:rsidR="0048178F" w14:paraId="7F07B75E" w14:textId="77777777" w:rsidTr="00D76706">
        <w:tc>
          <w:tcPr>
            <w:tcW w:w="1818" w:type="dxa"/>
          </w:tcPr>
          <w:p w14:paraId="41C3A14A" w14:textId="77777777" w:rsidR="0048178F" w:rsidRDefault="00A613D4" w:rsidP="00D76706">
            <w:pPr>
              <w:rPr>
                <w:sz w:val="14"/>
                <w:szCs w:val="14"/>
              </w:rPr>
            </w:pPr>
            <w:hyperlink w:anchor="_Type:_TreasuryAccountSymbol" w:history="1">
              <w:r w:rsidR="0048178F" w:rsidRPr="000B5E2C">
                <w:rPr>
                  <w:rStyle w:val="Hyperlink"/>
                  <w:sz w:val="14"/>
                  <w:szCs w:val="14"/>
                </w:rPr>
                <w:t>TreasuryAccountSymbol</w:t>
              </w:r>
            </w:hyperlink>
          </w:p>
        </w:tc>
        <w:tc>
          <w:tcPr>
            <w:tcW w:w="2880" w:type="dxa"/>
          </w:tcPr>
          <w:p w14:paraId="090F621D" w14:textId="77777777" w:rsidR="0048178F" w:rsidRDefault="0048178F" w:rsidP="00D76706">
            <w:pPr>
              <w:rPr>
                <w:sz w:val="14"/>
                <w:szCs w:val="14"/>
              </w:rPr>
            </w:pPr>
          </w:p>
        </w:tc>
        <w:tc>
          <w:tcPr>
            <w:tcW w:w="1800" w:type="dxa"/>
          </w:tcPr>
          <w:p w14:paraId="2E3397ED" w14:textId="77777777" w:rsidR="0048178F" w:rsidRDefault="0048178F" w:rsidP="00D76706">
            <w:pPr>
              <w:jc w:val="center"/>
              <w:rPr>
                <w:sz w:val="14"/>
                <w:szCs w:val="14"/>
              </w:rPr>
            </w:pPr>
            <w:r>
              <w:rPr>
                <w:sz w:val="14"/>
                <w:szCs w:val="14"/>
              </w:rPr>
              <w:t>See complex type TreasuryAccountSymbol</w:t>
            </w:r>
          </w:p>
          <w:p w14:paraId="0C582B14" w14:textId="77777777" w:rsidR="0048178F" w:rsidRPr="0050395C" w:rsidRDefault="00AA04BC" w:rsidP="00D76706">
            <w:pPr>
              <w:jc w:val="center"/>
              <w:rPr>
                <w:sz w:val="14"/>
                <w:szCs w:val="14"/>
              </w:rPr>
            </w:pPr>
            <w:r>
              <w:rPr>
                <w:sz w:val="14"/>
                <w:szCs w:val="14"/>
              </w:rPr>
              <w:t>B</w:t>
            </w:r>
            <w:r w:rsidR="0048178F">
              <w:rPr>
                <w:sz w:val="14"/>
                <w:szCs w:val="14"/>
              </w:rPr>
              <w:t>elow</w:t>
            </w:r>
          </w:p>
        </w:tc>
        <w:tc>
          <w:tcPr>
            <w:tcW w:w="1170" w:type="dxa"/>
          </w:tcPr>
          <w:p w14:paraId="2D7958C9" w14:textId="77777777" w:rsidR="0048178F" w:rsidRDefault="0048178F" w:rsidP="00D76706">
            <w:pPr>
              <w:jc w:val="center"/>
              <w:rPr>
                <w:sz w:val="14"/>
                <w:szCs w:val="14"/>
              </w:rPr>
            </w:pPr>
            <w:r>
              <w:rPr>
                <w:sz w:val="14"/>
                <w:szCs w:val="14"/>
              </w:rPr>
              <w:t>-</w:t>
            </w:r>
          </w:p>
        </w:tc>
        <w:tc>
          <w:tcPr>
            <w:tcW w:w="1115" w:type="dxa"/>
          </w:tcPr>
          <w:p w14:paraId="234FEB8A" w14:textId="77777777" w:rsidR="0048178F" w:rsidRDefault="0048178F" w:rsidP="00D76706">
            <w:pPr>
              <w:jc w:val="center"/>
              <w:rPr>
                <w:sz w:val="14"/>
                <w:szCs w:val="14"/>
              </w:rPr>
            </w:pPr>
            <w:r>
              <w:rPr>
                <w:sz w:val="14"/>
                <w:szCs w:val="14"/>
              </w:rPr>
              <w:t>-</w:t>
            </w:r>
          </w:p>
        </w:tc>
        <w:tc>
          <w:tcPr>
            <w:tcW w:w="775" w:type="dxa"/>
            <w:shd w:val="clear" w:color="auto" w:fill="auto"/>
          </w:tcPr>
          <w:p w14:paraId="4C0BE2C7" w14:textId="77777777" w:rsidR="0048178F" w:rsidRDefault="0048178F" w:rsidP="00D76706">
            <w:pPr>
              <w:jc w:val="center"/>
              <w:rPr>
                <w:sz w:val="14"/>
                <w:szCs w:val="14"/>
              </w:rPr>
            </w:pPr>
            <w:r>
              <w:rPr>
                <w:sz w:val="14"/>
                <w:szCs w:val="14"/>
              </w:rPr>
              <w:t>-</w:t>
            </w:r>
          </w:p>
        </w:tc>
      </w:tr>
      <w:tr w:rsidR="0048178F" w14:paraId="340E1D40" w14:textId="77777777" w:rsidTr="00D76706">
        <w:tc>
          <w:tcPr>
            <w:tcW w:w="1818" w:type="dxa"/>
          </w:tcPr>
          <w:p w14:paraId="66129180" w14:textId="77777777" w:rsidR="0048178F" w:rsidRDefault="00A613D4" w:rsidP="00D76706">
            <w:pPr>
              <w:rPr>
                <w:sz w:val="14"/>
                <w:szCs w:val="14"/>
              </w:rPr>
            </w:pPr>
            <w:hyperlink w:anchor="_Type:USSGLentryDetail" w:history="1">
              <w:r w:rsidR="0048178F" w:rsidRPr="00B576EE">
                <w:rPr>
                  <w:rStyle w:val="Hyperlink"/>
                  <w:sz w:val="14"/>
                  <w:szCs w:val="14"/>
                </w:rPr>
                <w:t>USSGLentryDetail</w:t>
              </w:r>
            </w:hyperlink>
          </w:p>
        </w:tc>
        <w:tc>
          <w:tcPr>
            <w:tcW w:w="2880" w:type="dxa"/>
          </w:tcPr>
          <w:p w14:paraId="7164BB2E" w14:textId="77777777" w:rsidR="0048178F" w:rsidRDefault="0048178F" w:rsidP="00D76706">
            <w:pPr>
              <w:rPr>
                <w:sz w:val="14"/>
                <w:szCs w:val="14"/>
              </w:rPr>
            </w:pPr>
          </w:p>
        </w:tc>
        <w:tc>
          <w:tcPr>
            <w:tcW w:w="1800" w:type="dxa"/>
          </w:tcPr>
          <w:p w14:paraId="406DD231" w14:textId="77777777" w:rsidR="0048178F" w:rsidRPr="0050395C" w:rsidRDefault="0048178F" w:rsidP="00D76706">
            <w:pPr>
              <w:jc w:val="center"/>
              <w:rPr>
                <w:sz w:val="14"/>
                <w:szCs w:val="14"/>
              </w:rPr>
            </w:pPr>
            <w:r>
              <w:rPr>
                <w:sz w:val="14"/>
                <w:szCs w:val="14"/>
              </w:rPr>
              <w:t>See complex type USSGLentryDetail below</w:t>
            </w:r>
          </w:p>
        </w:tc>
        <w:tc>
          <w:tcPr>
            <w:tcW w:w="1170" w:type="dxa"/>
          </w:tcPr>
          <w:p w14:paraId="50256CA7" w14:textId="77777777" w:rsidR="0048178F" w:rsidRDefault="0048178F" w:rsidP="00D76706">
            <w:pPr>
              <w:jc w:val="center"/>
              <w:rPr>
                <w:sz w:val="14"/>
                <w:szCs w:val="14"/>
              </w:rPr>
            </w:pPr>
            <w:r>
              <w:rPr>
                <w:sz w:val="14"/>
                <w:szCs w:val="14"/>
              </w:rPr>
              <w:t>-</w:t>
            </w:r>
          </w:p>
        </w:tc>
        <w:tc>
          <w:tcPr>
            <w:tcW w:w="1115" w:type="dxa"/>
          </w:tcPr>
          <w:p w14:paraId="46C62E1D" w14:textId="77777777" w:rsidR="0048178F" w:rsidRDefault="0048178F" w:rsidP="00D76706">
            <w:pPr>
              <w:jc w:val="center"/>
              <w:rPr>
                <w:sz w:val="14"/>
                <w:szCs w:val="14"/>
              </w:rPr>
            </w:pPr>
            <w:r>
              <w:rPr>
                <w:sz w:val="14"/>
                <w:szCs w:val="14"/>
              </w:rPr>
              <w:t>-</w:t>
            </w:r>
          </w:p>
        </w:tc>
        <w:tc>
          <w:tcPr>
            <w:tcW w:w="775" w:type="dxa"/>
            <w:shd w:val="clear" w:color="auto" w:fill="auto"/>
          </w:tcPr>
          <w:p w14:paraId="3BE3FA82" w14:textId="77777777" w:rsidR="0048178F" w:rsidRDefault="0048178F" w:rsidP="00D76706">
            <w:pPr>
              <w:jc w:val="center"/>
              <w:rPr>
                <w:sz w:val="14"/>
                <w:szCs w:val="14"/>
              </w:rPr>
            </w:pPr>
            <w:r>
              <w:rPr>
                <w:sz w:val="14"/>
                <w:szCs w:val="14"/>
              </w:rPr>
              <w:t>-</w:t>
            </w:r>
          </w:p>
        </w:tc>
      </w:tr>
    </w:tbl>
    <w:p w14:paraId="1C84F9CB" w14:textId="77777777" w:rsidR="0048178F" w:rsidRDefault="0048178F" w:rsidP="0048178F"/>
    <w:p w14:paraId="346F968C" w14:textId="77777777" w:rsidR="0048178F" w:rsidRDefault="0048178F" w:rsidP="0048178F">
      <w:pPr>
        <w:pStyle w:val="Heading4"/>
        <w:numPr>
          <w:ilvl w:val="3"/>
          <w:numId w:val="1"/>
        </w:numPr>
      </w:pPr>
      <w:bookmarkStart w:id="2" w:name="_Type:_TreasuryAccountSymbol"/>
      <w:bookmarkEnd w:id="2"/>
      <w:r>
        <w:t>Treasury Accounting Symbol</w:t>
      </w:r>
    </w:p>
    <w:p w14:paraId="37EF3C5F" w14:textId="77777777" w:rsidR="0048178F" w:rsidRDefault="0048178F" w:rsidP="0048178F">
      <w:pPr>
        <w:pStyle w:val="IntenseQuote"/>
      </w:pPr>
      <w:r>
        <w:t>Element: TreasuryAccountSymbol</w:t>
      </w:r>
    </w:p>
    <w:p w14:paraId="6FEBD53C" w14:textId="77777777" w:rsidR="0048178F" w:rsidRDefault="0048178F" w:rsidP="0048178F">
      <w:pPr>
        <w:pStyle w:val="IntenseQuote"/>
      </w:pPr>
      <w:r>
        <w:t>Proposed Type: complex</w:t>
      </w:r>
    </w:p>
    <w:p w14:paraId="45605F00" w14:textId="77777777" w:rsidR="004D183F" w:rsidRDefault="0048178F" w:rsidP="0048178F">
      <w:r w:rsidRPr="00053F4D">
        <w:t>Treasury Account Symbol</w:t>
      </w:r>
      <w:r w:rsidR="004D183F">
        <w:t xml:space="preserve"> (TAS)</w:t>
      </w:r>
      <w:r w:rsidRPr="00053F4D">
        <w:t xml:space="preserve">. An identification code assigned by the Department of the Treasury, in collaboration with </w:t>
      </w:r>
      <w:r w:rsidR="007C0FE6">
        <w:t>OMB</w:t>
      </w:r>
      <w:r w:rsidRPr="00053F4D">
        <w:t xml:space="preserve"> and the owner agency, to an individual appropriation, receipt, or other fund account. (These accounts are defined in TFM Volume I, Part 2, and Chapter 1500.) The term "Treasury Account Symbol" is a generic term used to describe any one of the account identification codes assigned by the Department of the Treasury. The term "Treasury Appropriation/Fund Symbol" (TAFS) is used to describe a particular type of TAS-one with budget authority. All financial transactions of the </w:t>
      </w:r>
      <w:r w:rsidR="00A8171F">
        <w:t>f</w:t>
      </w:r>
      <w:r w:rsidRPr="00053F4D">
        <w:t xml:space="preserve">ederal </w:t>
      </w:r>
      <w:r w:rsidR="00A8171F">
        <w:lastRenderedPageBreak/>
        <w:t>g</w:t>
      </w:r>
      <w:r w:rsidRPr="00053F4D">
        <w:t xml:space="preserve">overnment are classified by TAS for reporting to the Department of the Treasury and </w:t>
      </w:r>
      <w:r w:rsidR="007C0FE6">
        <w:t>OMB</w:t>
      </w:r>
      <w:r w:rsidRPr="00053F4D">
        <w:t>.</w:t>
      </w:r>
      <w:r w:rsidR="007C0FE6">
        <w:t xml:space="preserve"> Note that the proposed definition of TAS will be posted </w:t>
      </w:r>
      <w:hyperlink r:id="rId22" w:history="1">
        <w:r w:rsidR="007C0FE6" w:rsidRPr="0086752E">
          <w:rPr>
            <w:rStyle w:val="Hyperlink"/>
          </w:rPr>
          <w:t>here</w:t>
        </w:r>
      </w:hyperlink>
      <w:r w:rsidR="007C0FE6">
        <w:t xml:space="preserve"> when it becomes available.</w:t>
      </w:r>
      <w:r w:rsidR="004D183F">
        <w:t xml:space="preserve"> </w:t>
      </w:r>
    </w:p>
    <w:p w14:paraId="1D2954C0" w14:textId="77777777" w:rsidR="0048178F" w:rsidRPr="00EC18BD" w:rsidRDefault="00D14E2A" w:rsidP="0048178F">
      <w:r>
        <w:t xml:space="preserve">DATA Act element definitions in the table below </w:t>
      </w:r>
      <w:r w:rsidR="007C0FE6">
        <w:t>correlate</w:t>
      </w:r>
      <w:r>
        <w:t xml:space="preserve"> directly to the DATA Act element definitions found </w:t>
      </w:r>
      <w:hyperlink r:id="rId23" w:history="1">
        <w:r w:rsidR="00196F95" w:rsidRPr="00407D3A">
          <w:rPr>
            <w:rStyle w:val="Hyperlink"/>
          </w:rPr>
          <w:t>here</w:t>
        </w:r>
      </w:hyperlink>
      <w:r w:rsidR="00407D3A">
        <w:t>.</w:t>
      </w:r>
    </w:p>
    <w:tbl>
      <w:tblPr>
        <w:tblStyle w:val="TableGrid"/>
        <w:tblpPr w:leftFromText="180" w:rightFromText="180" w:vertAnchor="text" w:horzAnchor="margin" w:tblpY="233"/>
        <w:tblW w:w="0" w:type="auto"/>
        <w:tblLook w:val="04A0" w:firstRow="1" w:lastRow="0" w:firstColumn="1" w:lastColumn="0" w:noHBand="0" w:noVBand="1"/>
      </w:tblPr>
      <w:tblGrid>
        <w:gridCol w:w="1809"/>
        <w:gridCol w:w="2850"/>
        <w:gridCol w:w="1825"/>
        <w:gridCol w:w="1158"/>
        <w:gridCol w:w="1038"/>
        <w:gridCol w:w="896"/>
      </w:tblGrid>
      <w:tr w:rsidR="0048178F" w14:paraId="20277A1C" w14:textId="77777777" w:rsidTr="00D76706">
        <w:tc>
          <w:tcPr>
            <w:tcW w:w="1818" w:type="dxa"/>
          </w:tcPr>
          <w:p w14:paraId="55A503BE" w14:textId="77777777" w:rsidR="0048178F" w:rsidRDefault="0048178F" w:rsidP="00D76706">
            <w:pPr>
              <w:rPr>
                <w:sz w:val="14"/>
                <w:szCs w:val="14"/>
              </w:rPr>
            </w:pPr>
            <w:r w:rsidRPr="00891476">
              <w:rPr>
                <w:b/>
                <w:sz w:val="14"/>
                <w:szCs w:val="14"/>
              </w:rPr>
              <w:t>Data Element</w:t>
            </w:r>
          </w:p>
        </w:tc>
        <w:tc>
          <w:tcPr>
            <w:tcW w:w="2880" w:type="dxa"/>
          </w:tcPr>
          <w:p w14:paraId="368D807E" w14:textId="77777777" w:rsidR="0048178F" w:rsidRDefault="0048178F" w:rsidP="00D76706">
            <w:pPr>
              <w:rPr>
                <w:sz w:val="14"/>
                <w:szCs w:val="14"/>
              </w:rPr>
            </w:pPr>
            <w:r w:rsidRPr="00891476">
              <w:rPr>
                <w:b/>
                <w:sz w:val="14"/>
                <w:szCs w:val="14"/>
              </w:rPr>
              <w:t>Description</w:t>
            </w:r>
          </w:p>
        </w:tc>
        <w:tc>
          <w:tcPr>
            <w:tcW w:w="1825" w:type="dxa"/>
          </w:tcPr>
          <w:p w14:paraId="6D872DE6" w14:textId="77777777" w:rsidR="0048178F" w:rsidRDefault="0048178F" w:rsidP="00D76706">
            <w:pPr>
              <w:jc w:val="center"/>
              <w:rPr>
                <w:sz w:val="14"/>
                <w:szCs w:val="14"/>
              </w:rPr>
            </w:pPr>
            <w:r>
              <w:rPr>
                <w:b/>
                <w:sz w:val="14"/>
                <w:szCs w:val="14"/>
              </w:rPr>
              <w:t>Type</w:t>
            </w:r>
          </w:p>
        </w:tc>
        <w:tc>
          <w:tcPr>
            <w:tcW w:w="1168" w:type="dxa"/>
            <w:shd w:val="clear" w:color="auto" w:fill="auto"/>
          </w:tcPr>
          <w:p w14:paraId="75F8BF5F" w14:textId="77777777" w:rsidR="0048178F" w:rsidRDefault="0048178F" w:rsidP="00D76706">
            <w:pPr>
              <w:jc w:val="center"/>
              <w:rPr>
                <w:sz w:val="14"/>
                <w:szCs w:val="14"/>
              </w:rPr>
            </w:pPr>
            <w:r w:rsidRPr="00891476">
              <w:rPr>
                <w:b/>
                <w:sz w:val="14"/>
                <w:szCs w:val="14"/>
              </w:rPr>
              <w:t>Length</w:t>
            </w:r>
          </w:p>
        </w:tc>
        <w:tc>
          <w:tcPr>
            <w:tcW w:w="1044" w:type="dxa"/>
            <w:shd w:val="clear" w:color="auto" w:fill="auto"/>
          </w:tcPr>
          <w:p w14:paraId="62D2923A" w14:textId="77777777" w:rsidR="0048178F" w:rsidRDefault="0048178F" w:rsidP="00D76706">
            <w:pPr>
              <w:rPr>
                <w:sz w:val="14"/>
                <w:szCs w:val="14"/>
              </w:rPr>
            </w:pPr>
            <w:r w:rsidRPr="00891476">
              <w:rPr>
                <w:b/>
                <w:sz w:val="14"/>
                <w:szCs w:val="14"/>
              </w:rPr>
              <w:t>Example</w:t>
            </w:r>
          </w:p>
        </w:tc>
        <w:tc>
          <w:tcPr>
            <w:tcW w:w="841" w:type="dxa"/>
            <w:shd w:val="clear" w:color="auto" w:fill="auto"/>
          </w:tcPr>
          <w:p w14:paraId="43409882" w14:textId="77777777" w:rsidR="0048178F" w:rsidRDefault="0048178F" w:rsidP="00D76706">
            <w:pPr>
              <w:jc w:val="center"/>
              <w:rPr>
                <w:sz w:val="14"/>
                <w:szCs w:val="14"/>
              </w:rPr>
            </w:pPr>
            <w:r w:rsidRPr="00891476">
              <w:rPr>
                <w:b/>
                <w:sz w:val="14"/>
                <w:szCs w:val="14"/>
              </w:rPr>
              <w:t>Data Act Element</w:t>
            </w:r>
          </w:p>
        </w:tc>
      </w:tr>
      <w:tr w:rsidR="0048178F" w14:paraId="44B926E4" w14:textId="77777777" w:rsidTr="00D76706">
        <w:tc>
          <w:tcPr>
            <w:tcW w:w="1818" w:type="dxa"/>
          </w:tcPr>
          <w:p w14:paraId="25845792" w14:textId="77777777" w:rsidR="0048178F" w:rsidRDefault="00A613D4" w:rsidP="00D76706">
            <w:pPr>
              <w:rPr>
                <w:sz w:val="14"/>
                <w:szCs w:val="14"/>
              </w:rPr>
            </w:pPr>
            <w:hyperlink w:anchor="_Type:USSGLaccount" w:history="1">
              <w:r w:rsidR="0048178F">
                <w:rPr>
                  <w:rStyle w:val="Hyperlink"/>
                  <w:sz w:val="14"/>
                  <w:szCs w:val="14"/>
                </w:rPr>
                <w:t>allocationTransferID</w:t>
              </w:r>
            </w:hyperlink>
          </w:p>
        </w:tc>
        <w:tc>
          <w:tcPr>
            <w:tcW w:w="2880" w:type="dxa"/>
          </w:tcPr>
          <w:p w14:paraId="612035E2" w14:textId="77777777" w:rsidR="0048178F" w:rsidRDefault="0048178F" w:rsidP="00D76706">
            <w:pPr>
              <w:rPr>
                <w:sz w:val="14"/>
                <w:szCs w:val="14"/>
              </w:rPr>
            </w:pPr>
            <w:r>
              <w:rPr>
                <w:sz w:val="14"/>
                <w:szCs w:val="14"/>
              </w:rPr>
              <w:t>This is a component of</w:t>
            </w:r>
            <w:r w:rsidRPr="00E46799">
              <w:rPr>
                <w:sz w:val="14"/>
                <w:szCs w:val="14"/>
              </w:rPr>
              <w:t xml:space="preserve"> the TAS. Identifies</w:t>
            </w:r>
            <w:r>
              <w:rPr>
                <w:sz w:val="14"/>
                <w:szCs w:val="14"/>
              </w:rPr>
              <w:t xml:space="preserve"> </w:t>
            </w:r>
            <w:r w:rsidRPr="00E46799">
              <w:rPr>
                <w:sz w:val="14"/>
                <w:szCs w:val="14"/>
              </w:rPr>
              <w:t>the agency receiving funds through an</w:t>
            </w:r>
            <w:r>
              <w:rPr>
                <w:sz w:val="14"/>
                <w:szCs w:val="14"/>
              </w:rPr>
              <w:t xml:space="preserve"> </w:t>
            </w:r>
            <w:r w:rsidRPr="00E46799">
              <w:rPr>
                <w:sz w:val="14"/>
                <w:szCs w:val="14"/>
              </w:rPr>
              <w:t>allocation transfer.</w:t>
            </w:r>
          </w:p>
        </w:tc>
        <w:tc>
          <w:tcPr>
            <w:tcW w:w="1825" w:type="dxa"/>
          </w:tcPr>
          <w:p w14:paraId="2BC001A2"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000B783A" w14:textId="77777777" w:rsidR="0048178F" w:rsidRDefault="0048178F" w:rsidP="00D76706">
            <w:pPr>
              <w:jc w:val="center"/>
              <w:rPr>
                <w:sz w:val="14"/>
                <w:szCs w:val="14"/>
              </w:rPr>
            </w:pPr>
          </w:p>
        </w:tc>
        <w:tc>
          <w:tcPr>
            <w:tcW w:w="1044" w:type="dxa"/>
            <w:shd w:val="clear" w:color="auto" w:fill="auto"/>
          </w:tcPr>
          <w:p w14:paraId="530FEA6A" w14:textId="77777777" w:rsidR="0048178F" w:rsidRDefault="0048178F" w:rsidP="00D76706">
            <w:pPr>
              <w:rPr>
                <w:sz w:val="14"/>
                <w:szCs w:val="14"/>
              </w:rPr>
            </w:pPr>
          </w:p>
        </w:tc>
        <w:tc>
          <w:tcPr>
            <w:tcW w:w="841" w:type="dxa"/>
            <w:shd w:val="clear" w:color="auto" w:fill="auto"/>
          </w:tcPr>
          <w:p w14:paraId="24A0B7D5" w14:textId="77777777" w:rsidR="0048178F" w:rsidRDefault="0048178F" w:rsidP="00D76706">
            <w:pPr>
              <w:jc w:val="center"/>
              <w:rPr>
                <w:sz w:val="14"/>
                <w:szCs w:val="14"/>
              </w:rPr>
            </w:pPr>
            <w:r>
              <w:rPr>
                <w:sz w:val="14"/>
                <w:szCs w:val="14"/>
              </w:rPr>
              <w:t>-</w:t>
            </w:r>
          </w:p>
        </w:tc>
      </w:tr>
      <w:tr w:rsidR="0048178F" w14:paraId="27DA0A66" w14:textId="77777777" w:rsidTr="00D76706">
        <w:tc>
          <w:tcPr>
            <w:tcW w:w="1818" w:type="dxa"/>
          </w:tcPr>
          <w:p w14:paraId="0E15E1BB" w14:textId="77777777" w:rsidR="0048178F" w:rsidRDefault="00A613D4" w:rsidP="00D76706">
            <w:pPr>
              <w:rPr>
                <w:sz w:val="14"/>
                <w:szCs w:val="14"/>
              </w:rPr>
            </w:pPr>
            <w:hyperlink w:anchor="_Type:USSGLentryDetail" w:history="1">
              <w:r w:rsidR="0048178F">
                <w:rPr>
                  <w:rStyle w:val="Hyperlink"/>
                  <w:sz w:val="14"/>
                  <w:szCs w:val="14"/>
                </w:rPr>
                <w:t>agencyID</w:t>
              </w:r>
            </w:hyperlink>
          </w:p>
        </w:tc>
        <w:tc>
          <w:tcPr>
            <w:tcW w:w="2880" w:type="dxa"/>
          </w:tcPr>
          <w:p w14:paraId="788181CC"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the department, agency, or establishment</w:t>
            </w:r>
            <w:r>
              <w:rPr>
                <w:sz w:val="14"/>
                <w:szCs w:val="14"/>
              </w:rPr>
              <w:t xml:space="preserve"> </w:t>
            </w:r>
            <w:r w:rsidRPr="00E46799">
              <w:rPr>
                <w:sz w:val="14"/>
                <w:szCs w:val="14"/>
              </w:rPr>
              <w:t>of the U.S. government that is</w:t>
            </w:r>
            <w:r>
              <w:rPr>
                <w:sz w:val="14"/>
                <w:szCs w:val="14"/>
              </w:rPr>
              <w:t xml:space="preserve"> </w:t>
            </w:r>
            <w:r w:rsidRPr="00E46799">
              <w:rPr>
                <w:sz w:val="14"/>
                <w:szCs w:val="14"/>
              </w:rPr>
              <w:t>responsible for the TAS.</w:t>
            </w:r>
          </w:p>
        </w:tc>
        <w:tc>
          <w:tcPr>
            <w:tcW w:w="1825" w:type="dxa"/>
          </w:tcPr>
          <w:p w14:paraId="1B5D5829"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670BE9D8" w14:textId="77777777" w:rsidR="0048178F" w:rsidRDefault="0048178F" w:rsidP="00D76706">
            <w:pPr>
              <w:jc w:val="center"/>
              <w:rPr>
                <w:sz w:val="14"/>
                <w:szCs w:val="14"/>
              </w:rPr>
            </w:pPr>
          </w:p>
        </w:tc>
        <w:tc>
          <w:tcPr>
            <w:tcW w:w="1044" w:type="dxa"/>
            <w:shd w:val="clear" w:color="auto" w:fill="auto"/>
          </w:tcPr>
          <w:p w14:paraId="4F16F236" w14:textId="77777777" w:rsidR="0048178F" w:rsidRDefault="0048178F" w:rsidP="00D76706">
            <w:pPr>
              <w:rPr>
                <w:sz w:val="14"/>
                <w:szCs w:val="14"/>
              </w:rPr>
            </w:pPr>
            <w:r>
              <w:rPr>
                <w:sz w:val="14"/>
                <w:szCs w:val="14"/>
              </w:rPr>
              <w:t>20</w:t>
            </w:r>
          </w:p>
        </w:tc>
        <w:tc>
          <w:tcPr>
            <w:tcW w:w="841" w:type="dxa"/>
            <w:shd w:val="clear" w:color="auto" w:fill="auto"/>
          </w:tcPr>
          <w:p w14:paraId="3E56ED4A" w14:textId="77777777" w:rsidR="0048178F" w:rsidRDefault="00D14E2A" w:rsidP="00D76706">
            <w:pPr>
              <w:jc w:val="center"/>
              <w:rPr>
                <w:sz w:val="14"/>
                <w:szCs w:val="14"/>
              </w:rPr>
            </w:pPr>
            <w:r w:rsidRPr="00D14E2A">
              <w:rPr>
                <w:sz w:val="14"/>
                <w:szCs w:val="14"/>
              </w:rPr>
              <w:t>Funding Entity Information</w:t>
            </w:r>
            <w:r>
              <w:rPr>
                <w:sz w:val="14"/>
                <w:szCs w:val="14"/>
              </w:rPr>
              <w:t xml:space="preserve"> / Agency Code</w:t>
            </w:r>
          </w:p>
        </w:tc>
      </w:tr>
      <w:tr w:rsidR="0048178F" w14:paraId="1621D3A1" w14:textId="77777777" w:rsidTr="00D76706">
        <w:tc>
          <w:tcPr>
            <w:tcW w:w="1818" w:type="dxa"/>
          </w:tcPr>
          <w:p w14:paraId="72CDAEB6" w14:textId="77777777" w:rsidR="0048178F" w:rsidRDefault="0048178F" w:rsidP="00D76706">
            <w:pPr>
              <w:rPr>
                <w:sz w:val="14"/>
                <w:szCs w:val="14"/>
              </w:rPr>
            </w:pPr>
            <w:r>
              <w:rPr>
                <w:sz w:val="14"/>
                <w:szCs w:val="14"/>
              </w:rPr>
              <w:t>agencyDescription</w:t>
            </w:r>
          </w:p>
        </w:tc>
        <w:tc>
          <w:tcPr>
            <w:tcW w:w="2880" w:type="dxa"/>
          </w:tcPr>
          <w:p w14:paraId="57B47D25" w14:textId="77777777" w:rsidR="0048178F" w:rsidRDefault="0048178F" w:rsidP="00D76706">
            <w:pPr>
              <w:rPr>
                <w:sz w:val="14"/>
                <w:szCs w:val="14"/>
              </w:rPr>
            </w:pPr>
          </w:p>
        </w:tc>
        <w:tc>
          <w:tcPr>
            <w:tcW w:w="1825" w:type="dxa"/>
          </w:tcPr>
          <w:p w14:paraId="4231C630"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0A8CFFCD" w14:textId="77777777" w:rsidR="0048178F" w:rsidRDefault="0048178F" w:rsidP="00D76706">
            <w:pPr>
              <w:jc w:val="center"/>
              <w:rPr>
                <w:sz w:val="14"/>
                <w:szCs w:val="14"/>
              </w:rPr>
            </w:pPr>
          </w:p>
        </w:tc>
        <w:tc>
          <w:tcPr>
            <w:tcW w:w="1044" w:type="dxa"/>
            <w:shd w:val="clear" w:color="auto" w:fill="auto"/>
          </w:tcPr>
          <w:p w14:paraId="5E3DFF36" w14:textId="77777777" w:rsidR="0048178F" w:rsidRPr="008B075A" w:rsidRDefault="0048178F" w:rsidP="00D76706">
            <w:pPr>
              <w:rPr>
                <w:sz w:val="14"/>
                <w:szCs w:val="14"/>
                <w:highlight w:val="yellow"/>
              </w:rPr>
            </w:pPr>
          </w:p>
        </w:tc>
        <w:tc>
          <w:tcPr>
            <w:tcW w:w="841" w:type="dxa"/>
            <w:shd w:val="clear" w:color="auto" w:fill="auto"/>
          </w:tcPr>
          <w:p w14:paraId="0B74AD1C" w14:textId="77777777" w:rsidR="0048178F" w:rsidRPr="008B075A" w:rsidRDefault="00D14E2A" w:rsidP="00D76706">
            <w:pPr>
              <w:jc w:val="center"/>
              <w:rPr>
                <w:sz w:val="14"/>
                <w:szCs w:val="14"/>
                <w:highlight w:val="yellow"/>
              </w:rPr>
            </w:pPr>
            <w:r w:rsidRPr="00D14E2A">
              <w:rPr>
                <w:sz w:val="14"/>
                <w:szCs w:val="14"/>
              </w:rPr>
              <w:t>Funding Entity Information</w:t>
            </w:r>
            <w:r>
              <w:rPr>
                <w:sz w:val="14"/>
                <w:szCs w:val="14"/>
              </w:rPr>
              <w:t xml:space="preserve"> /</w:t>
            </w:r>
            <w:r w:rsidRPr="00D14E2A">
              <w:rPr>
                <w:sz w:val="14"/>
                <w:szCs w:val="14"/>
              </w:rPr>
              <w:t>Agency Name</w:t>
            </w:r>
            <w:r>
              <w:rPr>
                <w:sz w:val="14"/>
                <w:szCs w:val="14"/>
              </w:rPr>
              <w:t xml:space="preserve"> </w:t>
            </w:r>
          </w:p>
        </w:tc>
      </w:tr>
      <w:tr w:rsidR="0048178F" w14:paraId="16AF2D7F" w14:textId="77777777" w:rsidTr="00D76706">
        <w:tc>
          <w:tcPr>
            <w:tcW w:w="1818" w:type="dxa"/>
          </w:tcPr>
          <w:p w14:paraId="2AC093C4" w14:textId="77777777" w:rsidR="0048178F" w:rsidRDefault="0048178F" w:rsidP="00D76706">
            <w:pPr>
              <w:rPr>
                <w:sz w:val="14"/>
                <w:szCs w:val="14"/>
              </w:rPr>
            </w:pPr>
            <w:r>
              <w:rPr>
                <w:sz w:val="14"/>
                <w:szCs w:val="14"/>
              </w:rPr>
              <w:t>beginningPOA</w:t>
            </w:r>
          </w:p>
        </w:tc>
        <w:tc>
          <w:tcPr>
            <w:tcW w:w="2880" w:type="dxa"/>
          </w:tcPr>
          <w:p w14:paraId="38F19C99" w14:textId="77777777" w:rsidR="0048178F" w:rsidRDefault="0048178F" w:rsidP="00D76706">
            <w:pPr>
              <w:rPr>
                <w:sz w:val="14"/>
                <w:szCs w:val="14"/>
              </w:rPr>
            </w:pPr>
            <w:r w:rsidRPr="00E46799">
              <w:rPr>
                <w:sz w:val="14"/>
                <w:szCs w:val="14"/>
              </w:rPr>
              <w:t>A component of the TAS. It identifies the</w:t>
            </w:r>
            <w:r>
              <w:rPr>
                <w:sz w:val="14"/>
                <w:szCs w:val="14"/>
              </w:rPr>
              <w:t xml:space="preserve"> </w:t>
            </w:r>
            <w:r w:rsidRPr="00E46799">
              <w:rPr>
                <w:sz w:val="14"/>
                <w:szCs w:val="14"/>
              </w:rPr>
              <w:t>last year of availability under law that an</w:t>
            </w:r>
            <w:r>
              <w:rPr>
                <w:sz w:val="14"/>
                <w:szCs w:val="14"/>
              </w:rPr>
              <w:t xml:space="preserve"> </w:t>
            </w:r>
            <w:r w:rsidRPr="00E46799">
              <w:rPr>
                <w:sz w:val="14"/>
                <w:szCs w:val="14"/>
              </w:rPr>
              <w:t>account may incur new obligations for</w:t>
            </w:r>
            <w:r>
              <w:rPr>
                <w:sz w:val="14"/>
                <w:szCs w:val="14"/>
              </w:rPr>
              <w:t xml:space="preserve"> </w:t>
            </w:r>
            <w:r w:rsidRPr="00E46799">
              <w:rPr>
                <w:sz w:val="14"/>
                <w:szCs w:val="14"/>
              </w:rPr>
              <w:t>annual and multiyear TAS. The field is</w:t>
            </w:r>
            <w:r>
              <w:rPr>
                <w:sz w:val="14"/>
                <w:szCs w:val="14"/>
              </w:rPr>
              <w:t xml:space="preserve"> </w:t>
            </w:r>
            <w:r w:rsidRPr="00E46799">
              <w:rPr>
                <w:sz w:val="14"/>
                <w:szCs w:val="14"/>
              </w:rPr>
              <w:t>blank for unavailable receipt TAS and</w:t>
            </w:r>
            <w:r>
              <w:rPr>
                <w:sz w:val="14"/>
                <w:szCs w:val="14"/>
              </w:rPr>
              <w:t xml:space="preserve"> </w:t>
            </w:r>
            <w:r w:rsidRPr="00E46799">
              <w:rPr>
                <w:sz w:val="14"/>
                <w:szCs w:val="14"/>
              </w:rPr>
              <w:t>TAS that have a value for availability type</w:t>
            </w:r>
          </w:p>
        </w:tc>
        <w:tc>
          <w:tcPr>
            <w:tcW w:w="1825" w:type="dxa"/>
          </w:tcPr>
          <w:p w14:paraId="28115D9E"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3D414D8A" w14:textId="77777777" w:rsidR="0048178F" w:rsidRDefault="0048178F" w:rsidP="00D76706">
            <w:pPr>
              <w:jc w:val="center"/>
              <w:rPr>
                <w:sz w:val="14"/>
                <w:szCs w:val="14"/>
              </w:rPr>
            </w:pPr>
          </w:p>
        </w:tc>
        <w:tc>
          <w:tcPr>
            <w:tcW w:w="1044" w:type="dxa"/>
            <w:shd w:val="clear" w:color="auto" w:fill="auto"/>
          </w:tcPr>
          <w:p w14:paraId="0D488A7E" w14:textId="77777777" w:rsidR="0048178F" w:rsidRPr="008B075A" w:rsidRDefault="0048178F" w:rsidP="00D76706">
            <w:pPr>
              <w:rPr>
                <w:sz w:val="14"/>
                <w:szCs w:val="14"/>
                <w:highlight w:val="yellow"/>
              </w:rPr>
            </w:pPr>
          </w:p>
        </w:tc>
        <w:tc>
          <w:tcPr>
            <w:tcW w:w="841" w:type="dxa"/>
            <w:shd w:val="clear" w:color="auto" w:fill="auto"/>
          </w:tcPr>
          <w:p w14:paraId="32F5B1B5" w14:textId="77777777" w:rsidR="0048178F" w:rsidRPr="008B075A" w:rsidRDefault="0048178F" w:rsidP="00D76706">
            <w:pPr>
              <w:jc w:val="center"/>
              <w:rPr>
                <w:sz w:val="14"/>
                <w:szCs w:val="14"/>
                <w:highlight w:val="yellow"/>
              </w:rPr>
            </w:pPr>
            <w:r w:rsidRPr="00B61214">
              <w:rPr>
                <w:sz w:val="14"/>
                <w:szCs w:val="14"/>
              </w:rPr>
              <w:t>-</w:t>
            </w:r>
          </w:p>
        </w:tc>
      </w:tr>
      <w:tr w:rsidR="0048178F" w14:paraId="379696C9" w14:textId="77777777" w:rsidTr="00D76706">
        <w:tc>
          <w:tcPr>
            <w:tcW w:w="1818" w:type="dxa"/>
          </w:tcPr>
          <w:p w14:paraId="59711237" w14:textId="77777777" w:rsidR="0048178F" w:rsidRDefault="0048178F" w:rsidP="00D76706">
            <w:pPr>
              <w:rPr>
                <w:sz w:val="14"/>
                <w:szCs w:val="14"/>
              </w:rPr>
            </w:pPr>
            <w:r>
              <w:rPr>
                <w:sz w:val="14"/>
                <w:szCs w:val="14"/>
              </w:rPr>
              <w:t>endPOA</w:t>
            </w:r>
          </w:p>
        </w:tc>
        <w:tc>
          <w:tcPr>
            <w:tcW w:w="2880" w:type="dxa"/>
          </w:tcPr>
          <w:p w14:paraId="61D4A0D8" w14:textId="77777777" w:rsidR="0048178F" w:rsidRDefault="0048178F" w:rsidP="00D76706">
            <w:pPr>
              <w:rPr>
                <w:sz w:val="14"/>
                <w:szCs w:val="14"/>
              </w:rPr>
            </w:pPr>
            <w:r w:rsidRPr="00E46799">
              <w:rPr>
                <w:sz w:val="14"/>
                <w:szCs w:val="14"/>
              </w:rPr>
              <w:t>A component of the TAS. It identifies the</w:t>
            </w:r>
            <w:r>
              <w:rPr>
                <w:sz w:val="14"/>
                <w:szCs w:val="14"/>
              </w:rPr>
              <w:t xml:space="preserve"> </w:t>
            </w:r>
            <w:r w:rsidRPr="00E46799">
              <w:rPr>
                <w:sz w:val="14"/>
                <w:szCs w:val="14"/>
              </w:rPr>
              <w:t>last year of availability under law that an</w:t>
            </w:r>
            <w:r>
              <w:rPr>
                <w:sz w:val="14"/>
                <w:szCs w:val="14"/>
              </w:rPr>
              <w:t xml:space="preserve"> </w:t>
            </w:r>
            <w:r w:rsidRPr="00E46799">
              <w:rPr>
                <w:sz w:val="14"/>
                <w:szCs w:val="14"/>
              </w:rPr>
              <w:t>account may incur new obligations for</w:t>
            </w:r>
            <w:r>
              <w:rPr>
                <w:sz w:val="14"/>
                <w:szCs w:val="14"/>
              </w:rPr>
              <w:t xml:space="preserve"> </w:t>
            </w:r>
            <w:r w:rsidRPr="00E46799">
              <w:rPr>
                <w:sz w:val="14"/>
                <w:szCs w:val="14"/>
              </w:rPr>
              <w:t>annual and multiyear TAS. The field is</w:t>
            </w:r>
            <w:r>
              <w:rPr>
                <w:sz w:val="14"/>
                <w:szCs w:val="14"/>
              </w:rPr>
              <w:t xml:space="preserve"> </w:t>
            </w:r>
            <w:r w:rsidRPr="00E46799">
              <w:rPr>
                <w:sz w:val="14"/>
                <w:szCs w:val="14"/>
              </w:rPr>
              <w:t>blank for unavailable receipt TAS and</w:t>
            </w:r>
            <w:r>
              <w:rPr>
                <w:sz w:val="14"/>
                <w:szCs w:val="14"/>
              </w:rPr>
              <w:t xml:space="preserve"> </w:t>
            </w:r>
            <w:r w:rsidRPr="00E46799">
              <w:rPr>
                <w:sz w:val="14"/>
                <w:szCs w:val="14"/>
              </w:rPr>
              <w:t>TAS that have a value for availability type</w:t>
            </w:r>
          </w:p>
        </w:tc>
        <w:tc>
          <w:tcPr>
            <w:tcW w:w="1825" w:type="dxa"/>
          </w:tcPr>
          <w:p w14:paraId="352B68A5" w14:textId="77777777" w:rsidR="0048178F" w:rsidRPr="0050395C" w:rsidRDefault="00AA04BC" w:rsidP="00D76706">
            <w:pPr>
              <w:jc w:val="center"/>
              <w:rPr>
                <w:sz w:val="14"/>
                <w:szCs w:val="14"/>
              </w:rPr>
            </w:pPr>
            <w:r>
              <w:rPr>
                <w:sz w:val="14"/>
                <w:szCs w:val="14"/>
              </w:rPr>
              <w:t>S</w:t>
            </w:r>
            <w:r w:rsidR="0048178F">
              <w:rPr>
                <w:sz w:val="14"/>
                <w:szCs w:val="14"/>
              </w:rPr>
              <w:t>tring</w:t>
            </w:r>
          </w:p>
        </w:tc>
        <w:tc>
          <w:tcPr>
            <w:tcW w:w="1168" w:type="dxa"/>
            <w:shd w:val="clear" w:color="auto" w:fill="auto"/>
          </w:tcPr>
          <w:p w14:paraId="5D5A442D" w14:textId="77777777" w:rsidR="0048178F" w:rsidRDefault="0048178F" w:rsidP="00D76706">
            <w:pPr>
              <w:jc w:val="center"/>
              <w:rPr>
                <w:sz w:val="14"/>
                <w:szCs w:val="14"/>
              </w:rPr>
            </w:pPr>
          </w:p>
        </w:tc>
        <w:tc>
          <w:tcPr>
            <w:tcW w:w="1044" w:type="dxa"/>
            <w:shd w:val="clear" w:color="auto" w:fill="auto"/>
          </w:tcPr>
          <w:p w14:paraId="6AF66210" w14:textId="77777777" w:rsidR="0048178F" w:rsidRPr="008B075A" w:rsidRDefault="0048178F" w:rsidP="00D76706">
            <w:pPr>
              <w:rPr>
                <w:sz w:val="14"/>
                <w:szCs w:val="14"/>
                <w:highlight w:val="yellow"/>
              </w:rPr>
            </w:pPr>
          </w:p>
        </w:tc>
        <w:tc>
          <w:tcPr>
            <w:tcW w:w="841" w:type="dxa"/>
            <w:shd w:val="clear" w:color="auto" w:fill="auto"/>
          </w:tcPr>
          <w:p w14:paraId="091CF95A" w14:textId="77777777" w:rsidR="0048178F" w:rsidRPr="008B075A" w:rsidRDefault="0048178F" w:rsidP="00D76706">
            <w:pPr>
              <w:jc w:val="center"/>
              <w:rPr>
                <w:sz w:val="14"/>
                <w:szCs w:val="14"/>
                <w:highlight w:val="yellow"/>
              </w:rPr>
            </w:pPr>
            <w:r w:rsidRPr="00B61214">
              <w:rPr>
                <w:sz w:val="14"/>
                <w:szCs w:val="14"/>
              </w:rPr>
              <w:t>-</w:t>
            </w:r>
          </w:p>
        </w:tc>
      </w:tr>
      <w:tr w:rsidR="0048178F" w14:paraId="372F91E2" w14:textId="77777777" w:rsidTr="00D76706">
        <w:tc>
          <w:tcPr>
            <w:tcW w:w="1818" w:type="dxa"/>
          </w:tcPr>
          <w:p w14:paraId="2723737D" w14:textId="77777777" w:rsidR="0048178F" w:rsidRDefault="0048178F" w:rsidP="00D76706">
            <w:pPr>
              <w:rPr>
                <w:sz w:val="14"/>
                <w:szCs w:val="14"/>
              </w:rPr>
            </w:pPr>
            <w:r>
              <w:rPr>
                <w:sz w:val="14"/>
                <w:szCs w:val="14"/>
              </w:rPr>
              <w:t>availableTypeCode</w:t>
            </w:r>
          </w:p>
        </w:tc>
        <w:tc>
          <w:tcPr>
            <w:tcW w:w="2880" w:type="dxa"/>
          </w:tcPr>
          <w:p w14:paraId="16124D6B"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no-year TAS (X), clearing/suspense TAS</w:t>
            </w:r>
            <w:r>
              <w:rPr>
                <w:sz w:val="14"/>
                <w:szCs w:val="14"/>
              </w:rPr>
              <w:t xml:space="preserve"> </w:t>
            </w:r>
            <w:r w:rsidRPr="00E46799">
              <w:rPr>
                <w:sz w:val="14"/>
                <w:szCs w:val="14"/>
              </w:rPr>
              <w:t>(F), and default TAS (C). This field is</w:t>
            </w:r>
            <w:r>
              <w:rPr>
                <w:sz w:val="14"/>
                <w:szCs w:val="14"/>
              </w:rPr>
              <w:t xml:space="preserve"> </w:t>
            </w:r>
            <w:r w:rsidRPr="00E46799">
              <w:rPr>
                <w:sz w:val="14"/>
                <w:szCs w:val="14"/>
              </w:rPr>
              <w:t>blank for TAS that have periods of</w:t>
            </w:r>
            <w:r>
              <w:rPr>
                <w:sz w:val="14"/>
                <w:szCs w:val="14"/>
              </w:rPr>
              <w:t xml:space="preserve"> </w:t>
            </w:r>
            <w:r w:rsidRPr="00E46799">
              <w:rPr>
                <w:sz w:val="14"/>
                <w:szCs w:val="14"/>
              </w:rPr>
              <w:t>availability and unavailable receipt TAS.</w:t>
            </w:r>
          </w:p>
        </w:tc>
        <w:tc>
          <w:tcPr>
            <w:tcW w:w="1825" w:type="dxa"/>
          </w:tcPr>
          <w:p w14:paraId="5730AE87" w14:textId="77777777" w:rsidR="0048178F" w:rsidRDefault="0048178F" w:rsidP="00D76706">
            <w:pPr>
              <w:jc w:val="center"/>
              <w:rPr>
                <w:sz w:val="14"/>
                <w:szCs w:val="14"/>
              </w:rPr>
            </w:pPr>
            <w:r>
              <w:rPr>
                <w:sz w:val="14"/>
                <w:szCs w:val="14"/>
              </w:rPr>
              <w:t>availableTypeCodeItemType</w:t>
            </w:r>
          </w:p>
          <w:p w14:paraId="01A454C7" w14:textId="77777777" w:rsidR="0048178F" w:rsidRDefault="0048178F" w:rsidP="00D76706">
            <w:pPr>
              <w:jc w:val="center"/>
              <w:rPr>
                <w:sz w:val="14"/>
                <w:szCs w:val="14"/>
              </w:rPr>
            </w:pPr>
            <w:r>
              <w:rPr>
                <w:sz w:val="14"/>
                <w:szCs w:val="14"/>
              </w:rPr>
              <w:t>(enumeration)</w:t>
            </w:r>
          </w:p>
          <w:p w14:paraId="185500B5"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1008CBE4" w14:textId="77777777" w:rsidR="0048178F" w:rsidRDefault="0048178F" w:rsidP="00D76706">
            <w:pPr>
              <w:jc w:val="center"/>
              <w:rPr>
                <w:sz w:val="14"/>
                <w:szCs w:val="14"/>
              </w:rPr>
            </w:pPr>
            <w:r>
              <w:rPr>
                <w:sz w:val="14"/>
                <w:szCs w:val="14"/>
              </w:rPr>
              <w:t>1</w:t>
            </w:r>
          </w:p>
        </w:tc>
        <w:tc>
          <w:tcPr>
            <w:tcW w:w="1044" w:type="dxa"/>
            <w:shd w:val="clear" w:color="auto" w:fill="auto"/>
          </w:tcPr>
          <w:p w14:paraId="3C82A848" w14:textId="77777777" w:rsidR="0048178F" w:rsidRDefault="0048178F" w:rsidP="00D76706">
            <w:pPr>
              <w:rPr>
                <w:sz w:val="14"/>
                <w:szCs w:val="14"/>
              </w:rPr>
            </w:pPr>
            <w:r>
              <w:rPr>
                <w:sz w:val="14"/>
                <w:szCs w:val="14"/>
              </w:rPr>
              <w:t>C</w:t>
            </w:r>
          </w:p>
          <w:p w14:paraId="7B7EA80F" w14:textId="77777777" w:rsidR="0048178F" w:rsidRDefault="0048178F" w:rsidP="00D76706">
            <w:pPr>
              <w:rPr>
                <w:sz w:val="14"/>
                <w:szCs w:val="14"/>
              </w:rPr>
            </w:pPr>
            <w:r>
              <w:rPr>
                <w:sz w:val="14"/>
                <w:szCs w:val="14"/>
              </w:rPr>
              <w:t>F</w:t>
            </w:r>
          </w:p>
          <w:p w14:paraId="45023E23" w14:textId="77777777" w:rsidR="0048178F" w:rsidRDefault="0048178F" w:rsidP="00D76706">
            <w:pPr>
              <w:rPr>
                <w:sz w:val="14"/>
                <w:szCs w:val="14"/>
              </w:rPr>
            </w:pPr>
            <w:r>
              <w:rPr>
                <w:sz w:val="14"/>
                <w:szCs w:val="14"/>
              </w:rPr>
              <w:t>X</w:t>
            </w:r>
          </w:p>
        </w:tc>
        <w:tc>
          <w:tcPr>
            <w:tcW w:w="841" w:type="dxa"/>
            <w:shd w:val="clear" w:color="auto" w:fill="auto"/>
          </w:tcPr>
          <w:p w14:paraId="021693C5" w14:textId="77777777" w:rsidR="0048178F" w:rsidRDefault="0048178F" w:rsidP="00D76706">
            <w:pPr>
              <w:jc w:val="center"/>
              <w:rPr>
                <w:sz w:val="14"/>
                <w:szCs w:val="14"/>
              </w:rPr>
            </w:pPr>
            <w:r>
              <w:rPr>
                <w:sz w:val="14"/>
                <w:szCs w:val="14"/>
              </w:rPr>
              <w:t>-</w:t>
            </w:r>
          </w:p>
        </w:tc>
      </w:tr>
      <w:tr w:rsidR="0048178F" w14:paraId="43CB451F" w14:textId="77777777" w:rsidTr="00D76706">
        <w:tc>
          <w:tcPr>
            <w:tcW w:w="1818" w:type="dxa"/>
          </w:tcPr>
          <w:p w14:paraId="36FC501D" w14:textId="77777777" w:rsidR="0048178F" w:rsidRDefault="0048178F" w:rsidP="00D76706">
            <w:pPr>
              <w:rPr>
                <w:sz w:val="14"/>
                <w:szCs w:val="14"/>
              </w:rPr>
            </w:pPr>
            <w:r>
              <w:rPr>
                <w:sz w:val="14"/>
                <w:szCs w:val="14"/>
              </w:rPr>
              <w:t>mainAccount</w:t>
            </w:r>
          </w:p>
        </w:tc>
        <w:tc>
          <w:tcPr>
            <w:tcW w:w="2880" w:type="dxa"/>
          </w:tcPr>
          <w:p w14:paraId="089A3E2F"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the type and purpose of the fund. This</w:t>
            </w:r>
            <w:r>
              <w:rPr>
                <w:sz w:val="14"/>
                <w:szCs w:val="14"/>
              </w:rPr>
              <w:t xml:space="preserve"> </w:t>
            </w:r>
            <w:r w:rsidRPr="00E46799">
              <w:rPr>
                <w:sz w:val="14"/>
                <w:szCs w:val="14"/>
              </w:rPr>
              <w:t>field cannot be blank.</w:t>
            </w:r>
          </w:p>
        </w:tc>
        <w:tc>
          <w:tcPr>
            <w:tcW w:w="1825" w:type="dxa"/>
          </w:tcPr>
          <w:p w14:paraId="205035CB"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402C605F" w14:textId="77777777" w:rsidR="0048178F" w:rsidRDefault="0048178F" w:rsidP="00D76706">
            <w:pPr>
              <w:jc w:val="center"/>
              <w:rPr>
                <w:sz w:val="14"/>
                <w:szCs w:val="14"/>
              </w:rPr>
            </w:pPr>
          </w:p>
        </w:tc>
        <w:tc>
          <w:tcPr>
            <w:tcW w:w="1044" w:type="dxa"/>
            <w:shd w:val="clear" w:color="auto" w:fill="auto"/>
          </w:tcPr>
          <w:p w14:paraId="0179FC20" w14:textId="77777777" w:rsidR="0048178F" w:rsidRDefault="00004AA2" w:rsidP="00D76706">
            <w:pPr>
              <w:rPr>
                <w:sz w:val="14"/>
                <w:szCs w:val="14"/>
              </w:rPr>
            </w:pPr>
            <w:r>
              <w:rPr>
                <w:sz w:val="14"/>
                <w:szCs w:val="14"/>
              </w:rPr>
              <w:t>0</w:t>
            </w:r>
            <w:r w:rsidR="0048178F" w:rsidRPr="00C8616C">
              <w:rPr>
                <w:sz w:val="14"/>
                <w:szCs w:val="14"/>
              </w:rPr>
              <w:t>310</w:t>
            </w:r>
          </w:p>
        </w:tc>
        <w:tc>
          <w:tcPr>
            <w:tcW w:w="841" w:type="dxa"/>
            <w:shd w:val="clear" w:color="auto" w:fill="auto"/>
          </w:tcPr>
          <w:p w14:paraId="3FCA0269" w14:textId="77777777" w:rsidR="0048178F" w:rsidRDefault="0048178F" w:rsidP="00D76706">
            <w:pPr>
              <w:jc w:val="center"/>
              <w:rPr>
                <w:sz w:val="14"/>
                <w:szCs w:val="14"/>
              </w:rPr>
            </w:pPr>
            <w:r>
              <w:rPr>
                <w:sz w:val="14"/>
                <w:szCs w:val="14"/>
              </w:rPr>
              <w:t>-</w:t>
            </w:r>
          </w:p>
        </w:tc>
      </w:tr>
      <w:tr w:rsidR="0048178F" w14:paraId="0CD266DD" w14:textId="77777777" w:rsidTr="00D76706">
        <w:tc>
          <w:tcPr>
            <w:tcW w:w="1818" w:type="dxa"/>
          </w:tcPr>
          <w:p w14:paraId="6827866F" w14:textId="77777777" w:rsidR="0048178F" w:rsidRDefault="0048178F" w:rsidP="00D76706">
            <w:pPr>
              <w:rPr>
                <w:sz w:val="14"/>
                <w:szCs w:val="14"/>
              </w:rPr>
            </w:pPr>
            <w:r>
              <w:rPr>
                <w:sz w:val="14"/>
                <w:szCs w:val="14"/>
              </w:rPr>
              <w:t>subAccount</w:t>
            </w:r>
          </w:p>
        </w:tc>
        <w:tc>
          <w:tcPr>
            <w:tcW w:w="2880" w:type="dxa"/>
          </w:tcPr>
          <w:p w14:paraId="4F5D37CD" w14:textId="77777777" w:rsidR="0048178F" w:rsidRDefault="0048178F" w:rsidP="00D76706">
            <w:pPr>
              <w:rPr>
                <w:sz w:val="14"/>
                <w:szCs w:val="14"/>
              </w:rPr>
            </w:pPr>
            <w:r w:rsidRPr="00E46799">
              <w:rPr>
                <w:sz w:val="14"/>
                <w:szCs w:val="14"/>
              </w:rPr>
              <w:t>This is a component of the TAS. Identifies</w:t>
            </w:r>
            <w:r>
              <w:rPr>
                <w:sz w:val="14"/>
                <w:szCs w:val="14"/>
              </w:rPr>
              <w:t xml:space="preserve"> </w:t>
            </w:r>
            <w:r w:rsidRPr="00E46799">
              <w:rPr>
                <w:sz w:val="14"/>
                <w:szCs w:val="14"/>
              </w:rPr>
              <w:t>an available receipt or other Treasury-defined subdivision of the main account.</w:t>
            </w:r>
            <w:r>
              <w:rPr>
                <w:sz w:val="14"/>
                <w:szCs w:val="14"/>
              </w:rPr>
              <w:t xml:space="preserve"> </w:t>
            </w:r>
            <w:r w:rsidRPr="00E46799">
              <w:rPr>
                <w:sz w:val="14"/>
                <w:szCs w:val="14"/>
              </w:rPr>
              <w:t>This field cannot be blank. Subaccount</w:t>
            </w:r>
            <w:r>
              <w:rPr>
                <w:sz w:val="14"/>
                <w:szCs w:val="14"/>
              </w:rPr>
              <w:t xml:space="preserve"> </w:t>
            </w:r>
            <w:r w:rsidRPr="00E46799">
              <w:rPr>
                <w:sz w:val="14"/>
                <w:szCs w:val="14"/>
              </w:rPr>
              <w:t>000 indicates that there is no</w:t>
            </w:r>
            <w:r>
              <w:rPr>
                <w:sz w:val="14"/>
                <w:szCs w:val="14"/>
              </w:rPr>
              <w:t xml:space="preserve"> </w:t>
            </w:r>
            <w:r w:rsidRPr="00E46799">
              <w:rPr>
                <w:sz w:val="14"/>
                <w:szCs w:val="14"/>
              </w:rPr>
              <w:t>subaccount.</w:t>
            </w:r>
          </w:p>
        </w:tc>
        <w:tc>
          <w:tcPr>
            <w:tcW w:w="1825" w:type="dxa"/>
          </w:tcPr>
          <w:p w14:paraId="46328764"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1B80F1F4" w14:textId="77777777" w:rsidR="0048178F" w:rsidRDefault="0048178F" w:rsidP="00D76706">
            <w:pPr>
              <w:jc w:val="center"/>
              <w:rPr>
                <w:sz w:val="14"/>
                <w:szCs w:val="14"/>
              </w:rPr>
            </w:pPr>
          </w:p>
        </w:tc>
        <w:tc>
          <w:tcPr>
            <w:tcW w:w="1044" w:type="dxa"/>
            <w:shd w:val="clear" w:color="auto" w:fill="auto"/>
          </w:tcPr>
          <w:p w14:paraId="3CCEE353" w14:textId="77777777" w:rsidR="0048178F" w:rsidRDefault="0048178F" w:rsidP="00D76706">
            <w:pPr>
              <w:rPr>
                <w:sz w:val="14"/>
                <w:szCs w:val="14"/>
              </w:rPr>
            </w:pPr>
            <w:r>
              <w:rPr>
                <w:sz w:val="14"/>
                <w:szCs w:val="14"/>
              </w:rPr>
              <w:t>0</w:t>
            </w:r>
          </w:p>
        </w:tc>
        <w:tc>
          <w:tcPr>
            <w:tcW w:w="841" w:type="dxa"/>
            <w:shd w:val="clear" w:color="auto" w:fill="auto"/>
          </w:tcPr>
          <w:p w14:paraId="67F3BE24" w14:textId="77777777" w:rsidR="0048178F" w:rsidRDefault="0048178F" w:rsidP="00D76706">
            <w:pPr>
              <w:jc w:val="center"/>
              <w:rPr>
                <w:sz w:val="14"/>
                <w:szCs w:val="14"/>
              </w:rPr>
            </w:pPr>
            <w:r>
              <w:rPr>
                <w:sz w:val="14"/>
                <w:szCs w:val="14"/>
              </w:rPr>
              <w:t>-</w:t>
            </w:r>
          </w:p>
        </w:tc>
      </w:tr>
      <w:tr w:rsidR="0048178F" w14:paraId="2D28D718" w14:textId="77777777" w:rsidTr="00D76706">
        <w:tc>
          <w:tcPr>
            <w:tcW w:w="1818" w:type="dxa"/>
          </w:tcPr>
          <w:p w14:paraId="7EC0E274" w14:textId="77777777" w:rsidR="0048178F" w:rsidRDefault="0048178F" w:rsidP="00D76706">
            <w:pPr>
              <w:rPr>
                <w:sz w:val="14"/>
                <w:szCs w:val="14"/>
              </w:rPr>
            </w:pPr>
            <w:r>
              <w:rPr>
                <w:sz w:val="14"/>
                <w:szCs w:val="14"/>
              </w:rPr>
              <w:t>beaCategoryCode</w:t>
            </w:r>
          </w:p>
        </w:tc>
        <w:tc>
          <w:tcPr>
            <w:tcW w:w="2880" w:type="dxa"/>
          </w:tcPr>
          <w:p w14:paraId="48BC88DB" w14:textId="77777777" w:rsidR="0048178F" w:rsidRPr="00E46799" w:rsidRDefault="0048178F" w:rsidP="00D76706">
            <w:pPr>
              <w:rPr>
                <w:sz w:val="14"/>
                <w:szCs w:val="14"/>
              </w:rPr>
            </w:pPr>
            <w:r w:rsidRPr="00E46799">
              <w:rPr>
                <w:sz w:val="14"/>
                <w:szCs w:val="14"/>
              </w:rPr>
              <w:t>Budget Enforcement Act Code indicates if budget authority</w:t>
            </w:r>
            <w:r>
              <w:rPr>
                <w:sz w:val="14"/>
                <w:szCs w:val="14"/>
              </w:rPr>
              <w:t xml:space="preserve"> </w:t>
            </w:r>
            <w:r w:rsidRPr="00E46799">
              <w:rPr>
                <w:sz w:val="14"/>
                <w:szCs w:val="14"/>
              </w:rPr>
              <w:t>and outlays are controlled by annual appropriation acts</w:t>
            </w:r>
            <w:r>
              <w:rPr>
                <w:sz w:val="14"/>
                <w:szCs w:val="14"/>
              </w:rPr>
              <w:t xml:space="preserve"> </w:t>
            </w:r>
            <w:r w:rsidRPr="00E46799">
              <w:rPr>
                <w:sz w:val="14"/>
                <w:szCs w:val="14"/>
              </w:rPr>
              <w:t>(discretionary) or by permanent laws (mandatory).</w:t>
            </w:r>
          </w:p>
        </w:tc>
        <w:tc>
          <w:tcPr>
            <w:tcW w:w="1825" w:type="dxa"/>
          </w:tcPr>
          <w:p w14:paraId="03DB1832" w14:textId="77777777" w:rsidR="0048178F" w:rsidRDefault="0048178F" w:rsidP="00D76706">
            <w:pPr>
              <w:jc w:val="center"/>
              <w:rPr>
                <w:sz w:val="14"/>
                <w:szCs w:val="14"/>
              </w:rPr>
            </w:pPr>
            <w:r>
              <w:rPr>
                <w:sz w:val="14"/>
                <w:szCs w:val="14"/>
              </w:rPr>
              <w:t>beaCategoryCodeItemType</w:t>
            </w:r>
          </w:p>
          <w:p w14:paraId="073BF974" w14:textId="77777777" w:rsidR="0048178F" w:rsidRPr="0050395C" w:rsidRDefault="0048178F" w:rsidP="00D76706">
            <w:pPr>
              <w:jc w:val="center"/>
              <w:rPr>
                <w:sz w:val="14"/>
                <w:szCs w:val="14"/>
              </w:rPr>
            </w:pPr>
            <w:r>
              <w:rPr>
                <w:sz w:val="14"/>
                <w:szCs w:val="14"/>
              </w:rPr>
              <w:t>(enumeration)</w:t>
            </w:r>
          </w:p>
        </w:tc>
        <w:tc>
          <w:tcPr>
            <w:tcW w:w="1168" w:type="dxa"/>
            <w:shd w:val="clear" w:color="auto" w:fill="auto"/>
          </w:tcPr>
          <w:p w14:paraId="22DD8EF7" w14:textId="77777777" w:rsidR="0048178F" w:rsidRDefault="0048178F" w:rsidP="00D76706">
            <w:pPr>
              <w:jc w:val="center"/>
              <w:rPr>
                <w:sz w:val="14"/>
                <w:szCs w:val="14"/>
              </w:rPr>
            </w:pPr>
            <w:r>
              <w:rPr>
                <w:sz w:val="14"/>
                <w:szCs w:val="14"/>
              </w:rPr>
              <w:t>1</w:t>
            </w:r>
          </w:p>
        </w:tc>
        <w:tc>
          <w:tcPr>
            <w:tcW w:w="1044" w:type="dxa"/>
            <w:shd w:val="clear" w:color="auto" w:fill="auto"/>
          </w:tcPr>
          <w:p w14:paraId="28C25992" w14:textId="77777777" w:rsidR="0048178F" w:rsidRDefault="0048178F" w:rsidP="00D76706">
            <w:pPr>
              <w:rPr>
                <w:sz w:val="14"/>
                <w:szCs w:val="14"/>
              </w:rPr>
            </w:pPr>
            <w:r>
              <w:rPr>
                <w:sz w:val="14"/>
                <w:szCs w:val="14"/>
              </w:rPr>
              <w:t>D</w:t>
            </w:r>
          </w:p>
          <w:p w14:paraId="42F30696" w14:textId="77777777" w:rsidR="0048178F" w:rsidRDefault="0048178F" w:rsidP="00D76706">
            <w:pPr>
              <w:rPr>
                <w:sz w:val="14"/>
                <w:szCs w:val="14"/>
              </w:rPr>
            </w:pPr>
            <w:r>
              <w:rPr>
                <w:sz w:val="14"/>
                <w:szCs w:val="14"/>
              </w:rPr>
              <w:t>S</w:t>
            </w:r>
          </w:p>
        </w:tc>
        <w:tc>
          <w:tcPr>
            <w:tcW w:w="841" w:type="dxa"/>
            <w:shd w:val="clear" w:color="auto" w:fill="auto"/>
          </w:tcPr>
          <w:p w14:paraId="00508C73" w14:textId="77777777" w:rsidR="0048178F" w:rsidRDefault="0048178F" w:rsidP="00D76706">
            <w:pPr>
              <w:jc w:val="center"/>
              <w:rPr>
                <w:sz w:val="14"/>
                <w:szCs w:val="14"/>
              </w:rPr>
            </w:pPr>
            <w:r>
              <w:rPr>
                <w:sz w:val="14"/>
                <w:szCs w:val="14"/>
              </w:rPr>
              <w:t>-</w:t>
            </w:r>
          </w:p>
        </w:tc>
      </w:tr>
      <w:tr w:rsidR="0048178F" w14:paraId="4EE0D0B3" w14:textId="77777777" w:rsidTr="00D76706">
        <w:tc>
          <w:tcPr>
            <w:tcW w:w="1818" w:type="dxa"/>
          </w:tcPr>
          <w:p w14:paraId="12D079DB" w14:textId="77777777" w:rsidR="0048178F" w:rsidRDefault="0048178F" w:rsidP="00D76706">
            <w:pPr>
              <w:rPr>
                <w:sz w:val="14"/>
                <w:szCs w:val="14"/>
              </w:rPr>
            </w:pPr>
            <w:r>
              <w:rPr>
                <w:sz w:val="14"/>
                <w:szCs w:val="14"/>
              </w:rPr>
              <w:t>budgetAgency</w:t>
            </w:r>
          </w:p>
        </w:tc>
        <w:tc>
          <w:tcPr>
            <w:tcW w:w="2880" w:type="dxa"/>
          </w:tcPr>
          <w:p w14:paraId="62DF8905" w14:textId="77777777" w:rsidR="0048178F" w:rsidRDefault="0048178F" w:rsidP="00D76706">
            <w:pPr>
              <w:rPr>
                <w:sz w:val="14"/>
                <w:szCs w:val="14"/>
              </w:rPr>
            </w:pPr>
            <w:r w:rsidRPr="00E46799">
              <w:rPr>
                <w:sz w:val="14"/>
                <w:szCs w:val="14"/>
              </w:rPr>
              <w:t>Identifies a department, agen</w:t>
            </w:r>
            <w:r>
              <w:rPr>
                <w:sz w:val="14"/>
                <w:szCs w:val="14"/>
              </w:rPr>
              <w:t xml:space="preserve">cy or establishment of the U.S. </w:t>
            </w:r>
            <w:r w:rsidRPr="00E46799">
              <w:rPr>
                <w:sz w:val="14"/>
                <w:szCs w:val="14"/>
              </w:rPr>
              <w:t>Government that is resp</w:t>
            </w:r>
            <w:r>
              <w:rPr>
                <w:sz w:val="14"/>
                <w:szCs w:val="14"/>
              </w:rPr>
              <w:t xml:space="preserve">onsible for the budget account. </w:t>
            </w:r>
            <w:r w:rsidRPr="00E46799">
              <w:rPr>
                <w:sz w:val="14"/>
                <w:szCs w:val="14"/>
              </w:rPr>
              <w:t xml:space="preserve">This is the same as the Agency </w:t>
            </w:r>
            <w:r>
              <w:rPr>
                <w:sz w:val="14"/>
                <w:szCs w:val="14"/>
              </w:rPr>
              <w:t xml:space="preserve">Identifier shown as part of the </w:t>
            </w:r>
            <w:r w:rsidRPr="00E46799">
              <w:rPr>
                <w:sz w:val="14"/>
                <w:szCs w:val="14"/>
              </w:rPr>
              <w:t>TAS</w:t>
            </w:r>
          </w:p>
        </w:tc>
        <w:tc>
          <w:tcPr>
            <w:tcW w:w="1825" w:type="dxa"/>
          </w:tcPr>
          <w:p w14:paraId="34986314"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551DBD12" w14:textId="77777777" w:rsidR="0048178F" w:rsidRDefault="0048178F" w:rsidP="00D76706">
            <w:pPr>
              <w:jc w:val="center"/>
              <w:rPr>
                <w:sz w:val="14"/>
                <w:szCs w:val="14"/>
              </w:rPr>
            </w:pPr>
          </w:p>
        </w:tc>
        <w:tc>
          <w:tcPr>
            <w:tcW w:w="1044" w:type="dxa"/>
            <w:shd w:val="clear" w:color="auto" w:fill="auto"/>
          </w:tcPr>
          <w:p w14:paraId="70EB4E54" w14:textId="77777777" w:rsidR="0048178F" w:rsidRDefault="0048178F" w:rsidP="00D76706">
            <w:pPr>
              <w:rPr>
                <w:sz w:val="14"/>
                <w:szCs w:val="14"/>
              </w:rPr>
            </w:pPr>
            <w:r>
              <w:rPr>
                <w:sz w:val="14"/>
                <w:szCs w:val="14"/>
              </w:rPr>
              <w:t>15</w:t>
            </w:r>
          </w:p>
        </w:tc>
        <w:tc>
          <w:tcPr>
            <w:tcW w:w="841" w:type="dxa"/>
            <w:shd w:val="clear" w:color="auto" w:fill="auto"/>
          </w:tcPr>
          <w:p w14:paraId="0E28D0D9" w14:textId="77777777" w:rsidR="0048178F" w:rsidRDefault="0048178F" w:rsidP="00D76706">
            <w:pPr>
              <w:jc w:val="center"/>
              <w:rPr>
                <w:sz w:val="14"/>
                <w:szCs w:val="14"/>
              </w:rPr>
            </w:pPr>
            <w:r>
              <w:rPr>
                <w:sz w:val="14"/>
                <w:szCs w:val="14"/>
              </w:rPr>
              <w:t>-</w:t>
            </w:r>
          </w:p>
        </w:tc>
      </w:tr>
      <w:tr w:rsidR="0048178F" w14:paraId="55926404" w14:textId="77777777" w:rsidTr="00D76706">
        <w:tc>
          <w:tcPr>
            <w:tcW w:w="1818" w:type="dxa"/>
          </w:tcPr>
          <w:p w14:paraId="21B341E4" w14:textId="77777777" w:rsidR="0048178F" w:rsidRDefault="0048178F" w:rsidP="00D76706">
            <w:pPr>
              <w:rPr>
                <w:sz w:val="14"/>
                <w:szCs w:val="14"/>
              </w:rPr>
            </w:pPr>
            <w:r>
              <w:rPr>
                <w:sz w:val="14"/>
                <w:szCs w:val="14"/>
              </w:rPr>
              <w:t>budgetBureau</w:t>
            </w:r>
          </w:p>
        </w:tc>
        <w:tc>
          <w:tcPr>
            <w:tcW w:w="2880" w:type="dxa"/>
          </w:tcPr>
          <w:p w14:paraId="74F379A7" w14:textId="77777777" w:rsidR="0048178F" w:rsidRDefault="0048178F" w:rsidP="00D76706">
            <w:pPr>
              <w:rPr>
                <w:sz w:val="14"/>
                <w:szCs w:val="14"/>
              </w:rPr>
            </w:pPr>
            <w:r w:rsidRPr="00E46799">
              <w:rPr>
                <w:sz w:val="14"/>
                <w:szCs w:val="14"/>
              </w:rPr>
              <w:t>A Budget Bureau is an organizational unit within a Budget</w:t>
            </w:r>
            <w:r>
              <w:rPr>
                <w:sz w:val="14"/>
                <w:szCs w:val="14"/>
              </w:rPr>
              <w:t xml:space="preserve"> </w:t>
            </w:r>
            <w:r w:rsidRPr="00E46799">
              <w:rPr>
                <w:sz w:val="14"/>
                <w:szCs w:val="14"/>
              </w:rPr>
              <w:t>Agency and consists of one or</w:t>
            </w:r>
            <w:r>
              <w:rPr>
                <w:sz w:val="14"/>
                <w:szCs w:val="14"/>
              </w:rPr>
              <w:t xml:space="preserve"> more accounts for presentation </w:t>
            </w:r>
            <w:r w:rsidRPr="00E46799">
              <w:rPr>
                <w:sz w:val="14"/>
                <w:szCs w:val="14"/>
              </w:rPr>
              <w:t>in the President's Budget.</w:t>
            </w:r>
          </w:p>
        </w:tc>
        <w:tc>
          <w:tcPr>
            <w:tcW w:w="1825" w:type="dxa"/>
          </w:tcPr>
          <w:p w14:paraId="3B8EF3DB"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762DD985" w14:textId="77777777" w:rsidR="0048178F" w:rsidRDefault="0048178F" w:rsidP="00D76706">
            <w:pPr>
              <w:jc w:val="center"/>
              <w:rPr>
                <w:sz w:val="14"/>
                <w:szCs w:val="14"/>
              </w:rPr>
            </w:pPr>
          </w:p>
        </w:tc>
        <w:tc>
          <w:tcPr>
            <w:tcW w:w="1044" w:type="dxa"/>
            <w:shd w:val="clear" w:color="auto" w:fill="auto"/>
          </w:tcPr>
          <w:p w14:paraId="57FEAFA9" w14:textId="77777777" w:rsidR="0048178F" w:rsidRDefault="0048178F" w:rsidP="00D76706">
            <w:pPr>
              <w:rPr>
                <w:sz w:val="14"/>
                <w:szCs w:val="14"/>
              </w:rPr>
            </w:pPr>
            <w:r>
              <w:rPr>
                <w:sz w:val="14"/>
                <w:szCs w:val="14"/>
              </w:rPr>
              <w:t>0</w:t>
            </w:r>
          </w:p>
        </w:tc>
        <w:tc>
          <w:tcPr>
            <w:tcW w:w="841" w:type="dxa"/>
            <w:shd w:val="clear" w:color="auto" w:fill="auto"/>
          </w:tcPr>
          <w:p w14:paraId="60A5D968" w14:textId="77777777" w:rsidR="0048178F" w:rsidRDefault="0048178F" w:rsidP="00D76706">
            <w:pPr>
              <w:jc w:val="center"/>
              <w:rPr>
                <w:sz w:val="14"/>
                <w:szCs w:val="14"/>
              </w:rPr>
            </w:pPr>
            <w:r>
              <w:rPr>
                <w:sz w:val="14"/>
                <w:szCs w:val="14"/>
              </w:rPr>
              <w:t>-</w:t>
            </w:r>
          </w:p>
        </w:tc>
      </w:tr>
      <w:tr w:rsidR="0048178F" w14:paraId="2347C61B" w14:textId="77777777" w:rsidTr="00D76706">
        <w:tc>
          <w:tcPr>
            <w:tcW w:w="1818" w:type="dxa"/>
          </w:tcPr>
          <w:p w14:paraId="6C13C33E" w14:textId="77777777" w:rsidR="0048178F" w:rsidRDefault="0048178F" w:rsidP="00D76706">
            <w:pPr>
              <w:rPr>
                <w:sz w:val="14"/>
                <w:szCs w:val="14"/>
              </w:rPr>
            </w:pPr>
            <w:r>
              <w:rPr>
                <w:sz w:val="14"/>
                <w:szCs w:val="14"/>
              </w:rPr>
              <w:t>budgetSubFunction</w:t>
            </w:r>
          </w:p>
        </w:tc>
        <w:tc>
          <w:tcPr>
            <w:tcW w:w="2880" w:type="dxa"/>
          </w:tcPr>
          <w:p w14:paraId="4D3620E7" w14:textId="77777777" w:rsidR="0048178F" w:rsidRDefault="0048178F" w:rsidP="00D76706">
            <w:pPr>
              <w:rPr>
                <w:sz w:val="14"/>
                <w:szCs w:val="14"/>
              </w:rPr>
            </w:pPr>
            <w:r w:rsidRPr="00E46799">
              <w:rPr>
                <w:sz w:val="14"/>
                <w:szCs w:val="14"/>
              </w:rPr>
              <w:t>OMB assigns each expenditure</w:t>
            </w:r>
            <w:r>
              <w:rPr>
                <w:sz w:val="14"/>
                <w:szCs w:val="14"/>
              </w:rPr>
              <w:t xml:space="preserve"> and offsetting receipt account </w:t>
            </w:r>
            <w:r w:rsidRPr="00E46799">
              <w:rPr>
                <w:sz w:val="14"/>
                <w:szCs w:val="14"/>
              </w:rPr>
              <w:t>a three-digit code that co</w:t>
            </w:r>
            <w:r>
              <w:rPr>
                <w:sz w:val="14"/>
                <w:szCs w:val="14"/>
              </w:rPr>
              <w:t>rresponds to the account's sub-</w:t>
            </w:r>
            <w:r w:rsidRPr="00E46799">
              <w:rPr>
                <w:sz w:val="14"/>
                <w:szCs w:val="14"/>
              </w:rPr>
              <w:t xml:space="preserve">functional classification </w:t>
            </w:r>
            <w:r>
              <w:rPr>
                <w:sz w:val="14"/>
                <w:szCs w:val="14"/>
              </w:rPr>
              <w:t xml:space="preserve">(e.g., national defense, income </w:t>
            </w:r>
            <w:r w:rsidRPr="00E46799">
              <w:rPr>
                <w:sz w:val="14"/>
                <w:szCs w:val="14"/>
              </w:rPr>
              <w:t>security, agricu</w:t>
            </w:r>
            <w:r>
              <w:rPr>
                <w:sz w:val="14"/>
                <w:szCs w:val="14"/>
              </w:rPr>
              <w:t xml:space="preserve">lture). </w:t>
            </w:r>
            <w:r w:rsidRPr="00E46799">
              <w:rPr>
                <w:sz w:val="14"/>
                <w:szCs w:val="14"/>
              </w:rPr>
              <w:t>Annually, OMB consu</w:t>
            </w:r>
            <w:r>
              <w:rPr>
                <w:sz w:val="14"/>
                <w:szCs w:val="14"/>
              </w:rPr>
              <w:t xml:space="preserve">lts with CBO and other relevant </w:t>
            </w:r>
            <w:r w:rsidRPr="00E46799">
              <w:rPr>
                <w:sz w:val="14"/>
                <w:szCs w:val="14"/>
              </w:rPr>
              <w:t>budget and appropriation co</w:t>
            </w:r>
            <w:r>
              <w:rPr>
                <w:sz w:val="14"/>
                <w:szCs w:val="14"/>
              </w:rPr>
              <w:t xml:space="preserve">mmittee staff members regarding </w:t>
            </w:r>
            <w:r w:rsidRPr="00E46799">
              <w:rPr>
                <w:sz w:val="14"/>
                <w:szCs w:val="14"/>
              </w:rPr>
              <w:t>functional and sub-functiona</w:t>
            </w:r>
            <w:r>
              <w:rPr>
                <w:sz w:val="14"/>
                <w:szCs w:val="14"/>
              </w:rPr>
              <w:t xml:space="preserve">l classification. This process, </w:t>
            </w:r>
            <w:r w:rsidRPr="00E46799">
              <w:rPr>
                <w:sz w:val="14"/>
                <w:szCs w:val="14"/>
              </w:rPr>
              <w:t>which is required by statute</w:t>
            </w:r>
            <w:r>
              <w:rPr>
                <w:sz w:val="14"/>
                <w:szCs w:val="14"/>
              </w:rPr>
              <w:t xml:space="preserve">, typically occurs from October </w:t>
            </w:r>
            <w:r w:rsidRPr="00E46799">
              <w:rPr>
                <w:sz w:val="14"/>
                <w:szCs w:val="14"/>
              </w:rPr>
              <w:t>through December.</w:t>
            </w:r>
          </w:p>
        </w:tc>
        <w:tc>
          <w:tcPr>
            <w:tcW w:w="1825" w:type="dxa"/>
          </w:tcPr>
          <w:p w14:paraId="30990FAA" w14:textId="77777777" w:rsidR="0048178F" w:rsidRPr="0050395C" w:rsidRDefault="0048178F" w:rsidP="00D76706">
            <w:pPr>
              <w:jc w:val="center"/>
              <w:rPr>
                <w:sz w:val="14"/>
                <w:szCs w:val="14"/>
              </w:rPr>
            </w:pPr>
            <w:r>
              <w:rPr>
                <w:sz w:val="14"/>
                <w:szCs w:val="14"/>
              </w:rPr>
              <w:t>string</w:t>
            </w:r>
          </w:p>
        </w:tc>
        <w:tc>
          <w:tcPr>
            <w:tcW w:w="1168" w:type="dxa"/>
            <w:shd w:val="clear" w:color="auto" w:fill="auto"/>
          </w:tcPr>
          <w:p w14:paraId="7AFACD1D" w14:textId="77777777" w:rsidR="0048178F" w:rsidRDefault="0048178F" w:rsidP="00D76706">
            <w:pPr>
              <w:jc w:val="center"/>
              <w:rPr>
                <w:sz w:val="14"/>
                <w:szCs w:val="14"/>
              </w:rPr>
            </w:pPr>
          </w:p>
        </w:tc>
        <w:tc>
          <w:tcPr>
            <w:tcW w:w="1044" w:type="dxa"/>
            <w:shd w:val="clear" w:color="auto" w:fill="auto"/>
          </w:tcPr>
          <w:p w14:paraId="029BC202" w14:textId="77777777" w:rsidR="0048178F" w:rsidRDefault="0048178F" w:rsidP="00D76706">
            <w:pPr>
              <w:rPr>
                <w:sz w:val="14"/>
                <w:szCs w:val="14"/>
              </w:rPr>
            </w:pPr>
            <w:r>
              <w:rPr>
                <w:sz w:val="14"/>
                <w:szCs w:val="14"/>
              </w:rPr>
              <w:t>0</w:t>
            </w:r>
          </w:p>
        </w:tc>
        <w:tc>
          <w:tcPr>
            <w:tcW w:w="841" w:type="dxa"/>
            <w:shd w:val="clear" w:color="auto" w:fill="auto"/>
          </w:tcPr>
          <w:p w14:paraId="2C6E6C91" w14:textId="77777777" w:rsidR="0048178F" w:rsidRDefault="0048178F" w:rsidP="00D76706">
            <w:pPr>
              <w:jc w:val="center"/>
              <w:rPr>
                <w:sz w:val="14"/>
                <w:szCs w:val="14"/>
              </w:rPr>
            </w:pPr>
            <w:r>
              <w:rPr>
                <w:sz w:val="14"/>
                <w:szCs w:val="14"/>
              </w:rPr>
              <w:t>-</w:t>
            </w:r>
          </w:p>
        </w:tc>
      </w:tr>
    </w:tbl>
    <w:p w14:paraId="1387B29B" w14:textId="77777777" w:rsidR="0048178F" w:rsidRPr="000B5E2C" w:rsidRDefault="0048178F" w:rsidP="0048178F"/>
    <w:p w14:paraId="57DBB202" w14:textId="77777777" w:rsidR="0048178F" w:rsidRDefault="0048178F" w:rsidP="0048178F">
      <w:pPr>
        <w:pStyle w:val="Heading4"/>
        <w:numPr>
          <w:ilvl w:val="3"/>
          <w:numId w:val="1"/>
        </w:numPr>
      </w:pPr>
      <w:bookmarkStart w:id="3" w:name="_Type:USSGLentryDetail"/>
      <w:bookmarkEnd w:id="3"/>
      <w:r>
        <w:t>USSGL Entry Detail</w:t>
      </w:r>
    </w:p>
    <w:p w14:paraId="2248DE6E" w14:textId="77777777" w:rsidR="0048178F" w:rsidRPr="008A45C7" w:rsidRDefault="0048178F" w:rsidP="0048178F">
      <w:pPr>
        <w:pStyle w:val="IntenseQuote"/>
      </w:pPr>
      <w:r>
        <w:t>Element: USSEntryDetail</w:t>
      </w:r>
    </w:p>
    <w:p w14:paraId="6089E46C" w14:textId="77777777" w:rsidR="0048178F" w:rsidRPr="00EC18BD" w:rsidRDefault="004D183F" w:rsidP="004D183F">
      <w:pPr>
        <w:pStyle w:val="IntenseQuote"/>
      </w:pPr>
      <w:r>
        <w:t>Proposed Type: complex</w:t>
      </w:r>
    </w:p>
    <w:tbl>
      <w:tblPr>
        <w:tblStyle w:val="TableGrid"/>
        <w:tblpPr w:leftFromText="180" w:rightFromText="180" w:vertAnchor="text" w:horzAnchor="margin" w:tblpY="233"/>
        <w:tblW w:w="0" w:type="auto"/>
        <w:tblLayout w:type="fixed"/>
        <w:tblLook w:val="04A0" w:firstRow="1" w:lastRow="0" w:firstColumn="1" w:lastColumn="0" w:noHBand="0" w:noVBand="1"/>
      </w:tblPr>
      <w:tblGrid>
        <w:gridCol w:w="1818"/>
        <w:gridCol w:w="2880"/>
        <w:gridCol w:w="1800"/>
        <w:gridCol w:w="1170"/>
        <w:gridCol w:w="1080"/>
        <w:gridCol w:w="828"/>
      </w:tblGrid>
      <w:tr w:rsidR="0048178F" w14:paraId="1A6117F5" w14:textId="77777777" w:rsidTr="00D76706">
        <w:tc>
          <w:tcPr>
            <w:tcW w:w="1818" w:type="dxa"/>
          </w:tcPr>
          <w:p w14:paraId="250CE17F" w14:textId="77777777" w:rsidR="0048178F" w:rsidRDefault="0048178F" w:rsidP="00D76706">
            <w:pPr>
              <w:rPr>
                <w:sz w:val="14"/>
                <w:szCs w:val="14"/>
              </w:rPr>
            </w:pPr>
            <w:r w:rsidRPr="00891476">
              <w:rPr>
                <w:b/>
                <w:sz w:val="14"/>
                <w:szCs w:val="14"/>
              </w:rPr>
              <w:t>Data Element</w:t>
            </w:r>
          </w:p>
        </w:tc>
        <w:tc>
          <w:tcPr>
            <w:tcW w:w="2880" w:type="dxa"/>
          </w:tcPr>
          <w:p w14:paraId="7A338BF1" w14:textId="77777777" w:rsidR="0048178F" w:rsidRDefault="0048178F" w:rsidP="00D76706">
            <w:pPr>
              <w:rPr>
                <w:sz w:val="14"/>
                <w:szCs w:val="14"/>
              </w:rPr>
            </w:pPr>
            <w:r w:rsidRPr="00891476">
              <w:rPr>
                <w:b/>
                <w:sz w:val="14"/>
                <w:szCs w:val="14"/>
              </w:rPr>
              <w:t>Description</w:t>
            </w:r>
          </w:p>
        </w:tc>
        <w:tc>
          <w:tcPr>
            <w:tcW w:w="1800" w:type="dxa"/>
          </w:tcPr>
          <w:p w14:paraId="268C8F58" w14:textId="77777777" w:rsidR="0048178F" w:rsidRDefault="0048178F" w:rsidP="00D76706">
            <w:pPr>
              <w:jc w:val="center"/>
              <w:rPr>
                <w:sz w:val="14"/>
                <w:szCs w:val="14"/>
              </w:rPr>
            </w:pPr>
            <w:r>
              <w:rPr>
                <w:b/>
                <w:sz w:val="14"/>
                <w:szCs w:val="14"/>
              </w:rPr>
              <w:t>Type</w:t>
            </w:r>
          </w:p>
        </w:tc>
        <w:tc>
          <w:tcPr>
            <w:tcW w:w="1170" w:type="dxa"/>
          </w:tcPr>
          <w:p w14:paraId="7963E0EE" w14:textId="77777777" w:rsidR="0048178F" w:rsidRDefault="0048178F" w:rsidP="00D76706">
            <w:pPr>
              <w:jc w:val="center"/>
              <w:rPr>
                <w:sz w:val="14"/>
                <w:szCs w:val="14"/>
              </w:rPr>
            </w:pPr>
            <w:r w:rsidRPr="00891476">
              <w:rPr>
                <w:b/>
                <w:sz w:val="14"/>
                <w:szCs w:val="14"/>
              </w:rPr>
              <w:t>Length</w:t>
            </w:r>
          </w:p>
        </w:tc>
        <w:tc>
          <w:tcPr>
            <w:tcW w:w="1080" w:type="dxa"/>
          </w:tcPr>
          <w:p w14:paraId="07B912FC" w14:textId="77777777" w:rsidR="0048178F" w:rsidRDefault="0048178F" w:rsidP="00D76706">
            <w:pPr>
              <w:rPr>
                <w:sz w:val="14"/>
                <w:szCs w:val="14"/>
              </w:rPr>
            </w:pPr>
            <w:r w:rsidRPr="00891476">
              <w:rPr>
                <w:b/>
                <w:sz w:val="14"/>
                <w:szCs w:val="14"/>
              </w:rPr>
              <w:t>Example</w:t>
            </w:r>
          </w:p>
        </w:tc>
        <w:tc>
          <w:tcPr>
            <w:tcW w:w="828" w:type="dxa"/>
            <w:shd w:val="clear" w:color="auto" w:fill="auto"/>
          </w:tcPr>
          <w:p w14:paraId="6219FF39" w14:textId="77777777" w:rsidR="0048178F" w:rsidRDefault="0048178F" w:rsidP="00D76706">
            <w:pPr>
              <w:jc w:val="center"/>
              <w:rPr>
                <w:sz w:val="14"/>
                <w:szCs w:val="14"/>
              </w:rPr>
            </w:pPr>
            <w:r w:rsidRPr="00891476">
              <w:rPr>
                <w:b/>
                <w:sz w:val="14"/>
                <w:szCs w:val="14"/>
              </w:rPr>
              <w:t>Data Act Element</w:t>
            </w:r>
          </w:p>
        </w:tc>
      </w:tr>
      <w:tr w:rsidR="0048178F" w14:paraId="5DA2EE0C" w14:textId="77777777" w:rsidTr="00D76706">
        <w:tc>
          <w:tcPr>
            <w:tcW w:w="1818" w:type="dxa"/>
          </w:tcPr>
          <w:p w14:paraId="19E0DB36" w14:textId="77777777" w:rsidR="0048178F" w:rsidRDefault="00A613D4" w:rsidP="00D76706">
            <w:pPr>
              <w:rPr>
                <w:sz w:val="14"/>
                <w:szCs w:val="14"/>
              </w:rPr>
            </w:pPr>
            <w:hyperlink w:anchor="_Type:USSGLaccount" w:history="1">
              <w:r w:rsidR="0048178F" w:rsidRPr="00331216">
                <w:rPr>
                  <w:rStyle w:val="Hyperlink"/>
                  <w:sz w:val="14"/>
                  <w:szCs w:val="14"/>
                </w:rPr>
                <w:t>USSGL</w:t>
              </w:r>
              <w:r w:rsidR="0048178F">
                <w:rPr>
                  <w:rStyle w:val="Hyperlink"/>
                  <w:sz w:val="14"/>
                  <w:szCs w:val="14"/>
                </w:rPr>
                <w:t>a</w:t>
              </w:r>
              <w:r w:rsidR="0048178F" w:rsidRPr="00331216">
                <w:rPr>
                  <w:rStyle w:val="Hyperlink"/>
                  <w:sz w:val="14"/>
                  <w:szCs w:val="14"/>
                </w:rPr>
                <w:t>ccount</w:t>
              </w:r>
            </w:hyperlink>
          </w:p>
        </w:tc>
        <w:tc>
          <w:tcPr>
            <w:tcW w:w="2880" w:type="dxa"/>
          </w:tcPr>
          <w:p w14:paraId="62466BD9" w14:textId="77777777" w:rsidR="0048178F" w:rsidRDefault="0048178F" w:rsidP="00D76706">
            <w:pPr>
              <w:rPr>
                <w:sz w:val="14"/>
                <w:szCs w:val="14"/>
              </w:rPr>
            </w:pPr>
            <w:r w:rsidRPr="00E46799">
              <w:rPr>
                <w:sz w:val="14"/>
                <w:szCs w:val="14"/>
              </w:rPr>
              <w:t>Id</w:t>
            </w:r>
            <w:r>
              <w:rPr>
                <w:sz w:val="14"/>
                <w:szCs w:val="14"/>
              </w:rPr>
              <w:t xml:space="preserve">entifies the USSGL account. The </w:t>
            </w:r>
            <w:r w:rsidRPr="00E46799">
              <w:rPr>
                <w:sz w:val="14"/>
                <w:szCs w:val="14"/>
              </w:rPr>
              <w:t>USS</w:t>
            </w:r>
            <w:r>
              <w:rPr>
                <w:sz w:val="14"/>
                <w:szCs w:val="14"/>
              </w:rPr>
              <w:t xml:space="preserve">GL account must be in the USSGL </w:t>
            </w:r>
            <w:r w:rsidRPr="00E46799">
              <w:rPr>
                <w:sz w:val="14"/>
                <w:szCs w:val="14"/>
              </w:rPr>
              <w:t>chart of accounts.</w:t>
            </w:r>
          </w:p>
        </w:tc>
        <w:tc>
          <w:tcPr>
            <w:tcW w:w="1800" w:type="dxa"/>
          </w:tcPr>
          <w:p w14:paraId="42A45DBE" w14:textId="77777777" w:rsidR="0048178F" w:rsidRPr="0050395C" w:rsidRDefault="0048178F" w:rsidP="00D76706">
            <w:pPr>
              <w:jc w:val="center"/>
              <w:rPr>
                <w:sz w:val="14"/>
                <w:szCs w:val="14"/>
              </w:rPr>
            </w:pPr>
            <w:r>
              <w:rPr>
                <w:sz w:val="14"/>
                <w:szCs w:val="14"/>
              </w:rPr>
              <w:t>See complex type USSGLaccount below</w:t>
            </w:r>
          </w:p>
        </w:tc>
        <w:tc>
          <w:tcPr>
            <w:tcW w:w="1170" w:type="dxa"/>
          </w:tcPr>
          <w:p w14:paraId="36AD09CE" w14:textId="77777777" w:rsidR="0048178F" w:rsidRDefault="0048178F" w:rsidP="00D76706">
            <w:pPr>
              <w:jc w:val="center"/>
              <w:rPr>
                <w:sz w:val="14"/>
                <w:szCs w:val="14"/>
              </w:rPr>
            </w:pPr>
            <w:r>
              <w:rPr>
                <w:sz w:val="14"/>
                <w:szCs w:val="14"/>
              </w:rPr>
              <w:t>-</w:t>
            </w:r>
          </w:p>
        </w:tc>
        <w:tc>
          <w:tcPr>
            <w:tcW w:w="1080" w:type="dxa"/>
          </w:tcPr>
          <w:p w14:paraId="275DFE20" w14:textId="77777777" w:rsidR="0048178F" w:rsidRDefault="0048178F" w:rsidP="00D76706">
            <w:pPr>
              <w:jc w:val="center"/>
              <w:rPr>
                <w:sz w:val="14"/>
                <w:szCs w:val="14"/>
              </w:rPr>
            </w:pPr>
            <w:r>
              <w:rPr>
                <w:sz w:val="14"/>
                <w:szCs w:val="14"/>
              </w:rPr>
              <w:t>-</w:t>
            </w:r>
          </w:p>
        </w:tc>
        <w:tc>
          <w:tcPr>
            <w:tcW w:w="828" w:type="dxa"/>
            <w:shd w:val="clear" w:color="auto" w:fill="auto"/>
          </w:tcPr>
          <w:p w14:paraId="5BEAE6BE" w14:textId="77777777" w:rsidR="0048178F" w:rsidRDefault="0048178F" w:rsidP="00D76706">
            <w:pPr>
              <w:jc w:val="center"/>
              <w:rPr>
                <w:sz w:val="14"/>
                <w:szCs w:val="14"/>
              </w:rPr>
            </w:pPr>
            <w:r>
              <w:rPr>
                <w:sz w:val="14"/>
                <w:szCs w:val="14"/>
              </w:rPr>
              <w:t>-</w:t>
            </w:r>
          </w:p>
        </w:tc>
      </w:tr>
      <w:tr w:rsidR="0048178F" w14:paraId="55C9FCBE" w14:textId="77777777" w:rsidTr="00D76706">
        <w:tc>
          <w:tcPr>
            <w:tcW w:w="1818" w:type="dxa"/>
          </w:tcPr>
          <w:p w14:paraId="4E933932" w14:textId="77777777" w:rsidR="0048178F" w:rsidRDefault="00A613D4" w:rsidP="00D76706">
            <w:pPr>
              <w:rPr>
                <w:sz w:val="14"/>
                <w:szCs w:val="14"/>
              </w:rPr>
            </w:pPr>
            <w:hyperlink w:anchor="_Type:USSGLentryDetail" w:history="1">
              <w:r w:rsidR="0048178F">
                <w:rPr>
                  <w:rStyle w:val="Hyperlink"/>
                  <w:sz w:val="14"/>
                  <w:szCs w:val="14"/>
                </w:rPr>
                <w:t>amount</w:t>
              </w:r>
            </w:hyperlink>
          </w:p>
        </w:tc>
        <w:tc>
          <w:tcPr>
            <w:tcW w:w="2880" w:type="dxa"/>
          </w:tcPr>
          <w:p w14:paraId="01061027" w14:textId="77777777" w:rsidR="0048178F" w:rsidRDefault="0048178F" w:rsidP="00D76706">
            <w:pPr>
              <w:rPr>
                <w:sz w:val="14"/>
                <w:szCs w:val="14"/>
              </w:rPr>
            </w:pPr>
            <w:r w:rsidRPr="00E46799">
              <w:rPr>
                <w:sz w:val="14"/>
                <w:szCs w:val="14"/>
              </w:rPr>
              <w:t>This fi</w:t>
            </w:r>
            <w:r>
              <w:rPr>
                <w:sz w:val="14"/>
                <w:szCs w:val="14"/>
              </w:rPr>
              <w:t xml:space="preserve">eld contains the balance of the </w:t>
            </w:r>
            <w:r w:rsidRPr="00E46799">
              <w:rPr>
                <w:sz w:val="14"/>
                <w:szCs w:val="14"/>
              </w:rPr>
              <w:t>US</w:t>
            </w:r>
            <w:r>
              <w:rPr>
                <w:sz w:val="14"/>
                <w:szCs w:val="14"/>
              </w:rPr>
              <w:t xml:space="preserve">SGL account. Each USSGL account </w:t>
            </w:r>
            <w:r w:rsidRPr="00E46799">
              <w:rPr>
                <w:sz w:val="14"/>
                <w:szCs w:val="14"/>
              </w:rPr>
              <w:t>on each r</w:t>
            </w:r>
            <w:r>
              <w:rPr>
                <w:sz w:val="14"/>
                <w:szCs w:val="14"/>
              </w:rPr>
              <w:t xml:space="preserve">ow of the bulk file must have a </w:t>
            </w:r>
            <w:r w:rsidRPr="00E46799">
              <w:rPr>
                <w:sz w:val="14"/>
                <w:szCs w:val="14"/>
              </w:rPr>
              <w:t>balance.</w:t>
            </w:r>
          </w:p>
        </w:tc>
        <w:tc>
          <w:tcPr>
            <w:tcW w:w="1800" w:type="dxa"/>
          </w:tcPr>
          <w:p w14:paraId="60A66B9A" w14:textId="77777777" w:rsidR="0048178F" w:rsidRDefault="0048178F" w:rsidP="00D76706">
            <w:pPr>
              <w:jc w:val="center"/>
              <w:rPr>
                <w:sz w:val="14"/>
                <w:szCs w:val="14"/>
              </w:rPr>
            </w:pPr>
            <w:r>
              <w:rPr>
                <w:sz w:val="14"/>
                <w:szCs w:val="14"/>
              </w:rPr>
              <w:t>monetaryItemType</w:t>
            </w:r>
          </w:p>
          <w:p w14:paraId="6B7ADF11" w14:textId="77777777" w:rsidR="0048178F" w:rsidRPr="0050395C" w:rsidRDefault="0048178F" w:rsidP="00D76706">
            <w:pPr>
              <w:jc w:val="center"/>
              <w:rPr>
                <w:sz w:val="14"/>
                <w:szCs w:val="14"/>
              </w:rPr>
            </w:pPr>
            <w:r>
              <w:rPr>
                <w:sz w:val="14"/>
                <w:szCs w:val="14"/>
              </w:rPr>
              <w:t>(numeric)</w:t>
            </w:r>
          </w:p>
        </w:tc>
        <w:tc>
          <w:tcPr>
            <w:tcW w:w="1170" w:type="dxa"/>
          </w:tcPr>
          <w:p w14:paraId="63CC7899" w14:textId="77777777" w:rsidR="0048178F" w:rsidRDefault="0048178F" w:rsidP="00D76706">
            <w:pPr>
              <w:jc w:val="center"/>
              <w:rPr>
                <w:sz w:val="14"/>
                <w:szCs w:val="14"/>
              </w:rPr>
            </w:pPr>
            <w:r>
              <w:rPr>
                <w:sz w:val="14"/>
                <w:szCs w:val="14"/>
              </w:rPr>
              <w:t>Unbounded</w:t>
            </w:r>
          </w:p>
        </w:tc>
        <w:tc>
          <w:tcPr>
            <w:tcW w:w="1080" w:type="dxa"/>
          </w:tcPr>
          <w:p w14:paraId="363B754D" w14:textId="77777777" w:rsidR="0048178F" w:rsidRDefault="0048178F" w:rsidP="00D76706">
            <w:pPr>
              <w:rPr>
                <w:sz w:val="14"/>
                <w:szCs w:val="14"/>
              </w:rPr>
            </w:pPr>
            <w:r>
              <w:rPr>
                <w:sz w:val="14"/>
                <w:szCs w:val="14"/>
              </w:rPr>
              <w:t>222750500</w:t>
            </w:r>
            <w:r w:rsidRPr="00C8616C">
              <w:rPr>
                <w:sz w:val="14"/>
                <w:szCs w:val="14"/>
              </w:rPr>
              <w:t>.5</w:t>
            </w:r>
            <w:r>
              <w:rPr>
                <w:sz w:val="14"/>
                <w:szCs w:val="14"/>
              </w:rPr>
              <w:t>0</w:t>
            </w:r>
          </w:p>
        </w:tc>
        <w:tc>
          <w:tcPr>
            <w:tcW w:w="828" w:type="dxa"/>
            <w:shd w:val="clear" w:color="auto" w:fill="auto"/>
          </w:tcPr>
          <w:p w14:paraId="220FDE25" w14:textId="77777777" w:rsidR="0048178F" w:rsidRDefault="0048178F" w:rsidP="00D76706">
            <w:pPr>
              <w:jc w:val="center"/>
              <w:rPr>
                <w:sz w:val="14"/>
                <w:szCs w:val="14"/>
              </w:rPr>
            </w:pPr>
            <w:r>
              <w:rPr>
                <w:sz w:val="14"/>
                <w:szCs w:val="14"/>
              </w:rPr>
              <w:t>-</w:t>
            </w:r>
          </w:p>
        </w:tc>
      </w:tr>
      <w:tr w:rsidR="0048178F" w14:paraId="4B0DD02D" w14:textId="77777777" w:rsidTr="00D76706">
        <w:tc>
          <w:tcPr>
            <w:tcW w:w="1818" w:type="dxa"/>
          </w:tcPr>
          <w:p w14:paraId="40F1F3EB" w14:textId="77777777" w:rsidR="0048178F" w:rsidRDefault="0048178F" w:rsidP="00D76706">
            <w:pPr>
              <w:rPr>
                <w:sz w:val="14"/>
                <w:szCs w:val="14"/>
              </w:rPr>
            </w:pPr>
            <w:r>
              <w:rPr>
                <w:sz w:val="14"/>
                <w:szCs w:val="14"/>
              </w:rPr>
              <w:t>debitCreditCode</w:t>
            </w:r>
          </w:p>
        </w:tc>
        <w:tc>
          <w:tcPr>
            <w:tcW w:w="2880" w:type="dxa"/>
          </w:tcPr>
          <w:p w14:paraId="1D27519E" w14:textId="77777777" w:rsidR="0048178F" w:rsidRDefault="0048178F" w:rsidP="00D76706">
            <w:pPr>
              <w:rPr>
                <w:sz w:val="14"/>
                <w:szCs w:val="14"/>
              </w:rPr>
            </w:pPr>
            <w:r w:rsidRPr="00E46799">
              <w:rPr>
                <w:sz w:val="14"/>
                <w:szCs w:val="14"/>
              </w:rPr>
              <w:t>Indicates</w:t>
            </w:r>
            <w:r>
              <w:rPr>
                <w:sz w:val="14"/>
                <w:szCs w:val="14"/>
              </w:rPr>
              <w:t xml:space="preserve"> whether the amount reported is </w:t>
            </w:r>
            <w:r w:rsidRPr="00E46799">
              <w:rPr>
                <w:sz w:val="14"/>
                <w:szCs w:val="14"/>
              </w:rPr>
              <w:t>d</w:t>
            </w:r>
            <w:r>
              <w:rPr>
                <w:sz w:val="14"/>
                <w:szCs w:val="14"/>
              </w:rPr>
              <w:t xml:space="preserve">ebited or credited to the USSGL </w:t>
            </w:r>
            <w:r w:rsidRPr="00E46799">
              <w:rPr>
                <w:sz w:val="14"/>
                <w:szCs w:val="14"/>
              </w:rPr>
              <w:t>account</w:t>
            </w:r>
          </w:p>
        </w:tc>
        <w:tc>
          <w:tcPr>
            <w:tcW w:w="1800" w:type="dxa"/>
          </w:tcPr>
          <w:p w14:paraId="0872ECAC" w14:textId="77777777" w:rsidR="0048178F" w:rsidRDefault="0048178F" w:rsidP="00D76706">
            <w:pPr>
              <w:jc w:val="center"/>
              <w:rPr>
                <w:sz w:val="14"/>
                <w:szCs w:val="14"/>
              </w:rPr>
            </w:pPr>
            <w:r>
              <w:rPr>
                <w:sz w:val="14"/>
                <w:szCs w:val="14"/>
              </w:rPr>
              <w:t>debitCreditCodeItemType</w:t>
            </w:r>
          </w:p>
          <w:p w14:paraId="3BEE46E5" w14:textId="77777777" w:rsidR="0048178F" w:rsidRPr="0050395C" w:rsidRDefault="0048178F" w:rsidP="00D76706">
            <w:pPr>
              <w:jc w:val="center"/>
              <w:rPr>
                <w:sz w:val="14"/>
                <w:szCs w:val="14"/>
              </w:rPr>
            </w:pPr>
            <w:r>
              <w:rPr>
                <w:sz w:val="14"/>
                <w:szCs w:val="14"/>
              </w:rPr>
              <w:t>(enumeration)</w:t>
            </w:r>
          </w:p>
        </w:tc>
        <w:tc>
          <w:tcPr>
            <w:tcW w:w="1170" w:type="dxa"/>
          </w:tcPr>
          <w:p w14:paraId="3F2292D0" w14:textId="77777777" w:rsidR="0048178F" w:rsidRDefault="0048178F" w:rsidP="00D76706">
            <w:pPr>
              <w:jc w:val="center"/>
              <w:rPr>
                <w:sz w:val="14"/>
                <w:szCs w:val="14"/>
              </w:rPr>
            </w:pPr>
            <w:r>
              <w:rPr>
                <w:sz w:val="14"/>
                <w:szCs w:val="14"/>
              </w:rPr>
              <w:t>1</w:t>
            </w:r>
          </w:p>
        </w:tc>
        <w:tc>
          <w:tcPr>
            <w:tcW w:w="1080" w:type="dxa"/>
          </w:tcPr>
          <w:p w14:paraId="2C670450" w14:textId="77777777" w:rsidR="0048178F" w:rsidRDefault="0048178F" w:rsidP="00D76706">
            <w:pPr>
              <w:rPr>
                <w:sz w:val="14"/>
                <w:szCs w:val="14"/>
              </w:rPr>
            </w:pPr>
            <w:r>
              <w:rPr>
                <w:sz w:val="14"/>
                <w:szCs w:val="14"/>
              </w:rPr>
              <w:t>D</w:t>
            </w:r>
          </w:p>
          <w:p w14:paraId="071D473C" w14:textId="77777777" w:rsidR="0048178F" w:rsidRDefault="0048178F" w:rsidP="00D76706">
            <w:pPr>
              <w:rPr>
                <w:sz w:val="14"/>
                <w:szCs w:val="14"/>
              </w:rPr>
            </w:pPr>
            <w:r>
              <w:rPr>
                <w:sz w:val="14"/>
                <w:szCs w:val="14"/>
              </w:rPr>
              <w:t>C</w:t>
            </w:r>
          </w:p>
          <w:p w14:paraId="094277EE" w14:textId="77777777" w:rsidR="0048178F" w:rsidRDefault="0048178F" w:rsidP="00D76706">
            <w:pPr>
              <w:rPr>
                <w:sz w:val="14"/>
                <w:szCs w:val="14"/>
              </w:rPr>
            </w:pPr>
          </w:p>
        </w:tc>
        <w:tc>
          <w:tcPr>
            <w:tcW w:w="828" w:type="dxa"/>
            <w:shd w:val="clear" w:color="auto" w:fill="auto"/>
          </w:tcPr>
          <w:p w14:paraId="55FFA29A" w14:textId="77777777" w:rsidR="0048178F" w:rsidRDefault="0048178F" w:rsidP="00D76706">
            <w:pPr>
              <w:jc w:val="center"/>
              <w:rPr>
                <w:sz w:val="14"/>
                <w:szCs w:val="14"/>
              </w:rPr>
            </w:pPr>
            <w:r>
              <w:rPr>
                <w:sz w:val="14"/>
                <w:szCs w:val="14"/>
              </w:rPr>
              <w:t>-</w:t>
            </w:r>
          </w:p>
        </w:tc>
      </w:tr>
      <w:tr w:rsidR="0048178F" w14:paraId="5B196F38" w14:textId="77777777" w:rsidTr="00D76706">
        <w:tc>
          <w:tcPr>
            <w:tcW w:w="1818" w:type="dxa"/>
          </w:tcPr>
          <w:p w14:paraId="6BF82D34" w14:textId="77777777" w:rsidR="0048178F" w:rsidRDefault="0048178F" w:rsidP="00D76706">
            <w:pPr>
              <w:rPr>
                <w:sz w:val="14"/>
                <w:szCs w:val="14"/>
              </w:rPr>
            </w:pPr>
            <w:r>
              <w:rPr>
                <w:sz w:val="14"/>
                <w:szCs w:val="14"/>
              </w:rPr>
              <w:t>beginningEndIndicator</w:t>
            </w:r>
          </w:p>
        </w:tc>
        <w:tc>
          <w:tcPr>
            <w:tcW w:w="2880" w:type="dxa"/>
          </w:tcPr>
          <w:p w14:paraId="2AEB2272" w14:textId="77777777" w:rsidR="0048178F" w:rsidRDefault="0048178F" w:rsidP="00D76706">
            <w:pPr>
              <w:rPr>
                <w:sz w:val="14"/>
                <w:szCs w:val="14"/>
              </w:rPr>
            </w:pPr>
            <w:r w:rsidRPr="00E46799">
              <w:rPr>
                <w:sz w:val="14"/>
                <w:szCs w:val="14"/>
              </w:rPr>
              <w:t>Indi</w:t>
            </w:r>
            <w:r>
              <w:rPr>
                <w:sz w:val="14"/>
                <w:szCs w:val="14"/>
              </w:rPr>
              <w:t xml:space="preserve">cates whether the balance or an </w:t>
            </w:r>
            <w:r w:rsidRPr="00E46799">
              <w:rPr>
                <w:sz w:val="14"/>
                <w:szCs w:val="14"/>
              </w:rPr>
              <w:t>USSGL a</w:t>
            </w:r>
            <w:r>
              <w:rPr>
                <w:sz w:val="14"/>
                <w:szCs w:val="14"/>
              </w:rPr>
              <w:t xml:space="preserve">ccount/attribute combination is </w:t>
            </w:r>
            <w:r w:rsidRPr="00E46799">
              <w:rPr>
                <w:sz w:val="14"/>
                <w:szCs w:val="14"/>
              </w:rPr>
              <w:t>at the start o</w:t>
            </w:r>
            <w:r>
              <w:rPr>
                <w:sz w:val="14"/>
                <w:szCs w:val="14"/>
              </w:rPr>
              <w:t xml:space="preserve">f the fiscal year or at the end </w:t>
            </w:r>
            <w:r w:rsidRPr="00E46799">
              <w:rPr>
                <w:sz w:val="14"/>
                <w:szCs w:val="14"/>
              </w:rPr>
              <w:t>of a period</w:t>
            </w:r>
          </w:p>
        </w:tc>
        <w:tc>
          <w:tcPr>
            <w:tcW w:w="1800" w:type="dxa"/>
          </w:tcPr>
          <w:p w14:paraId="19954150" w14:textId="77777777" w:rsidR="0048178F" w:rsidRDefault="0048178F" w:rsidP="00D76706">
            <w:pPr>
              <w:jc w:val="center"/>
              <w:rPr>
                <w:sz w:val="14"/>
                <w:szCs w:val="14"/>
              </w:rPr>
            </w:pPr>
            <w:r>
              <w:rPr>
                <w:sz w:val="14"/>
                <w:szCs w:val="14"/>
              </w:rPr>
              <w:t>beginningEndIndicatorItemType</w:t>
            </w:r>
          </w:p>
          <w:p w14:paraId="0DF761FF" w14:textId="77777777" w:rsidR="0048178F" w:rsidRPr="0050395C" w:rsidRDefault="0048178F" w:rsidP="00D76706">
            <w:pPr>
              <w:jc w:val="center"/>
              <w:rPr>
                <w:sz w:val="14"/>
                <w:szCs w:val="14"/>
              </w:rPr>
            </w:pPr>
            <w:r>
              <w:rPr>
                <w:sz w:val="14"/>
                <w:szCs w:val="14"/>
              </w:rPr>
              <w:t>(enumeration)</w:t>
            </w:r>
          </w:p>
        </w:tc>
        <w:tc>
          <w:tcPr>
            <w:tcW w:w="1170" w:type="dxa"/>
          </w:tcPr>
          <w:p w14:paraId="6677357F" w14:textId="77777777" w:rsidR="0048178F" w:rsidRDefault="0048178F" w:rsidP="00D76706">
            <w:pPr>
              <w:jc w:val="center"/>
              <w:rPr>
                <w:sz w:val="14"/>
                <w:szCs w:val="14"/>
              </w:rPr>
            </w:pPr>
            <w:r>
              <w:rPr>
                <w:sz w:val="14"/>
                <w:szCs w:val="14"/>
              </w:rPr>
              <w:t>1</w:t>
            </w:r>
          </w:p>
        </w:tc>
        <w:tc>
          <w:tcPr>
            <w:tcW w:w="1080" w:type="dxa"/>
          </w:tcPr>
          <w:p w14:paraId="064C3C61" w14:textId="77777777" w:rsidR="0048178F" w:rsidRDefault="0048178F" w:rsidP="00D76706">
            <w:pPr>
              <w:rPr>
                <w:sz w:val="14"/>
                <w:szCs w:val="14"/>
              </w:rPr>
            </w:pPr>
            <w:r>
              <w:rPr>
                <w:sz w:val="14"/>
                <w:szCs w:val="14"/>
              </w:rPr>
              <w:t>B</w:t>
            </w:r>
          </w:p>
          <w:p w14:paraId="35B516A7" w14:textId="77777777" w:rsidR="0048178F" w:rsidRDefault="0048178F" w:rsidP="00D76706">
            <w:pPr>
              <w:rPr>
                <w:sz w:val="14"/>
                <w:szCs w:val="14"/>
              </w:rPr>
            </w:pPr>
            <w:r>
              <w:rPr>
                <w:sz w:val="14"/>
                <w:szCs w:val="14"/>
              </w:rPr>
              <w:t>E</w:t>
            </w:r>
          </w:p>
        </w:tc>
        <w:tc>
          <w:tcPr>
            <w:tcW w:w="828" w:type="dxa"/>
            <w:shd w:val="clear" w:color="auto" w:fill="auto"/>
          </w:tcPr>
          <w:p w14:paraId="7F32CE18" w14:textId="77777777" w:rsidR="0048178F" w:rsidRDefault="0048178F" w:rsidP="00D76706">
            <w:pPr>
              <w:jc w:val="center"/>
              <w:rPr>
                <w:sz w:val="14"/>
                <w:szCs w:val="14"/>
              </w:rPr>
            </w:pPr>
            <w:r>
              <w:rPr>
                <w:sz w:val="14"/>
                <w:szCs w:val="14"/>
              </w:rPr>
              <w:t>-</w:t>
            </w:r>
          </w:p>
        </w:tc>
      </w:tr>
      <w:tr w:rsidR="0048178F" w14:paraId="631A398B" w14:textId="77777777" w:rsidTr="00D76706">
        <w:tc>
          <w:tcPr>
            <w:tcW w:w="1818" w:type="dxa"/>
          </w:tcPr>
          <w:p w14:paraId="79CCA4F6" w14:textId="77777777" w:rsidR="0048178F" w:rsidRDefault="0048178F" w:rsidP="00D76706">
            <w:pPr>
              <w:rPr>
                <w:sz w:val="14"/>
                <w:szCs w:val="14"/>
              </w:rPr>
            </w:pPr>
            <w:r>
              <w:rPr>
                <w:sz w:val="14"/>
                <w:szCs w:val="14"/>
              </w:rPr>
              <w:t>authorityType</w:t>
            </w:r>
          </w:p>
        </w:tc>
        <w:tc>
          <w:tcPr>
            <w:tcW w:w="2880" w:type="dxa"/>
          </w:tcPr>
          <w:p w14:paraId="3AE1679B" w14:textId="77777777" w:rsidR="0048178F" w:rsidRDefault="0048178F" w:rsidP="00D76706">
            <w:pPr>
              <w:rPr>
                <w:sz w:val="14"/>
                <w:szCs w:val="14"/>
              </w:rPr>
            </w:pPr>
            <w:r w:rsidRPr="00E46799">
              <w:rPr>
                <w:sz w:val="14"/>
                <w:szCs w:val="14"/>
              </w:rPr>
              <w:t>D</w:t>
            </w:r>
            <w:r>
              <w:rPr>
                <w:sz w:val="14"/>
                <w:szCs w:val="14"/>
              </w:rPr>
              <w:t xml:space="preserve">istinguishes among the types of </w:t>
            </w:r>
            <w:r w:rsidRPr="00E46799">
              <w:rPr>
                <w:sz w:val="14"/>
                <w:szCs w:val="14"/>
              </w:rPr>
              <w:t>budge</w:t>
            </w:r>
            <w:r>
              <w:rPr>
                <w:sz w:val="14"/>
                <w:szCs w:val="14"/>
              </w:rPr>
              <w:t xml:space="preserve">tary resources, where it is not </w:t>
            </w:r>
            <w:r w:rsidRPr="00E46799">
              <w:rPr>
                <w:sz w:val="14"/>
                <w:szCs w:val="14"/>
              </w:rPr>
              <w:t>possible to do</w:t>
            </w:r>
            <w:r>
              <w:rPr>
                <w:sz w:val="14"/>
                <w:szCs w:val="14"/>
              </w:rPr>
              <w:t xml:space="preserve"> so by the USSGL Account </w:t>
            </w:r>
            <w:r w:rsidRPr="00E46799">
              <w:rPr>
                <w:sz w:val="14"/>
                <w:szCs w:val="14"/>
              </w:rPr>
              <w:t>Numb</w:t>
            </w:r>
            <w:r>
              <w:rPr>
                <w:sz w:val="14"/>
                <w:szCs w:val="14"/>
              </w:rPr>
              <w:t xml:space="preserve">er Code. For example, the USSGL </w:t>
            </w:r>
            <w:r w:rsidRPr="00E46799">
              <w:rPr>
                <w:sz w:val="14"/>
                <w:szCs w:val="14"/>
              </w:rPr>
              <w:t>resc</w:t>
            </w:r>
            <w:r>
              <w:rPr>
                <w:sz w:val="14"/>
                <w:szCs w:val="14"/>
              </w:rPr>
              <w:t xml:space="preserve">ission accounts (USSGL accounts </w:t>
            </w:r>
            <w:r w:rsidRPr="00E46799">
              <w:rPr>
                <w:sz w:val="14"/>
                <w:szCs w:val="14"/>
              </w:rPr>
              <w:t>43</w:t>
            </w:r>
            <w:r>
              <w:rPr>
                <w:sz w:val="14"/>
                <w:szCs w:val="14"/>
              </w:rPr>
              <w:t xml:space="preserve">92 and 4393) do not distinguish </w:t>
            </w:r>
            <w:r w:rsidRPr="00E46799">
              <w:rPr>
                <w:sz w:val="14"/>
                <w:szCs w:val="14"/>
              </w:rPr>
              <w:t>between r</w:t>
            </w:r>
            <w:r>
              <w:rPr>
                <w:sz w:val="14"/>
                <w:szCs w:val="14"/>
              </w:rPr>
              <w:t xml:space="preserve">escissions of appropriations or </w:t>
            </w:r>
            <w:r w:rsidRPr="00E46799">
              <w:rPr>
                <w:sz w:val="14"/>
                <w:szCs w:val="14"/>
              </w:rPr>
              <w:t>contract authority.</w:t>
            </w:r>
          </w:p>
        </w:tc>
        <w:tc>
          <w:tcPr>
            <w:tcW w:w="1800" w:type="dxa"/>
          </w:tcPr>
          <w:p w14:paraId="7450710F" w14:textId="77777777" w:rsidR="0048178F" w:rsidRDefault="0048178F" w:rsidP="00D76706">
            <w:pPr>
              <w:jc w:val="center"/>
              <w:rPr>
                <w:sz w:val="14"/>
                <w:szCs w:val="14"/>
              </w:rPr>
            </w:pPr>
            <w:r>
              <w:rPr>
                <w:sz w:val="14"/>
                <w:szCs w:val="14"/>
              </w:rPr>
              <w:t>authorityTypeItemType</w:t>
            </w:r>
          </w:p>
          <w:p w14:paraId="4D0E3ECA" w14:textId="77777777" w:rsidR="0048178F" w:rsidRPr="0050395C" w:rsidRDefault="0048178F" w:rsidP="00D76706">
            <w:pPr>
              <w:jc w:val="center"/>
              <w:rPr>
                <w:sz w:val="14"/>
                <w:szCs w:val="14"/>
              </w:rPr>
            </w:pPr>
            <w:r>
              <w:rPr>
                <w:sz w:val="14"/>
                <w:szCs w:val="14"/>
              </w:rPr>
              <w:t>(enumeration)</w:t>
            </w:r>
          </w:p>
        </w:tc>
        <w:tc>
          <w:tcPr>
            <w:tcW w:w="1170" w:type="dxa"/>
          </w:tcPr>
          <w:p w14:paraId="368BAC6A" w14:textId="77777777" w:rsidR="0048178F" w:rsidRDefault="0048178F" w:rsidP="00D76706">
            <w:pPr>
              <w:jc w:val="center"/>
              <w:rPr>
                <w:sz w:val="14"/>
                <w:szCs w:val="14"/>
              </w:rPr>
            </w:pPr>
            <w:r>
              <w:rPr>
                <w:sz w:val="14"/>
                <w:szCs w:val="14"/>
              </w:rPr>
              <w:t>1</w:t>
            </w:r>
          </w:p>
        </w:tc>
        <w:tc>
          <w:tcPr>
            <w:tcW w:w="1080" w:type="dxa"/>
          </w:tcPr>
          <w:p w14:paraId="276240F7" w14:textId="77777777" w:rsidR="0048178F" w:rsidRDefault="0048178F" w:rsidP="00D76706">
            <w:pPr>
              <w:rPr>
                <w:sz w:val="14"/>
                <w:szCs w:val="14"/>
              </w:rPr>
            </w:pPr>
            <w:r>
              <w:rPr>
                <w:sz w:val="14"/>
                <w:szCs w:val="14"/>
              </w:rPr>
              <w:t>B</w:t>
            </w:r>
          </w:p>
          <w:p w14:paraId="7F631121" w14:textId="77777777" w:rsidR="0048178F" w:rsidRDefault="0048178F" w:rsidP="00D76706">
            <w:pPr>
              <w:rPr>
                <w:sz w:val="14"/>
                <w:szCs w:val="14"/>
              </w:rPr>
            </w:pPr>
            <w:r>
              <w:rPr>
                <w:sz w:val="14"/>
                <w:szCs w:val="14"/>
              </w:rPr>
              <w:t>C</w:t>
            </w:r>
          </w:p>
          <w:p w14:paraId="1695112F" w14:textId="77777777" w:rsidR="0048178F" w:rsidRDefault="0048178F" w:rsidP="00D76706">
            <w:pPr>
              <w:rPr>
                <w:sz w:val="14"/>
                <w:szCs w:val="14"/>
              </w:rPr>
            </w:pPr>
            <w:r>
              <w:rPr>
                <w:sz w:val="14"/>
                <w:szCs w:val="14"/>
              </w:rPr>
              <w:t>D</w:t>
            </w:r>
          </w:p>
          <w:p w14:paraId="6FC0E4A7" w14:textId="77777777" w:rsidR="0048178F" w:rsidRDefault="0048178F" w:rsidP="00D76706">
            <w:pPr>
              <w:rPr>
                <w:sz w:val="14"/>
                <w:szCs w:val="14"/>
              </w:rPr>
            </w:pPr>
            <w:r>
              <w:rPr>
                <w:sz w:val="14"/>
                <w:szCs w:val="14"/>
              </w:rPr>
              <w:t>E</w:t>
            </w:r>
          </w:p>
          <w:p w14:paraId="5610DDCB" w14:textId="77777777" w:rsidR="0048178F" w:rsidRDefault="0048178F" w:rsidP="00D76706">
            <w:pPr>
              <w:rPr>
                <w:sz w:val="14"/>
                <w:szCs w:val="14"/>
              </w:rPr>
            </w:pPr>
            <w:r>
              <w:rPr>
                <w:sz w:val="14"/>
                <w:szCs w:val="14"/>
              </w:rPr>
              <w:t>F</w:t>
            </w:r>
          </w:p>
          <w:p w14:paraId="601989CA" w14:textId="77777777" w:rsidR="0048178F" w:rsidRDefault="0048178F" w:rsidP="00D76706">
            <w:pPr>
              <w:rPr>
                <w:sz w:val="14"/>
                <w:szCs w:val="14"/>
              </w:rPr>
            </w:pPr>
            <w:r>
              <w:rPr>
                <w:sz w:val="14"/>
                <w:szCs w:val="14"/>
              </w:rPr>
              <w:t>P</w:t>
            </w:r>
          </w:p>
          <w:p w14:paraId="4EC7EA71" w14:textId="77777777" w:rsidR="0048178F" w:rsidRDefault="0048178F" w:rsidP="00D76706">
            <w:pPr>
              <w:rPr>
                <w:sz w:val="14"/>
                <w:szCs w:val="14"/>
              </w:rPr>
            </w:pPr>
            <w:r>
              <w:rPr>
                <w:sz w:val="14"/>
                <w:szCs w:val="14"/>
              </w:rPr>
              <w:t>R</w:t>
            </w:r>
          </w:p>
          <w:p w14:paraId="6679C5A5" w14:textId="77777777" w:rsidR="0048178F" w:rsidRDefault="0048178F" w:rsidP="00D76706">
            <w:pPr>
              <w:rPr>
                <w:sz w:val="14"/>
                <w:szCs w:val="14"/>
              </w:rPr>
            </w:pPr>
            <w:r>
              <w:rPr>
                <w:sz w:val="14"/>
                <w:szCs w:val="14"/>
              </w:rPr>
              <w:t>S</w:t>
            </w:r>
          </w:p>
        </w:tc>
        <w:tc>
          <w:tcPr>
            <w:tcW w:w="828" w:type="dxa"/>
            <w:shd w:val="clear" w:color="auto" w:fill="auto"/>
          </w:tcPr>
          <w:p w14:paraId="68A0278D" w14:textId="77777777" w:rsidR="0048178F" w:rsidRDefault="0048178F" w:rsidP="00D76706">
            <w:pPr>
              <w:jc w:val="center"/>
              <w:rPr>
                <w:sz w:val="14"/>
                <w:szCs w:val="14"/>
              </w:rPr>
            </w:pPr>
            <w:r>
              <w:rPr>
                <w:sz w:val="14"/>
                <w:szCs w:val="14"/>
              </w:rPr>
              <w:t>-</w:t>
            </w:r>
          </w:p>
        </w:tc>
      </w:tr>
      <w:tr w:rsidR="0048178F" w14:paraId="0F1A4423" w14:textId="77777777" w:rsidTr="00D76706">
        <w:tc>
          <w:tcPr>
            <w:tcW w:w="1818" w:type="dxa"/>
          </w:tcPr>
          <w:p w14:paraId="001E63DD" w14:textId="77777777" w:rsidR="0048178F" w:rsidRDefault="0048178F" w:rsidP="00D76706">
            <w:pPr>
              <w:rPr>
                <w:sz w:val="14"/>
                <w:szCs w:val="14"/>
              </w:rPr>
            </w:pPr>
            <w:r>
              <w:rPr>
                <w:sz w:val="14"/>
                <w:szCs w:val="14"/>
              </w:rPr>
              <w:t>reimbursableFlag</w:t>
            </w:r>
          </w:p>
        </w:tc>
        <w:tc>
          <w:tcPr>
            <w:tcW w:w="2880" w:type="dxa"/>
          </w:tcPr>
          <w:p w14:paraId="28E9CB03" w14:textId="77777777" w:rsidR="0048178F" w:rsidRDefault="0048178F" w:rsidP="00D76706">
            <w:pPr>
              <w:rPr>
                <w:sz w:val="14"/>
                <w:szCs w:val="14"/>
              </w:rPr>
            </w:pPr>
            <w:r w:rsidRPr="00E46799">
              <w:rPr>
                <w:sz w:val="14"/>
                <w:szCs w:val="14"/>
              </w:rPr>
              <w:t>Indic</w:t>
            </w:r>
            <w:r>
              <w:rPr>
                <w:sz w:val="14"/>
                <w:szCs w:val="14"/>
              </w:rPr>
              <w:t xml:space="preserve">ates whether amounts for goods, </w:t>
            </w:r>
            <w:r w:rsidRPr="00E46799">
              <w:rPr>
                <w:sz w:val="14"/>
                <w:szCs w:val="14"/>
              </w:rPr>
              <w:t xml:space="preserve">services, and joint project </w:t>
            </w:r>
            <w:r>
              <w:rPr>
                <w:sz w:val="14"/>
                <w:szCs w:val="14"/>
              </w:rPr>
              <w:t xml:space="preserve">support are financed by offsetting </w:t>
            </w:r>
            <w:r w:rsidRPr="00E46799">
              <w:rPr>
                <w:sz w:val="14"/>
                <w:szCs w:val="14"/>
              </w:rPr>
              <w:t>collections.</w:t>
            </w:r>
          </w:p>
        </w:tc>
        <w:tc>
          <w:tcPr>
            <w:tcW w:w="1800" w:type="dxa"/>
          </w:tcPr>
          <w:p w14:paraId="2C1DEEA3" w14:textId="77777777" w:rsidR="0048178F" w:rsidRDefault="0048178F" w:rsidP="00D76706">
            <w:pPr>
              <w:jc w:val="center"/>
              <w:rPr>
                <w:sz w:val="14"/>
                <w:szCs w:val="14"/>
              </w:rPr>
            </w:pPr>
            <w:r>
              <w:rPr>
                <w:sz w:val="14"/>
                <w:szCs w:val="14"/>
              </w:rPr>
              <w:t>reimbursableFlagItemType</w:t>
            </w:r>
          </w:p>
          <w:p w14:paraId="13589C17" w14:textId="77777777" w:rsidR="0048178F" w:rsidRPr="0050395C" w:rsidRDefault="0048178F" w:rsidP="00D76706">
            <w:pPr>
              <w:jc w:val="center"/>
              <w:rPr>
                <w:sz w:val="14"/>
                <w:szCs w:val="14"/>
              </w:rPr>
            </w:pPr>
            <w:r>
              <w:rPr>
                <w:sz w:val="14"/>
                <w:szCs w:val="14"/>
              </w:rPr>
              <w:t>(enumeration)</w:t>
            </w:r>
          </w:p>
        </w:tc>
        <w:tc>
          <w:tcPr>
            <w:tcW w:w="1170" w:type="dxa"/>
          </w:tcPr>
          <w:p w14:paraId="4968CCA9" w14:textId="77777777" w:rsidR="0048178F" w:rsidRDefault="0048178F" w:rsidP="00D76706">
            <w:pPr>
              <w:jc w:val="center"/>
              <w:rPr>
                <w:sz w:val="14"/>
                <w:szCs w:val="14"/>
              </w:rPr>
            </w:pPr>
            <w:r>
              <w:rPr>
                <w:sz w:val="14"/>
                <w:szCs w:val="14"/>
              </w:rPr>
              <w:t>1</w:t>
            </w:r>
          </w:p>
        </w:tc>
        <w:tc>
          <w:tcPr>
            <w:tcW w:w="1080" w:type="dxa"/>
          </w:tcPr>
          <w:p w14:paraId="548052F9" w14:textId="77777777" w:rsidR="0048178F" w:rsidRDefault="0048178F" w:rsidP="00D76706">
            <w:pPr>
              <w:rPr>
                <w:sz w:val="14"/>
                <w:szCs w:val="14"/>
              </w:rPr>
            </w:pPr>
            <w:r>
              <w:rPr>
                <w:sz w:val="14"/>
                <w:szCs w:val="14"/>
              </w:rPr>
              <w:t>D</w:t>
            </w:r>
          </w:p>
          <w:p w14:paraId="59FC03A8" w14:textId="77777777" w:rsidR="0048178F" w:rsidRDefault="0048178F" w:rsidP="00D76706">
            <w:pPr>
              <w:rPr>
                <w:sz w:val="14"/>
                <w:szCs w:val="14"/>
              </w:rPr>
            </w:pPr>
            <w:r>
              <w:rPr>
                <w:sz w:val="14"/>
                <w:szCs w:val="14"/>
              </w:rPr>
              <w:t>R</w:t>
            </w:r>
          </w:p>
        </w:tc>
        <w:tc>
          <w:tcPr>
            <w:tcW w:w="828" w:type="dxa"/>
            <w:shd w:val="clear" w:color="auto" w:fill="auto"/>
          </w:tcPr>
          <w:p w14:paraId="34251EC5" w14:textId="77777777" w:rsidR="0048178F" w:rsidRDefault="0048178F" w:rsidP="00D76706">
            <w:pPr>
              <w:jc w:val="center"/>
              <w:rPr>
                <w:sz w:val="14"/>
                <w:szCs w:val="14"/>
              </w:rPr>
            </w:pPr>
            <w:r>
              <w:rPr>
                <w:sz w:val="14"/>
                <w:szCs w:val="14"/>
              </w:rPr>
              <w:t>-</w:t>
            </w:r>
          </w:p>
        </w:tc>
      </w:tr>
      <w:tr w:rsidR="0048178F" w14:paraId="71A29163" w14:textId="77777777" w:rsidTr="00D76706">
        <w:tc>
          <w:tcPr>
            <w:tcW w:w="1818" w:type="dxa"/>
          </w:tcPr>
          <w:p w14:paraId="7DB49AA6" w14:textId="77777777" w:rsidR="0048178F" w:rsidRDefault="0048178F" w:rsidP="00D76706">
            <w:pPr>
              <w:rPr>
                <w:sz w:val="14"/>
                <w:szCs w:val="14"/>
              </w:rPr>
            </w:pPr>
            <w:r>
              <w:rPr>
                <w:sz w:val="14"/>
                <w:szCs w:val="14"/>
              </w:rPr>
              <w:t>apportionmentCategoryCode</w:t>
            </w:r>
          </w:p>
        </w:tc>
        <w:tc>
          <w:tcPr>
            <w:tcW w:w="2880" w:type="dxa"/>
          </w:tcPr>
          <w:p w14:paraId="149DCB64" w14:textId="77777777" w:rsidR="0048178F" w:rsidRDefault="0048178F" w:rsidP="00D76706">
            <w:pPr>
              <w:rPr>
                <w:sz w:val="14"/>
                <w:szCs w:val="14"/>
              </w:rPr>
            </w:pPr>
            <w:r w:rsidRPr="00E46799">
              <w:rPr>
                <w:sz w:val="14"/>
                <w:szCs w:val="14"/>
              </w:rPr>
              <w:t>I</w:t>
            </w:r>
            <w:r>
              <w:rPr>
                <w:sz w:val="14"/>
                <w:szCs w:val="14"/>
              </w:rPr>
              <w:t xml:space="preserve">dentifies OMB apportionments by </w:t>
            </w:r>
            <w:r w:rsidRPr="00E46799">
              <w:rPr>
                <w:sz w:val="14"/>
                <w:szCs w:val="14"/>
              </w:rPr>
              <w:t>qu</w:t>
            </w:r>
            <w:r>
              <w:rPr>
                <w:sz w:val="14"/>
                <w:szCs w:val="14"/>
              </w:rPr>
              <w:t xml:space="preserve">arters (Category A) or by other </w:t>
            </w:r>
            <w:r w:rsidRPr="00E46799">
              <w:rPr>
                <w:sz w:val="14"/>
                <w:szCs w:val="14"/>
              </w:rPr>
              <w:t>sp</w:t>
            </w:r>
            <w:r>
              <w:rPr>
                <w:sz w:val="14"/>
                <w:szCs w:val="14"/>
              </w:rPr>
              <w:t xml:space="preserve">ecified time periods, programs, </w:t>
            </w:r>
            <w:r w:rsidRPr="00E46799">
              <w:rPr>
                <w:sz w:val="14"/>
                <w:szCs w:val="14"/>
              </w:rPr>
              <w:t>ac</w:t>
            </w:r>
            <w:r>
              <w:rPr>
                <w:sz w:val="14"/>
                <w:szCs w:val="14"/>
              </w:rPr>
              <w:t xml:space="preserve">tivities, projects, objects, or </w:t>
            </w:r>
            <w:r w:rsidRPr="00E46799">
              <w:rPr>
                <w:sz w:val="14"/>
                <w:szCs w:val="14"/>
              </w:rPr>
              <w:t>combina</w:t>
            </w:r>
            <w:r>
              <w:rPr>
                <w:sz w:val="14"/>
                <w:szCs w:val="14"/>
              </w:rPr>
              <w:t xml:space="preserve">tions of these (Category B), or </w:t>
            </w:r>
            <w:r w:rsidRPr="00E46799">
              <w:rPr>
                <w:sz w:val="14"/>
                <w:szCs w:val="14"/>
              </w:rPr>
              <w:t>a</w:t>
            </w:r>
            <w:r>
              <w:rPr>
                <w:sz w:val="14"/>
                <w:szCs w:val="14"/>
              </w:rPr>
              <w:t xml:space="preserve">re not subject to apportionment </w:t>
            </w:r>
            <w:r w:rsidRPr="00E46799">
              <w:rPr>
                <w:sz w:val="14"/>
                <w:szCs w:val="14"/>
              </w:rPr>
              <w:t>(Category E).</w:t>
            </w:r>
          </w:p>
        </w:tc>
        <w:tc>
          <w:tcPr>
            <w:tcW w:w="1800" w:type="dxa"/>
          </w:tcPr>
          <w:p w14:paraId="04908330" w14:textId="77777777" w:rsidR="0048178F" w:rsidRDefault="0048178F" w:rsidP="00D76706">
            <w:pPr>
              <w:jc w:val="center"/>
              <w:rPr>
                <w:sz w:val="14"/>
                <w:szCs w:val="14"/>
              </w:rPr>
            </w:pPr>
            <w:r>
              <w:rPr>
                <w:sz w:val="14"/>
                <w:szCs w:val="14"/>
              </w:rPr>
              <w:t>ApportionmentCategoryCodeItemType</w:t>
            </w:r>
          </w:p>
          <w:p w14:paraId="37058355" w14:textId="77777777" w:rsidR="0048178F" w:rsidRPr="0050395C" w:rsidRDefault="0048178F" w:rsidP="00D76706">
            <w:pPr>
              <w:jc w:val="center"/>
              <w:rPr>
                <w:sz w:val="14"/>
                <w:szCs w:val="14"/>
              </w:rPr>
            </w:pPr>
            <w:r>
              <w:rPr>
                <w:sz w:val="14"/>
                <w:szCs w:val="14"/>
              </w:rPr>
              <w:t>(enumeration)</w:t>
            </w:r>
          </w:p>
        </w:tc>
        <w:tc>
          <w:tcPr>
            <w:tcW w:w="1170" w:type="dxa"/>
          </w:tcPr>
          <w:p w14:paraId="698C24E0" w14:textId="77777777" w:rsidR="0048178F" w:rsidRDefault="0048178F" w:rsidP="00D76706">
            <w:pPr>
              <w:jc w:val="center"/>
              <w:rPr>
                <w:sz w:val="14"/>
                <w:szCs w:val="14"/>
              </w:rPr>
            </w:pPr>
            <w:r>
              <w:rPr>
                <w:sz w:val="14"/>
                <w:szCs w:val="14"/>
              </w:rPr>
              <w:t>1</w:t>
            </w:r>
          </w:p>
        </w:tc>
        <w:tc>
          <w:tcPr>
            <w:tcW w:w="1080" w:type="dxa"/>
          </w:tcPr>
          <w:p w14:paraId="406F8CC7" w14:textId="77777777" w:rsidR="0048178F" w:rsidRDefault="0048178F" w:rsidP="00D76706">
            <w:pPr>
              <w:rPr>
                <w:sz w:val="14"/>
                <w:szCs w:val="14"/>
              </w:rPr>
            </w:pPr>
            <w:r>
              <w:rPr>
                <w:sz w:val="14"/>
                <w:szCs w:val="14"/>
              </w:rPr>
              <w:t>A</w:t>
            </w:r>
          </w:p>
          <w:p w14:paraId="12787B3F" w14:textId="77777777" w:rsidR="0048178F" w:rsidRDefault="0048178F" w:rsidP="00D76706">
            <w:pPr>
              <w:rPr>
                <w:sz w:val="14"/>
                <w:szCs w:val="14"/>
              </w:rPr>
            </w:pPr>
            <w:r>
              <w:rPr>
                <w:sz w:val="14"/>
                <w:szCs w:val="14"/>
              </w:rPr>
              <w:t>B</w:t>
            </w:r>
          </w:p>
          <w:p w14:paraId="331CE845" w14:textId="77777777" w:rsidR="0048178F" w:rsidRDefault="0048178F" w:rsidP="00D76706">
            <w:pPr>
              <w:rPr>
                <w:sz w:val="14"/>
                <w:szCs w:val="14"/>
              </w:rPr>
            </w:pPr>
            <w:r>
              <w:rPr>
                <w:sz w:val="14"/>
                <w:szCs w:val="14"/>
              </w:rPr>
              <w:t>E</w:t>
            </w:r>
          </w:p>
        </w:tc>
        <w:tc>
          <w:tcPr>
            <w:tcW w:w="828" w:type="dxa"/>
            <w:shd w:val="clear" w:color="auto" w:fill="auto"/>
          </w:tcPr>
          <w:p w14:paraId="7707645F" w14:textId="77777777" w:rsidR="0048178F" w:rsidRDefault="0048178F" w:rsidP="00D76706">
            <w:pPr>
              <w:jc w:val="center"/>
              <w:rPr>
                <w:sz w:val="14"/>
                <w:szCs w:val="14"/>
              </w:rPr>
            </w:pPr>
            <w:r>
              <w:rPr>
                <w:sz w:val="14"/>
                <w:szCs w:val="14"/>
              </w:rPr>
              <w:t>-</w:t>
            </w:r>
          </w:p>
        </w:tc>
      </w:tr>
      <w:tr w:rsidR="0048178F" w14:paraId="73FA7D09" w14:textId="77777777" w:rsidTr="00D76706">
        <w:tc>
          <w:tcPr>
            <w:tcW w:w="1818" w:type="dxa"/>
          </w:tcPr>
          <w:p w14:paraId="04B06CFE" w14:textId="77777777" w:rsidR="0048178F" w:rsidRDefault="0048178F" w:rsidP="00D76706">
            <w:pPr>
              <w:rPr>
                <w:sz w:val="14"/>
                <w:szCs w:val="14"/>
              </w:rPr>
            </w:pPr>
            <w:r>
              <w:rPr>
                <w:sz w:val="14"/>
                <w:szCs w:val="14"/>
              </w:rPr>
              <w:t>apportionmentCategoryBProgramCode</w:t>
            </w:r>
          </w:p>
        </w:tc>
        <w:tc>
          <w:tcPr>
            <w:tcW w:w="2880" w:type="dxa"/>
          </w:tcPr>
          <w:p w14:paraId="7F5200A5" w14:textId="77777777" w:rsidR="0048178F" w:rsidRDefault="0048178F" w:rsidP="00D76706">
            <w:pPr>
              <w:rPr>
                <w:sz w:val="14"/>
                <w:szCs w:val="14"/>
              </w:rPr>
            </w:pPr>
            <w:r w:rsidRPr="001454FD">
              <w:rPr>
                <w:sz w:val="14"/>
                <w:szCs w:val="14"/>
              </w:rPr>
              <w:t>The cod</w:t>
            </w:r>
            <w:r>
              <w:rPr>
                <w:sz w:val="14"/>
                <w:szCs w:val="14"/>
              </w:rPr>
              <w:t xml:space="preserve">e representing the category A/B </w:t>
            </w:r>
            <w:r w:rsidRPr="001454FD">
              <w:rPr>
                <w:sz w:val="14"/>
                <w:szCs w:val="14"/>
              </w:rPr>
              <w:t xml:space="preserve">and B program used on the SF </w:t>
            </w:r>
            <w:r>
              <w:rPr>
                <w:sz w:val="14"/>
                <w:szCs w:val="14"/>
              </w:rPr>
              <w:t xml:space="preserve">132 </w:t>
            </w:r>
            <w:r w:rsidRPr="001454FD">
              <w:rPr>
                <w:sz w:val="14"/>
                <w:szCs w:val="14"/>
              </w:rPr>
              <w:t>apport</w:t>
            </w:r>
            <w:r>
              <w:rPr>
                <w:sz w:val="14"/>
                <w:szCs w:val="14"/>
              </w:rPr>
              <w:t xml:space="preserve">ionment schedule. Apportionment </w:t>
            </w:r>
            <w:r w:rsidRPr="001454FD">
              <w:rPr>
                <w:sz w:val="14"/>
                <w:szCs w:val="14"/>
              </w:rPr>
              <w:t>Cate</w:t>
            </w:r>
            <w:r>
              <w:rPr>
                <w:sz w:val="14"/>
                <w:szCs w:val="14"/>
              </w:rPr>
              <w:t xml:space="preserve">gory B Program Code is the four </w:t>
            </w:r>
            <w:r w:rsidRPr="001454FD">
              <w:rPr>
                <w:sz w:val="14"/>
                <w:szCs w:val="14"/>
              </w:rPr>
              <w:t>d</w:t>
            </w:r>
            <w:r>
              <w:rPr>
                <w:sz w:val="14"/>
                <w:szCs w:val="14"/>
              </w:rPr>
              <w:t xml:space="preserve">igit number from 6011-6159 that </w:t>
            </w:r>
            <w:r w:rsidRPr="001454FD">
              <w:rPr>
                <w:sz w:val="14"/>
                <w:szCs w:val="14"/>
              </w:rPr>
              <w:t>represe</w:t>
            </w:r>
            <w:r>
              <w:rPr>
                <w:sz w:val="14"/>
                <w:szCs w:val="14"/>
              </w:rPr>
              <w:t xml:space="preserve">nts a line on the apportionment </w:t>
            </w:r>
            <w:r w:rsidRPr="001454FD">
              <w:rPr>
                <w:sz w:val="14"/>
                <w:szCs w:val="14"/>
              </w:rPr>
              <w:t>schedu</w:t>
            </w:r>
            <w:r>
              <w:rPr>
                <w:sz w:val="14"/>
                <w:szCs w:val="14"/>
              </w:rPr>
              <w:t xml:space="preserve">le. The category B program code is required if the apportionment category </w:t>
            </w:r>
            <w:r w:rsidRPr="001454FD">
              <w:rPr>
                <w:sz w:val="14"/>
                <w:szCs w:val="14"/>
              </w:rPr>
              <w:t>is A/</w:t>
            </w:r>
            <w:r>
              <w:rPr>
                <w:sz w:val="14"/>
                <w:szCs w:val="14"/>
              </w:rPr>
              <w:t xml:space="preserve">B or B. Category B programs are </w:t>
            </w:r>
            <w:r w:rsidRPr="001454FD">
              <w:rPr>
                <w:sz w:val="14"/>
                <w:szCs w:val="14"/>
              </w:rPr>
              <w:t>subject to the Anti-Deficiency Act</w:t>
            </w:r>
          </w:p>
        </w:tc>
        <w:tc>
          <w:tcPr>
            <w:tcW w:w="1800" w:type="dxa"/>
          </w:tcPr>
          <w:p w14:paraId="07EFB8E0" w14:textId="77777777" w:rsidR="0048178F" w:rsidRPr="0050395C" w:rsidRDefault="0048178F" w:rsidP="00D76706">
            <w:pPr>
              <w:jc w:val="center"/>
              <w:rPr>
                <w:sz w:val="14"/>
                <w:szCs w:val="14"/>
              </w:rPr>
            </w:pPr>
            <w:r>
              <w:rPr>
                <w:sz w:val="14"/>
                <w:szCs w:val="14"/>
              </w:rPr>
              <w:t>String</w:t>
            </w:r>
          </w:p>
        </w:tc>
        <w:tc>
          <w:tcPr>
            <w:tcW w:w="1170" w:type="dxa"/>
            <w:shd w:val="clear" w:color="auto" w:fill="auto"/>
          </w:tcPr>
          <w:p w14:paraId="12941177" w14:textId="77777777" w:rsidR="0048178F" w:rsidRDefault="0048178F" w:rsidP="00D76706">
            <w:pPr>
              <w:jc w:val="center"/>
              <w:rPr>
                <w:sz w:val="14"/>
                <w:szCs w:val="14"/>
              </w:rPr>
            </w:pPr>
          </w:p>
        </w:tc>
        <w:tc>
          <w:tcPr>
            <w:tcW w:w="1080" w:type="dxa"/>
          </w:tcPr>
          <w:p w14:paraId="556EBC86" w14:textId="77777777" w:rsidR="0048178F" w:rsidRDefault="0048178F" w:rsidP="00D76706">
            <w:pPr>
              <w:rPr>
                <w:sz w:val="14"/>
                <w:szCs w:val="14"/>
              </w:rPr>
            </w:pPr>
            <w:r>
              <w:rPr>
                <w:sz w:val="14"/>
                <w:szCs w:val="14"/>
              </w:rPr>
              <w:t>6013</w:t>
            </w:r>
          </w:p>
        </w:tc>
        <w:tc>
          <w:tcPr>
            <w:tcW w:w="828" w:type="dxa"/>
            <w:shd w:val="clear" w:color="auto" w:fill="auto"/>
          </w:tcPr>
          <w:p w14:paraId="144346A9" w14:textId="77777777" w:rsidR="0048178F" w:rsidRDefault="0048178F" w:rsidP="00D76706">
            <w:pPr>
              <w:jc w:val="center"/>
              <w:rPr>
                <w:sz w:val="14"/>
                <w:szCs w:val="14"/>
              </w:rPr>
            </w:pPr>
            <w:r>
              <w:rPr>
                <w:sz w:val="14"/>
                <w:szCs w:val="14"/>
              </w:rPr>
              <w:t>-</w:t>
            </w:r>
          </w:p>
        </w:tc>
      </w:tr>
      <w:tr w:rsidR="0048178F" w14:paraId="6F4D2385" w14:textId="77777777" w:rsidTr="00D76706">
        <w:tc>
          <w:tcPr>
            <w:tcW w:w="1818" w:type="dxa"/>
          </w:tcPr>
          <w:p w14:paraId="6B9BB296" w14:textId="77777777" w:rsidR="0048178F" w:rsidRDefault="0048178F" w:rsidP="00D76706">
            <w:pPr>
              <w:rPr>
                <w:sz w:val="14"/>
                <w:szCs w:val="14"/>
              </w:rPr>
            </w:pPr>
            <w:r>
              <w:rPr>
                <w:sz w:val="14"/>
                <w:szCs w:val="14"/>
              </w:rPr>
              <w:t>programReportCategoryNumber</w:t>
            </w:r>
          </w:p>
        </w:tc>
        <w:tc>
          <w:tcPr>
            <w:tcW w:w="2880" w:type="dxa"/>
          </w:tcPr>
          <w:p w14:paraId="4F1F091F" w14:textId="77777777" w:rsidR="0048178F" w:rsidRDefault="0048178F" w:rsidP="00D76706">
            <w:pPr>
              <w:rPr>
                <w:sz w:val="14"/>
                <w:szCs w:val="14"/>
              </w:rPr>
            </w:pPr>
            <w:r w:rsidRPr="001454FD">
              <w:rPr>
                <w:sz w:val="14"/>
                <w:szCs w:val="14"/>
              </w:rPr>
              <w:t>Identifies</w:t>
            </w:r>
            <w:r>
              <w:rPr>
                <w:sz w:val="14"/>
                <w:szCs w:val="14"/>
              </w:rPr>
              <w:t xml:space="preserve"> a program report category that </w:t>
            </w:r>
            <w:r w:rsidRPr="001454FD">
              <w:rPr>
                <w:sz w:val="14"/>
                <w:szCs w:val="14"/>
              </w:rPr>
              <w:t>ag</w:t>
            </w:r>
            <w:r>
              <w:rPr>
                <w:sz w:val="14"/>
                <w:szCs w:val="14"/>
              </w:rPr>
              <w:t xml:space="preserve">encies use when reporting their </w:t>
            </w:r>
            <w:r w:rsidRPr="001454FD">
              <w:rPr>
                <w:sz w:val="14"/>
                <w:szCs w:val="14"/>
              </w:rPr>
              <w:t>obligations in their detailed</w:t>
            </w:r>
            <w:r>
              <w:rPr>
                <w:sz w:val="14"/>
                <w:szCs w:val="14"/>
              </w:rPr>
              <w:t xml:space="preserve"> financial </w:t>
            </w:r>
            <w:r w:rsidRPr="001454FD">
              <w:rPr>
                <w:sz w:val="14"/>
                <w:szCs w:val="14"/>
              </w:rPr>
              <w:t>informat</w:t>
            </w:r>
            <w:r>
              <w:rPr>
                <w:sz w:val="14"/>
                <w:szCs w:val="14"/>
              </w:rPr>
              <w:t xml:space="preserve">ion. Agencies may use this code </w:t>
            </w:r>
            <w:r w:rsidRPr="001454FD">
              <w:rPr>
                <w:sz w:val="14"/>
                <w:szCs w:val="14"/>
              </w:rPr>
              <w:t>when</w:t>
            </w:r>
            <w:r>
              <w:rPr>
                <w:sz w:val="14"/>
                <w:szCs w:val="14"/>
              </w:rPr>
              <w:t xml:space="preserve"> reporting either Category A or </w:t>
            </w:r>
            <w:r w:rsidRPr="001454FD">
              <w:rPr>
                <w:sz w:val="14"/>
                <w:szCs w:val="14"/>
              </w:rPr>
              <w:t>Cat</w:t>
            </w:r>
            <w:r>
              <w:rPr>
                <w:sz w:val="14"/>
                <w:szCs w:val="14"/>
              </w:rPr>
              <w:t xml:space="preserve">egory B obligations. Unlike the </w:t>
            </w:r>
            <w:r w:rsidRPr="001454FD">
              <w:rPr>
                <w:sz w:val="14"/>
                <w:szCs w:val="14"/>
              </w:rPr>
              <w:t>Apporti</w:t>
            </w:r>
            <w:r>
              <w:rPr>
                <w:sz w:val="14"/>
                <w:szCs w:val="14"/>
              </w:rPr>
              <w:t xml:space="preserve">onment Category B Program, this </w:t>
            </w:r>
            <w:r w:rsidRPr="001454FD">
              <w:rPr>
                <w:sz w:val="14"/>
                <w:szCs w:val="14"/>
              </w:rPr>
              <w:t>c</w:t>
            </w:r>
            <w:r>
              <w:rPr>
                <w:sz w:val="14"/>
                <w:szCs w:val="14"/>
              </w:rPr>
              <w:t>ode is NOT subject to the Anti-</w:t>
            </w:r>
            <w:r w:rsidRPr="001454FD">
              <w:rPr>
                <w:sz w:val="14"/>
                <w:szCs w:val="14"/>
              </w:rPr>
              <w:t>Deficiency Act</w:t>
            </w:r>
          </w:p>
        </w:tc>
        <w:tc>
          <w:tcPr>
            <w:tcW w:w="1800" w:type="dxa"/>
          </w:tcPr>
          <w:p w14:paraId="74ADC200" w14:textId="77777777" w:rsidR="0048178F" w:rsidRPr="0050395C" w:rsidRDefault="0048178F" w:rsidP="00D76706">
            <w:pPr>
              <w:jc w:val="center"/>
              <w:rPr>
                <w:sz w:val="14"/>
                <w:szCs w:val="14"/>
              </w:rPr>
            </w:pPr>
            <w:r>
              <w:rPr>
                <w:sz w:val="14"/>
                <w:szCs w:val="14"/>
              </w:rPr>
              <w:t>String</w:t>
            </w:r>
          </w:p>
        </w:tc>
        <w:tc>
          <w:tcPr>
            <w:tcW w:w="1170" w:type="dxa"/>
            <w:shd w:val="clear" w:color="auto" w:fill="auto"/>
          </w:tcPr>
          <w:p w14:paraId="48F86EBD" w14:textId="77777777" w:rsidR="0048178F" w:rsidRDefault="0048178F" w:rsidP="00D76706">
            <w:pPr>
              <w:jc w:val="center"/>
              <w:rPr>
                <w:sz w:val="14"/>
                <w:szCs w:val="14"/>
              </w:rPr>
            </w:pPr>
          </w:p>
        </w:tc>
        <w:tc>
          <w:tcPr>
            <w:tcW w:w="1080" w:type="dxa"/>
          </w:tcPr>
          <w:p w14:paraId="7DBD227F" w14:textId="77777777" w:rsidR="0048178F" w:rsidRDefault="0048178F" w:rsidP="00D76706">
            <w:pPr>
              <w:rPr>
                <w:sz w:val="14"/>
                <w:szCs w:val="14"/>
              </w:rPr>
            </w:pPr>
            <w:r>
              <w:rPr>
                <w:sz w:val="14"/>
                <w:szCs w:val="14"/>
              </w:rPr>
              <w:t>99</w:t>
            </w:r>
            <w:r w:rsidR="007F59A2">
              <w:rPr>
                <w:sz w:val="14"/>
                <w:szCs w:val="14"/>
              </w:rPr>
              <w:t>9</w:t>
            </w:r>
          </w:p>
        </w:tc>
        <w:tc>
          <w:tcPr>
            <w:tcW w:w="828" w:type="dxa"/>
            <w:shd w:val="clear" w:color="auto" w:fill="auto"/>
          </w:tcPr>
          <w:p w14:paraId="5BE15A2C" w14:textId="77777777" w:rsidR="0048178F" w:rsidRDefault="0048178F" w:rsidP="00D76706">
            <w:pPr>
              <w:jc w:val="center"/>
              <w:rPr>
                <w:sz w:val="14"/>
                <w:szCs w:val="14"/>
              </w:rPr>
            </w:pPr>
            <w:r>
              <w:rPr>
                <w:sz w:val="14"/>
                <w:szCs w:val="14"/>
              </w:rPr>
              <w:t>-</w:t>
            </w:r>
          </w:p>
        </w:tc>
      </w:tr>
      <w:tr w:rsidR="0048178F" w14:paraId="44A7F799" w14:textId="77777777" w:rsidTr="00D76706">
        <w:tc>
          <w:tcPr>
            <w:tcW w:w="1818" w:type="dxa"/>
          </w:tcPr>
          <w:p w14:paraId="7D58A7D7" w14:textId="77777777" w:rsidR="0048178F" w:rsidRDefault="0048178F" w:rsidP="00D76706">
            <w:pPr>
              <w:rPr>
                <w:sz w:val="14"/>
                <w:szCs w:val="14"/>
              </w:rPr>
            </w:pPr>
            <w:r>
              <w:rPr>
                <w:sz w:val="14"/>
                <w:szCs w:val="14"/>
              </w:rPr>
              <w:t>federalNonFederalIndicator</w:t>
            </w:r>
          </w:p>
        </w:tc>
        <w:tc>
          <w:tcPr>
            <w:tcW w:w="2880" w:type="dxa"/>
          </w:tcPr>
          <w:p w14:paraId="4D2BCD21" w14:textId="77777777" w:rsidR="0048178F" w:rsidRPr="001454FD" w:rsidRDefault="0048178F" w:rsidP="00D76706">
            <w:pPr>
              <w:rPr>
                <w:sz w:val="14"/>
                <w:szCs w:val="14"/>
              </w:rPr>
            </w:pPr>
            <w:r w:rsidRPr="001454FD">
              <w:rPr>
                <w:sz w:val="14"/>
                <w:szCs w:val="14"/>
              </w:rPr>
              <w:t>Indicates</w:t>
            </w:r>
            <w:r>
              <w:rPr>
                <w:sz w:val="14"/>
                <w:szCs w:val="14"/>
              </w:rPr>
              <w:t xml:space="preserve"> the type of entity involved in </w:t>
            </w:r>
            <w:r w:rsidRPr="001454FD">
              <w:rPr>
                <w:sz w:val="14"/>
                <w:szCs w:val="14"/>
              </w:rPr>
              <w:t>transact</w:t>
            </w:r>
            <w:r>
              <w:rPr>
                <w:sz w:val="14"/>
                <w:szCs w:val="14"/>
              </w:rPr>
              <w:t xml:space="preserve">ions with the reporting entity: </w:t>
            </w:r>
            <w:r w:rsidRPr="001454FD">
              <w:rPr>
                <w:sz w:val="14"/>
                <w:szCs w:val="14"/>
              </w:rPr>
              <w:t>other Federal entities (F); non-Federal</w:t>
            </w:r>
          </w:p>
          <w:p w14:paraId="246945BA" w14:textId="77777777" w:rsidR="0048178F" w:rsidRPr="001454FD" w:rsidRDefault="0048178F" w:rsidP="00D76706">
            <w:pPr>
              <w:rPr>
                <w:sz w:val="14"/>
                <w:szCs w:val="14"/>
              </w:rPr>
            </w:pPr>
            <w:r>
              <w:rPr>
                <w:sz w:val="14"/>
                <w:szCs w:val="14"/>
              </w:rPr>
              <w:t xml:space="preserve">entities such as </w:t>
            </w:r>
            <w:r w:rsidRPr="001454FD">
              <w:rPr>
                <w:sz w:val="14"/>
                <w:szCs w:val="14"/>
              </w:rPr>
              <w:t>private/local/state/tribal/foreign</w:t>
            </w:r>
          </w:p>
          <w:p w14:paraId="75A4C922" w14:textId="77777777" w:rsidR="0048178F" w:rsidRDefault="0048178F" w:rsidP="00D76706">
            <w:pPr>
              <w:rPr>
                <w:sz w:val="14"/>
                <w:szCs w:val="14"/>
              </w:rPr>
            </w:pPr>
            <w:r w:rsidRPr="001454FD">
              <w:rPr>
                <w:sz w:val="14"/>
                <w:szCs w:val="14"/>
              </w:rPr>
              <w:t>govern</w:t>
            </w:r>
            <w:r>
              <w:rPr>
                <w:sz w:val="14"/>
                <w:szCs w:val="14"/>
              </w:rPr>
              <w:t xml:space="preserve">ments (N), exceptions for other </w:t>
            </w:r>
            <w:r w:rsidRPr="001454FD">
              <w:rPr>
                <w:sz w:val="14"/>
                <w:szCs w:val="14"/>
              </w:rPr>
              <w:t>non-F</w:t>
            </w:r>
            <w:r>
              <w:rPr>
                <w:sz w:val="14"/>
                <w:szCs w:val="14"/>
              </w:rPr>
              <w:t xml:space="preserve">ederal partners (E), or General </w:t>
            </w:r>
            <w:r w:rsidRPr="001454FD">
              <w:rPr>
                <w:sz w:val="14"/>
                <w:szCs w:val="14"/>
              </w:rPr>
              <w:t>Fund only, G.</w:t>
            </w:r>
          </w:p>
        </w:tc>
        <w:tc>
          <w:tcPr>
            <w:tcW w:w="1800" w:type="dxa"/>
          </w:tcPr>
          <w:p w14:paraId="4DC51204" w14:textId="77777777" w:rsidR="0048178F" w:rsidRDefault="0048178F" w:rsidP="00D76706">
            <w:pPr>
              <w:jc w:val="center"/>
              <w:rPr>
                <w:sz w:val="14"/>
                <w:szCs w:val="14"/>
              </w:rPr>
            </w:pPr>
            <w:r>
              <w:rPr>
                <w:sz w:val="14"/>
                <w:szCs w:val="14"/>
              </w:rPr>
              <w:t>federalNonFederalIndicatorItemType</w:t>
            </w:r>
          </w:p>
          <w:p w14:paraId="1C50F640" w14:textId="77777777" w:rsidR="0048178F" w:rsidRPr="0050395C" w:rsidRDefault="0048178F" w:rsidP="00D76706">
            <w:pPr>
              <w:jc w:val="center"/>
              <w:rPr>
                <w:sz w:val="14"/>
                <w:szCs w:val="14"/>
              </w:rPr>
            </w:pPr>
            <w:r>
              <w:rPr>
                <w:sz w:val="14"/>
                <w:szCs w:val="14"/>
              </w:rPr>
              <w:t>(enumeration)</w:t>
            </w:r>
          </w:p>
        </w:tc>
        <w:tc>
          <w:tcPr>
            <w:tcW w:w="1170" w:type="dxa"/>
          </w:tcPr>
          <w:p w14:paraId="6903C413" w14:textId="77777777" w:rsidR="0048178F" w:rsidRDefault="0048178F" w:rsidP="00D76706">
            <w:pPr>
              <w:jc w:val="center"/>
              <w:rPr>
                <w:sz w:val="14"/>
                <w:szCs w:val="14"/>
              </w:rPr>
            </w:pPr>
            <w:r>
              <w:rPr>
                <w:sz w:val="14"/>
                <w:szCs w:val="14"/>
              </w:rPr>
              <w:t>1</w:t>
            </w:r>
          </w:p>
        </w:tc>
        <w:tc>
          <w:tcPr>
            <w:tcW w:w="1080" w:type="dxa"/>
          </w:tcPr>
          <w:p w14:paraId="5085EA0A" w14:textId="77777777" w:rsidR="0048178F" w:rsidRDefault="0048178F" w:rsidP="00D76706">
            <w:pPr>
              <w:rPr>
                <w:sz w:val="14"/>
                <w:szCs w:val="14"/>
              </w:rPr>
            </w:pPr>
            <w:r>
              <w:rPr>
                <w:sz w:val="14"/>
                <w:szCs w:val="14"/>
              </w:rPr>
              <w:t>E</w:t>
            </w:r>
          </w:p>
          <w:p w14:paraId="3C705301" w14:textId="77777777" w:rsidR="0048178F" w:rsidRDefault="0048178F" w:rsidP="00D76706">
            <w:pPr>
              <w:rPr>
                <w:sz w:val="14"/>
                <w:szCs w:val="14"/>
              </w:rPr>
            </w:pPr>
            <w:r>
              <w:rPr>
                <w:sz w:val="14"/>
                <w:szCs w:val="14"/>
              </w:rPr>
              <w:t>F</w:t>
            </w:r>
          </w:p>
          <w:p w14:paraId="3C2D313E" w14:textId="77777777" w:rsidR="0048178F" w:rsidRDefault="0048178F" w:rsidP="00D76706">
            <w:pPr>
              <w:rPr>
                <w:sz w:val="14"/>
                <w:szCs w:val="14"/>
              </w:rPr>
            </w:pPr>
            <w:r>
              <w:rPr>
                <w:sz w:val="14"/>
                <w:szCs w:val="14"/>
              </w:rPr>
              <w:t>G</w:t>
            </w:r>
          </w:p>
          <w:p w14:paraId="2CC6F63C" w14:textId="77777777" w:rsidR="0048178F" w:rsidRDefault="0048178F" w:rsidP="00D76706">
            <w:pPr>
              <w:rPr>
                <w:sz w:val="14"/>
                <w:szCs w:val="14"/>
              </w:rPr>
            </w:pPr>
            <w:r>
              <w:rPr>
                <w:sz w:val="14"/>
                <w:szCs w:val="14"/>
              </w:rPr>
              <w:t>N</w:t>
            </w:r>
          </w:p>
          <w:p w14:paraId="67E1260C" w14:textId="77777777" w:rsidR="0048178F" w:rsidRDefault="0048178F" w:rsidP="00D76706">
            <w:pPr>
              <w:rPr>
                <w:sz w:val="14"/>
                <w:szCs w:val="14"/>
              </w:rPr>
            </w:pPr>
            <w:r>
              <w:rPr>
                <w:sz w:val="14"/>
                <w:szCs w:val="14"/>
              </w:rPr>
              <w:t>Z</w:t>
            </w:r>
          </w:p>
        </w:tc>
        <w:tc>
          <w:tcPr>
            <w:tcW w:w="828" w:type="dxa"/>
            <w:shd w:val="clear" w:color="auto" w:fill="auto"/>
          </w:tcPr>
          <w:p w14:paraId="437D9AC9" w14:textId="77777777" w:rsidR="0048178F" w:rsidRDefault="0048178F" w:rsidP="00D76706">
            <w:pPr>
              <w:jc w:val="center"/>
              <w:rPr>
                <w:sz w:val="14"/>
                <w:szCs w:val="14"/>
              </w:rPr>
            </w:pPr>
            <w:r>
              <w:rPr>
                <w:sz w:val="14"/>
                <w:szCs w:val="14"/>
              </w:rPr>
              <w:t>-</w:t>
            </w:r>
          </w:p>
        </w:tc>
      </w:tr>
      <w:tr w:rsidR="0048178F" w14:paraId="47CCBBD8" w14:textId="77777777" w:rsidTr="00D76706">
        <w:tc>
          <w:tcPr>
            <w:tcW w:w="1818" w:type="dxa"/>
          </w:tcPr>
          <w:p w14:paraId="7AD2759B" w14:textId="77777777" w:rsidR="0048178F" w:rsidRDefault="0048178F" w:rsidP="00D76706">
            <w:pPr>
              <w:rPr>
                <w:sz w:val="14"/>
                <w:szCs w:val="14"/>
              </w:rPr>
            </w:pPr>
            <w:r>
              <w:rPr>
                <w:sz w:val="14"/>
                <w:szCs w:val="14"/>
              </w:rPr>
              <w:t>tradingPartnerAgencyIdentifier</w:t>
            </w:r>
          </w:p>
        </w:tc>
        <w:tc>
          <w:tcPr>
            <w:tcW w:w="2880" w:type="dxa"/>
          </w:tcPr>
          <w:p w14:paraId="76F6B105" w14:textId="77777777" w:rsidR="0048178F" w:rsidRDefault="0048178F" w:rsidP="00D76706">
            <w:pPr>
              <w:rPr>
                <w:sz w:val="14"/>
                <w:szCs w:val="14"/>
              </w:rPr>
            </w:pPr>
            <w:r w:rsidRPr="001454FD">
              <w:rPr>
                <w:sz w:val="14"/>
                <w:szCs w:val="14"/>
              </w:rPr>
              <w:t>Represents the agency identifier of the</w:t>
            </w:r>
            <w:r>
              <w:rPr>
                <w:sz w:val="14"/>
                <w:szCs w:val="14"/>
              </w:rPr>
              <w:t xml:space="preserve"> </w:t>
            </w:r>
            <w:r w:rsidRPr="001454FD">
              <w:rPr>
                <w:sz w:val="14"/>
                <w:szCs w:val="14"/>
              </w:rPr>
              <w:t>other department, agency, or</w:t>
            </w:r>
            <w:r>
              <w:rPr>
                <w:sz w:val="14"/>
                <w:szCs w:val="14"/>
              </w:rPr>
              <w:t xml:space="preserve"> </w:t>
            </w:r>
            <w:r w:rsidRPr="001454FD">
              <w:rPr>
                <w:sz w:val="14"/>
                <w:szCs w:val="14"/>
              </w:rPr>
              <w:t>establishment of the U. S. government</w:t>
            </w:r>
            <w:r>
              <w:rPr>
                <w:sz w:val="14"/>
                <w:szCs w:val="14"/>
              </w:rPr>
              <w:t xml:space="preserve"> </w:t>
            </w:r>
            <w:r w:rsidRPr="001454FD">
              <w:rPr>
                <w:sz w:val="14"/>
                <w:szCs w:val="14"/>
              </w:rPr>
              <w:t>involved in transactions with the reporting</w:t>
            </w:r>
            <w:r>
              <w:rPr>
                <w:sz w:val="14"/>
                <w:szCs w:val="14"/>
              </w:rPr>
              <w:t xml:space="preserve"> </w:t>
            </w:r>
            <w:r w:rsidRPr="001454FD">
              <w:rPr>
                <w:sz w:val="14"/>
                <w:szCs w:val="14"/>
              </w:rPr>
              <w:t>entity. Required with the proprietary</w:t>
            </w:r>
            <w:r>
              <w:rPr>
                <w:sz w:val="14"/>
                <w:szCs w:val="14"/>
              </w:rPr>
              <w:t xml:space="preserve"> </w:t>
            </w:r>
            <w:r w:rsidRPr="001454FD">
              <w:rPr>
                <w:sz w:val="14"/>
                <w:szCs w:val="14"/>
              </w:rPr>
              <w:t>USSGLs if the Fed/Non-Federal Indicator</w:t>
            </w:r>
            <w:r>
              <w:rPr>
                <w:sz w:val="14"/>
                <w:szCs w:val="14"/>
              </w:rPr>
              <w:t xml:space="preserve"> </w:t>
            </w:r>
            <w:r w:rsidRPr="001454FD">
              <w:rPr>
                <w:sz w:val="14"/>
                <w:szCs w:val="14"/>
              </w:rPr>
              <w:t>= F or G.</w:t>
            </w:r>
          </w:p>
        </w:tc>
        <w:tc>
          <w:tcPr>
            <w:tcW w:w="1800" w:type="dxa"/>
          </w:tcPr>
          <w:p w14:paraId="70F1F471" w14:textId="77777777" w:rsidR="0048178F" w:rsidRPr="0050395C" w:rsidRDefault="0048178F" w:rsidP="00D76706">
            <w:pPr>
              <w:jc w:val="center"/>
              <w:rPr>
                <w:sz w:val="14"/>
                <w:szCs w:val="14"/>
              </w:rPr>
            </w:pPr>
            <w:r>
              <w:rPr>
                <w:sz w:val="14"/>
                <w:szCs w:val="14"/>
              </w:rPr>
              <w:t>String</w:t>
            </w:r>
          </w:p>
        </w:tc>
        <w:tc>
          <w:tcPr>
            <w:tcW w:w="1170" w:type="dxa"/>
          </w:tcPr>
          <w:p w14:paraId="0D3B74FC" w14:textId="77777777" w:rsidR="0048178F" w:rsidRDefault="0048178F" w:rsidP="00D76706">
            <w:pPr>
              <w:jc w:val="center"/>
              <w:rPr>
                <w:sz w:val="14"/>
                <w:szCs w:val="14"/>
              </w:rPr>
            </w:pPr>
          </w:p>
        </w:tc>
        <w:tc>
          <w:tcPr>
            <w:tcW w:w="1080" w:type="dxa"/>
          </w:tcPr>
          <w:p w14:paraId="3D03AA9C" w14:textId="77777777" w:rsidR="0048178F" w:rsidRDefault="00EE2815" w:rsidP="00D76706">
            <w:pPr>
              <w:rPr>
                <w:sz w:val="14"/>
                <w:szCs w:val="14"/>
              </w:rPr>
            </w:pPr>
            <w:r>
              <w:rPr>
                <w:sz w:val="14"/>
                <w:szCs w:val="14"/>
              </w:rPr>
              <w:t>0</w:t>
            </w:r>
            <w:r w:rsidR="0048178F">
              <w:rPr>
                <w:sz w:val="14"/>
                <w:szCs w:val="14"/>
              </w:rPr>
              <w:t>99</w:t>
            </w:r>
          </w:p>
        </w:tc>
        <w:tc>
          <w:tcPr>
            <w:tcW w:w="828" w:type="dxa"/>
            <w:shd w:val="clear" w:color="auto" w:fill="auto"/>
          </w:tcPr>
          <w:p w14:paraId="50B4EBF3" w14:textId="77777777" w:rsidR="0048178F" w:rsidRDefault="0048178F" w:rsidP="00D76706">
            <w:pPr>
              <w:jc w:val="center"/>
              <w:rPr>
                <w:sz w:val="14"/>
                <w:szCs w:val="14"/>
              </w:rPr>
            </w:pPr>
            <w:r>
              <w:rPr>
                <w:sz w:val="14"/>
                <w:szCs w:val="14"/>
              </w:rPr>
              <w:t>-</w:t>
            </w:r>
          </w:p>
        </w:tc>
      </w:tr>
      <w:tr w:rsidR="0048178F" w14:paraId="0344B992" w14:textId="77777777" w:rsidTr="00D76706">
        <w:tc>
          <w:tcPr>
            <w:tcW w:w="1818" w:type="dxa"/>
          </w:tcPr>
          <w:p w14:paraId="144F1CE5" w14:textId="77777777" w:rsidR="0048178F" w:rsidRDefault="0048178F" w:rsidP="00D76706">
            <w:pPr>
              <w:rPr>
                <w:sz w:val="14"/>
                <w:szCs w:val="14"/>
              </w:rPr>
            </w:pPr>
            <w:r>
              <w:rPr>
                <w:sz w:val="14"/>
                <w:szCs w:val="14"/>
              </w:rPr>
              <w:lastRenderedPageBreak/>
              <w:t>tradingPartnerMainAccountCode</w:t>
            </w:r>
          </w:p>
        </w:tc>
        <w:tc>
          <w:tcPr>
            <w:tcW w:w="2880" w:type="dxa"/>
          </w:tcPr>
          <w:p w14:paraId="3A144559" w14:textId="77777777" w:rsidR="0048178F" w:rsidRDefault="0048178F" w:rsidP="00D76706">
            <w:pPr>
              <w:rPr>
                <w:sz w:val="14"/>
                <w:szCs w:val="14"/>
              </w:rPr>
            </w:pPr>
            <w:r w:rsidRPr="001454FD">
              <w:rPr>
                <w:sz w:val="14"/>
                <w:szCs w:val="14"/>
              </w:rPr>
              <w:t>Repre</w:t>
            </w:r>
            <w:r>
              <w:rPr>
                <w:sz w:val="14"/>
                <w:szCs w:val="14"/>
              </w:rPr>
              <w:t xml:space="preserve">sents the treasury main account </w:t>
            </w:r>
            <w:r w:rsidRPr="001454FD">
              <w:rPr>
                <w:sz w:val="14"/>
                <w:szCs w:val="14"/>
              </w:rPr>
              <w:t>code of t</w:t>
            </w:r>
            <w:r>
              <w:rPr>
                <w:sz w:val="14"/>
                <w:szCs w:val="14"/>
              </w:rPr>
              <w:t xml:space="preserve">he other department, agency, or </w:t>
            </w:r>
            <w:r w:rsidRPr="001454FD">
              <w:rPr>
                <w:sz w:val="14"/>
                <w:szCs w:val="14"/>
              </w:rPr>
              <w:t>establ</w:t>
            </w:r>
            <w:r>
              <w:rPr>
                <w:sz w:val="14"/>
                <w:szCs w:val="14"/>
              </w:rPr>
              <w:t xml:space="preserve">ishment of the U. S. Government </w:t>
            </w:r>
            <w:r w:rsidRPr="001454FD">
              <w:rPr>
                <w:sz w:val="14"/>
                <w:szCs w:val="14"/>
              </w:rPr>
              <w:t xml:space="preserve">involved in </w:t>
            </w:r>
            <w:r>
              <w:rPr>
                <w:sz w:val="14"/>
                <w:szCs w:val="14"/>
              </w:rPr>
              <w:t xml:space="preserve">transactions with the reporting </w:t>
            </w:r>
            <w:r w:rsidRPr="001454FD">
              <w:rPr>
                <w:sz w:val="14"/>
                <w:szCs w:val="14"/>
              </w:rPr>
              <w:t>entity</w:t>
            </w:r>
            <w:r>
              <w:rPr>
                <w:sz w:val="14"/>
                <w:szCs w:val="14"/>
              </w:rPr>
              <w:t xml:space="preserve">. Required with the proprietary </w:t>
            </w:r>
            <w:r w:rsidRPr="001454FD">
              <w:rPr>
                <w:sz w:val="14"/>
                <w:szCs w:val="14"/>
              </w:rPr>
              <w:t>USSGLs i</w:t>
            </w:r>
            <w:r>
              <w:rPr>
                <w:sz w:val="14"/>
                <w:szCs w:val="14"/>
              </w:rPr>
              <w:t xml:space="preserve">f the Fed/Non-Federal Indicator </w:t>
            </w:r>
            <w:r w:rsidRPr="001454FD">
              <w:rPr>
                <w:sz w:val="14"/>
                <w:szCs w:val="14"/>
              </w:rPr>
              <w:t>= F.</w:t>
            </w:r>
          </w:p>
        </w:tc>
        <w:tc>
          <w:tcPr>
            <w:tcW w:w="1800" w:type="dxa"/>
          </w:tcPr>
          <w:p w14:paraId="36B53E1A" w14:textId="77777777" w:rsidR="0048178F" w:rsidRPr="0050395C" w:rsidRDefault="0048178F" w:rsidP="00D76706">
            <w:pPr>
              <w:jc w:val="center"/>
              <w:rPr>
                <w:sz w:val="14"/>
                <w:szCs w:val="14"/>
              </w:rPr>
            </w:pPr>
            <w:r>
              <w:rPr>
                <w:sz w:val="14"/>
                <w:szCs w:val="14"/>
              </w:rPr>
              <w:t>String</w:t>
            </w:r>
          </w:p>
        </w:tc>
        <w:tc>
          <w:tcPr>
            <w:tcW w:w="1170" w:type="dxa"/>
          </w:tcPr>
          <w:p w14:paraId="621C2BF5" w14:textId="77777777" w:rsidR="0048178F" w:rsidRDefault="0048178F" w:rsidP="00D76706">
            <w:pPr>
              <w:jc w:val="center"/>
              <w:rPr>
                <w:sz w:val="14"/>
                <w:szCs w:val="14"/>
              </w:rPr>
            </w:pPr>
          </w:p>
        </w:tc>
        <w:tc>
          <w:tcPr>
            <w:tcW w:w="1080" w:type="dxa"/>
          </w:tcPr>
          <w:p w14:paraId="6DCF3EE7" w14:textId="77777777" w:rsidR="0048178F" w:rsidRDefault="0048178F" w:rsidP="00D76706">
            <w:pPr>
              <w:rPr>
                <w:sz w:val="14"/>
                <w:szCs w:val="14"/>
              </w:rPr>
            </w:pPr>
            <w:r>
              <w:rPr>
                <w:sz w:val="14"/>
                <w:szCs w:val="14"/>
              </w:rPr>
              <w:t>0</w:t>
            </w:r>
            <w:r w:rsidR="007F59A2">
              <w:rPr>
                <w:sz w:val="14"/>
                <w:szCs w:val="14"/>
              </w:rPr>
              <w:t>000</w:t>
            </w:r>
          </w:p>
        </w:tc>
        <w:tc>
          <w:tcPr>
            <w:tcW w:w="828" w:type="dxa"/>
            <w:shd w:val="clear" w:color="auto" w:fill="auto"/>
          </w:tcPr>
          <w:p w14:paraId="42AD0925" w14:textId="77777777" w:rsidR="0048178F" w:rsidRDefault="0048178F" w:rsidP="00D76706">
            <w:pPr>
              <w:jc w:val="center"/>
              <w:rPr>
                <w:sz w:val="14"/>
                <w:szCs w:val="14"/>
              </w:rPr>
            </w:pPr>
            <w:r>
              <w:rPr>
                <w:sz w:val="14"/>
                <w:szCs w:val="14"/>
              </w:rPr>
              <w:t>-</w:t>
            </w:r>
          </w:p>
        </w:tc>
      </w:tr>
      <w:tr w:rsidR="0048178F" w14:paraId="1047DD25" w14:textId="77777777" w:rsidTr="00D76706">
        <w:tc>
          <w:tcPr>
            <w:tcW w:w="1818" w:type="dxa"/>
          </w:tcPr>
          <w:p w14:paraId="7E8FC371" w14:textId="77777777" w:rsidR="0048178F" w:rsidRDefault="0048178F" w:rsidP="00D76706">
            <w:pPr>
              <w:rPr>
                <w:sz w:val="14"/>
                <w:szCs w:val="14"/>
              </w:rPr>
            </w:pPr>
            <w:r>
              <w:rPr>
                <w:sz w:val="14"/>
                <w:szCs w:val="14"/>
              </w:rPr>
              <w:t>yearOfBudgetAuthorityCode</w:t>
            </w:r>
          </w:p>
        </w:tc>
        <w:tc>
          <w:tcPr>
            <w:tcW w:w="2880" w:type="dxa"/>
          </w:tcPr>
          <w:p w14:paraId="6C49C91A" w14:textId="77777777" w:rsidR="0048178F" w:rsidRDefault="0048178F" w:rsidP="00D76706">
            <w:pPr>
              <w:rPr>
                <w:sz w:val="14"/>
                <w:szCs w:val="14"/>
              </w:rPr>
            </w:pPr>
            <w:r w:rsidRPr="001454FD">
              <w:rPr>
                <w:sz w:val="14"/>
                <w:szCs w:val="14"/>
              </w:rPr>
              <w:t>Identifies whether outlays are from the</w:t>
            </w:r>
            <w:r>
              <w:rPr>
                <w:sz w:val="14"/>
                <w:szCs w:val="14"/>
              </w:rPr>
              <w:t xml:space="preserve"> </w:t>
            </w:r>
            <w:r w:rsidRPr="001454FD">
              <w:rPr>
                <w:sz w:val="14"/>
                <w:szCs w:val="14"/>
              </w:rPr>
              <w:t>new budget authority (NEW) or from</w:t>
            </w:r>
            <w:r>
              <w:rPr>
                <w:sz w:val="14"/>
                <w:szCs w:val="14"/>
              </w:rPr>
              <w:t xml:space="preserve"> </w:t>
            </w:r>
            <w:r w:rsidRPr="001454FD">
              <w:rPr>
                <w:sz w:val="14"/>
                <w:szCs w:val="14"/>
              </w:rPr>
              <w:t>budget authority carried forward from the</w:t>
            </w:r>
            <w:r>
              <w:rPr>
                <w:sz w:val="14"/>
                <w:szCs w:val="14"/>
              </w:rPr>
              <w:t xml:space="preserve"> </w:t>
            </w:r>
            <w:r w:rsidRPr="001454FD">
              <w:rPr>
                <w:sz w:val="14"/>
                <w:szCs w:val="14"/>
              </w:rPr>
              <w:t>prior year (BAL). Used for expenditure</w:t>
            </w:r>
            <w:r>
              <w:rPr>
                <w:sz w:val="14"/>
                <w:szCs w:val="14"/>
              </w:rPr>
              <w:t xml:space="preserve"> </w:t>
            </w:r>
            <w:r w:rsidRPr="001454FD">
              <w:rPr>
                <w:sz w:val="14"/>
                <w:szCs w:val="14"/>
              </w:rPr>
              <w:t>TAS that are not credit financing TAS.</w:t>
            </w:r>
          </w:p>
        </w:tc>
        <w:tc>
          <w:tcPr>
            <w:tcW w:w="1800" w:type="dxa"/>
          </w:tcPr>
          <w:p w14:paraId="65B4CF5F" w14:textId="77777777" w:rsidR="0048178F" w:rsidRDefault="0048178F" w:rsidP="00D76706">
            <w:pPr>
              <w:jc w:val="center"/>
              <w:rPr>
                <w:sz w:val="14"/>
                <w:szCs w:val="14"/>
              </w:rPr>
            </w:pPr>
            <w:r>
              <w:rPr>
                <w:sz w:val="14"/>
                <w:szCs w:val="14"/>
              </w:rPr>
              <w:t>yearOfBudegtAuthorityCodeItemType</w:t>
            </w:r>
          </w:p>
          <w:p w14:paraId="64846320" w14:textId="77777777" w:rsidR="0048178F" w:rsidRPr="0050395C" w:rsidRDefault="0048178F" w:rsidP="00D76706">
            <w:pPr>
              <w:jc w:val="center"/>
              <w:rPr>
                <w:sz w:val="14"/>
                <w:szCs w:val="14"/>
              </w:rPr>
            </w:pPr>
            <w:r>
              <w:rPr>
                <w:sz w:val="14"/>
                <w:szCs w:val="14"/>
              </w:rPr>
              <w:t>(enumeration)</w:t>
            </w:r>
          </w:p>
        </w:tc>
        <w:tc>
          <w:tcPr>
            <w:tcW w:w="1170" w:type="dxa"/>
          </w:tcPr>
          <w:p w14:paraId="45DBA6E1" w14:textId="77777777" w:rsidR="0048178F" w:rsidRDefault="0048178F" w:rsidP="00D76706">
            <w:pPr>
              <w:jc w:val="center"/>
              <w:rPr>
                <w:sz w:val="14"/>
                <w:szCs w:val="14"/>
              </w:rPr>
            </w:pPr>
            <w:r>
              <w:rPr>
                <w:sz w:val="14"/>
                <w:szCs w:val="14"/>
              </w:rPr>
              <w:t>3</w:t>
            </w:r>
          </w:p>
        </w:tc>
        <w:tc>
          <w:tcPr>
            <w:tcW w:w="1080" w:type="dxa"/>
          </w:tcPr>
          <w:p w14:paraId="169DE0EE" w14:textId="77777777" w:rsidR="0048178F" w:rsidRDefault="0048178F" w:rsidP="00D76706">
            <w:pPr>
              <w:rPr>
                <w:sz w:val="14"/>
                <w:szCs w:val="14"/>
              </w:rPr>
            </w:pPr>
            <w:r>
              <w:rPr>
                <w:sz w:val="14"/>
                <w:szCs w:val="14"/>
              </w:rPr>
              <w:t>BAL</w:t>
            </w:r>
          </w:p>
          <w:p w14:paraId="41CAC01C" w14:textId="77777777" w:rsidR="0048178F" w:rsidRDefault="0048178F" w:rsidP="00D76706">
            <w:pPr>
              <w:rPr>
                <w:sz w:val="14"/>
                <w:szCs w:val="14"/>
              </w:rPr>
            </w:pPr>
            <w:r>
              <w:rPr>
                <w:sz w:val="14"/>
                <w:szCs w:val="14"/>
              </w:rPr>
              <w:t>NEW</w:t>
            </w:r>
          </w:p>
        </w:tc>
        <w:tc>
          <w:tcPr>
            <w:tcW w:w="828" w:type="dxa"/>
            <w:shd w:val="clear" w:color="auto" w:fill="auto"/>
          </w:tcPr>
          <w:p w14:paraId="1A38CE1D" w14:textId="77777777" w:rsidR="0048178F" w:rsidRDefault="0048178F" w:rsidP="00D76706">
            <w:pPr>
              <w:jc w:val="center"/>
              <w:rPr>
                <w:sz w:val="14"/>
                <w:szCs w:val="14"/>
              </w:rPr>
            </w:pPr>
            <w:r>
              <w:rPr>
                <w:sz w:val="14"/>
                <w:szCs w:val="14"/>
              </w:rPr>
              <w:t>-</w:t>
            </w:r>
          </w:p>
        </w:tc>
      </w:tr>
      <w:tr w:rsidR="0048178F" w14:paraId="17FB8D3E" w14:textId="77777777" w:rsidTr="00D76706">
        <w:tc>
          <w:tcPr>
            <w:tcW w:w="1818" w:type="dxa"/>
          </w:tcPr>
          <w:p w14:paraId="2FFB872B" w14:textId="77777777" w:rsidR="0048178F" w:rsidRDefault="0048178F" w:rsidP="00D76706">
            <w:pPr>
              <w:rPr>
                <w:sz w:val="14"/>
                <w:szCs w:val="14"/>
              </w:rPr>
            </w:pPr>
            <w:r>
              <w:rPr>
                <w:sz w:val="14"/>
                <w:szCs w:val="14"/>
              </w:rPr>
              <w:t>availabilityTimeIndicator</w:t>
            </w:r>
          </w:p>
        </w:tc>
        <w:tc>
          <w:tcPr>
            <w:tcW w:w="2880" w:type="dxa"/>
          </w:tcPr>
          <w:p w14:paraId="5F7D5556" w14:textId="77777777" w:rsidR="0048178F" w:rsidRDefault="0048178F" w:rsidP="00D76706">
            <w:pPr>
              <w:rPr>
                <w:sz w:val="14"/>
                <w:szCs w:val="14"/>
              </w:rPr>
            </w:pPr>
            <w:r w:rsidRPr="001454FD">
              <w:rPr>
                <w:sz w:val="14"/>
                <w:szCs w:val="14"/>
              </w:rPr>
              <w:t xml:space="preserve">Indicates </w:t>
            </w:r>
            <w:r>
              <w:rPr>
                <w:sz w:val="14"/>
                <w:szCs w:val="14"/>
              </w:rPr>
              <w:t xml:space="preserve">whether a budgetary resource is </w:t>
            </w:r>
            <w:r w:rsidRPr="001454FD">
              <w:rPr>
                <w:sz w:val="14"/>
                <w:szCs w:val="14"/>
              </w:rPr>
              <w:t>available for new obligations in the current</w:t>
            </w:r>
            <w:r>
              <w:rPr>
                <w:sz w:val="14"/>
                <w:szCs w:val="14"/>
              </w:rPr>
              <w:t xml:space="preserve"> </w:t>
            </w:r>
            <w:r w:rsidRPr="001454FD">
              <w:rPr>
                <w:sz w:val="14"/>
                <w:szCs w:val="14"/>
              </w:rPr>
              <w:t>period, or in a subsequen</w:t>
            </w:r>
            <w:r>
              <w:rPr>
                <w:sz w:val="14"/>
                <w:szCs w:val="14"/>
              </w:rPr>
              <w:t xml:space="preserve">t period within </w:t>
            </w:r>
            <w:r w:rsidRPr="001454FD">
              <w:rPr>
                <w:sz w:val="14"/>
                <w:szCs w:val="14"/>
              </w:rPr>
              <w:t>the cur</w:t>
            </w:r>
            <w:r>
              <w:rPr>
                <w:sz w:val="14"/>
                <w:szCs w:val="14"/>
              </w:rPr>
              <w:t xml:space="preserve">rent fiscal year or after being </w:t>
            </w:r>
            <w:r w:rsidRPr="001454FD">
              <w:rPr>
                <w:sz w:val="14"/>
                <w:szCs w:val="14"/>
              </w:rPr>
              <w:t>reapportioned in a future fiscal year.</w:t>
            </w:r>
          </w:p>
        </w:tc>
        <w:tc>
          <w:tcPr>
            <w:tcW w:w="1800" w:type="dxa"/>
          </w:tcPr>
          <w:p w14:paraId="663FA07A" w14:textId="77777777" w:rsidR="0048178F" w:rsidRDefault="0048178F" w:rsidP="00D76706">
            <w:pPr>
              <w:jc w:val="center"/>
              <w:rPr>
                <w:sz w:val="14"/>
                <w:szCs w:val="14"/>
              </w:rPr>
            </w:pPr>
            <w:r>
              <w:rPr>
                <w:sz w:val="14"/>
                <w:szCs w:val="14"/>
              </w:rPr>
              <w:t>availabilityTimeIndicatiorItemType</w:t>
            </w:r>
          </w:p>
          <w:p w14:paraId="31FC592A" w14:textId="77777777" w:rsidR="0048178F" w:rsidRPr="0050395C" w:rsidRDefault="0048178F" w:rsidP="00D76706">
            <w:pPr>
              <w:jc w:val="center"/>
              <w:rPr>
                <w:sz w:val="14"/>
                <w:szCs w:val="14"/>
              </w:rPr>
            </w:pPr>
            <w:r>
              <w:rPr>
                <w:sz w:val="14"/>
                <w:szCs w:val="14"/>
              </w:rPr>
              <w:t>(enumeration)</w:t>
            </w:r>
          </w:p>
        </w:tc>
        <w:tc>
          <w:tcPr>
            <w:tcW w:w="1170" w:type="dxa"/>
          </w:tcPr>
          <w:p w14:paraId="38F568DD" w14:textId="77777777" w:rsidR="0048178F" w:rsidRDefault="0048178F" w:rsidP="00D76706">
            <w:pPr>
              <w:jc w:val="center"/>
              <w:rPr>
                <w:sz w:val="14"/>
                <w:szCs w:val="14"/>
              </w:rPr>
            </w:pPr>
            <w:r>
              <w:rPr>
                <w:sz w:val="14"/>
                <w:szCs w:val="14"/>
              </w:rPr>
              <w:t>1</w:t>
            </w:r>
          </w:p>
        </w:tc>
        <w:tc>
          <w:tcPr>
            <w:tcW w:w="1080" w:type="dxa"/>
          </w:tcPr>
          <w:p w14:paraId="39C4C080" w14:textId="77777777" w:rsidR="0048178F" w:rsidRDefault="0048178F" w:rsidP="00D76706">
            <w:pPr>
              <w:rPr>
                <w:sz w:val="14"/>
                <w:szCs w:val="14"/>
              </w:rPr>
            </w:pPr>
            <w:r>
              <w:rPr>
                <w:sz w:val="14"/>
                <w:szCs w:val="14"/>
              </w:rPr>
              <w:t>A</w:t>
            </w:r>
          </w:p>
          <w:p w14:paraId="4C19BCA6" w14:textId="77777777" w:rsidR="0048178F" w:rsidRDefault="0048178F" w:rsidP="00D76706">
            <w:pPr>
              <w:rPr>
                <w:sz w:val="14"/>
                <w:szCs w:val="14"/>
              </w:rPr>
            </w:pPr>
            <w:r>
              <w:rPr>
                <w:sz w:val="14"/>
                <w:szCs w:val="14"/>
              </w:rPr>
              <w:t>S</w:t>
            </w:r>
          </w:p>
        </w:tc>
        <w:tc>
          <w:tcPr>
            <w:tcW w:w="828" w:type="dxa"/>
            <w:shd w:val="clear" w:color="auto" w:fill="auto"/>
          </w:tcPr>
          <w:p w14:paraId="12671775" w14:textId="77777777" w:rsidR="0048178F" w:rsidRDefault="0048178F" w:rsidP="00D76706">
            <w:pPr>
              <w:jc w:val="center"/>
              <w:rPr>
                <w:sz w:val="14"/>
                <w:szCs w:val="14"/>
              </w:rPr>
            </w:pPr>
            <w:r>
              <w:rPr>
                <w:sz w:val="14"/>
                <w:szCs w:val="14"/>
              </w:rPr>
              <w:t>-</w:t>
            </w:r>
          </w:p>
        </w:tc>
      </w:tr>
      <w:tr w:rsidR="0048178F" w14:paraId="436C65A6" w14:textId="77777777" w:rsidTr="00D76706">
        <w:tc>
          <w:tcPr>
            <w:tcW w:w="1818" w:type="dxa"/>
          </w:tcPr>
          <w:p w14:paraId="28663DAB" w14:textId="77777777" w:rsidR="0048178F" w:rsidRDefault="0048178F" w:rsidP="00D76706">
            <w:pPr>
              <w:rPr>
                <w:sz w:val="14"/>
                <w:szCs w:val="14"/>
              </w:rPr>
            </w:pPr>
            <w:r>
              <w:rPr>
                <w:sz w:val="14"/>
                <w:szCs w:val="14"/>
              </w:rPr>
              <w:t>beaCategoryIndicator</w:t>
            </w:r>
          </w:p>
        </w:tc>
        <w:tc>
          <w:tcPr>
            <w:tcW w:w="2880" w:type="dxa"/>
          </w:tcPr>
          <w:p w14:paraId="7558A129" w14:textId="77777777" w:rsidR="0048178F" w:rsidRDefault="0048178F" w:rsidP="00D76706">
            <w:pPr>
              <w:rPr>
                <w:sz w:val="14"/>
                <w:szCs w:val="14"/>
              </w:rPr>
            </w:pPr>
            <w:r w:rsidRPr="001454FD">
              <w:rPr>
                <w:sz w:val="14"/>
                <w:szCs w:val="14"/>
              </w:rPr>
              <w:t>Indicates whether the Budget</w:t>
            </w:r>
            <w:r>
              <w:rPr>
                <w:sz w:val="14"/>
                <w:szCs w:val="14"/>
              </w:rPr>
              <w:t xml:space="preserve"> </w:t>
            </w:r>
            <w:r w:rsidRPr="001454FD">
              <w:rPr>
                <w:sz w:val="14"/>
                <w:szCs w:val="14"/>
              </w:rPr>
              <w:t>En</w:t>
            </w:r>
            <w:r>
              <w:rPr>
                <w:sz w:val="14"/>
                <w:szCs w:val="14"/>
              </w:rPr>
              <w:t xml:space="preserve">forcement Act (BEA) category is </w:t>
            </w:r>
            <w:r w:rsidRPr="001454FD">
              <w:rPr>
                <w:sz w:val="14"/>
                <w:szCs w:val="14"/>
              </w:rPr>
              <w:t>mandatory or discretionary.</w:t>
            </w:r>
          </w:p>
        </w:tc>
        <w:tc>
          <w:tcPr>
            <w:tcW w:w="1800" w:type="dxa"/>
          </w:tcPr>
          <w:p w14:paraId="642B8C24" w14:textId="77777777" w:rsidR="0048178F" w:rsidRDefault="0048178F" w:rsidP="00D76706">
            <w:pPr>
              <w:jc w:val="center"/>
              <w:rPr>
                <w:sz w:val="14"/>
                <w:szCs w:val="14"/>
              </w:rPr>
            </w:pPr>
            <w:r>
              <w:rPr>
                <w:sz w:val="14"/>
                <w:szCs w:val="14"/>
              </w:rPr>
              <w:t>beaCategoryIndicatorItemType</w:t>
            </w:r>
          </w:p>
          <w:p w14:paraId="75AC30CB" w14:textId="77777777" w:rsidR="0048178F" w:rsidRPr="0050395C" w:rsidRDefault="0048178F" w:rsidP="00D76706">
            <w:pPr>
              <w:jc w:val="center"/>
              <w:rPr>
                <w:sz w:val="14"/>
                <w:szCs w:val="14"/>
              </w:rPr>
            </w:pPr>
            <w:r>
              <w:rPr>
                <w:sz w:val="14"/>
                <w:szCs w:val="14"/>
              </w:rPr>
              <w:t>(enumeration)</w:t>
            </w:r>
          </w:p>
        </w:tc>
        <w:tc>
          <w:tcPr>
            <w:tcW w:w="1170" w:type="dxa"/>
          </w:tcPr>
          <w:p w14:paraId="69D8D547" w14:textId="77777777" w:rsidR="0048178F" w:rsidRDefault="0048178F" w:rsidP="00D76706">
            <w:pPr>
              <w:jc w:val="center"/>
              <w:rPr>
                <w:sz w:val="14"/>
                <w:szCs w:val="14"/>
              </w:rPr>
            </w:pPr>
            <w:r>
              <w:rPr>
                <w:sz w:val="14"/>
                <w:szCs w:val="14"/>
              </w:rPr>
              <w:t>1</w:t>
            </w:r>
          </w:p>
        </w:tc>
        <w:tc>
          <w:tcPr>
            <w:tcW w:w="1080" w:type="dxa"/>
          </w:tcPr>
          <w:p w14:paraId="3E7AF69C" w14:textId="77777777" w:rsidR="0048178F" w:rsidRDefault="0048178F" w:rsidP="00D76706">
            <w:pPr>
              <w:rPr>
                <w:sz w:val="14"/>
                <w:szCs w:val="14"/>
              </w:rPr>
            </w:pPr>
            <w:r>
              <w:rPr>
                <w:sz w:val="14"/>
                <w:szCs w:val="14"/>
              </w:rPr>
              <w:t>D</w:t>
            </w:r>
          </w:p>
          <w:p w14:paraId="0E539524" w14:textId="77777777" w:rsidR="0048178F" w:rsidRDefault="0048178F" w:rsidP="00D76706">
            <w:pPr>
              <w:rPr>
                <w:sz w:val="14"/>
                <w:szCs w:val="14"/>
              </w:rPr>
            </w:pPr>
            <w:r>
              <w:rPr>
                <w:sz w:val="14"/>
                <w:szCs w:val="14"/>
              </w:rPr>
              <w:t>M</w:t>
            </w:r>
          </w:p>
        </w:tc>
        <w:tc>
          <w:tcPr>
            <w:tcW w:w="828" w:type="dxa"/>
            <w:shd w:val="clear" w:color="auto" w:fill="auto"/>
          </w:tcPr>
          <w:p w14:paraId="378D5115" w14:textId="77777777" w:rsidR="0048178F" w:rsidRDefault="0048178F" w:rsidP="00D76706">
            <w:pPr>
              <w:jc w:val="center"/>
              <w:rPr>
                <w:sz w:val="14"/>
                <w:szCs w:val="14"/>
              </w:rPr>
            </w:pPr>
            <w:r>
              <w:rPr>
                <w:sz w:val="14"/>
                <w:szCs w:val="14"/>
              </w:rPr>
              <w:t>-</w:t>
            </w:r>
          </w:p>
        </w:tc>
      </w:tr>
      <w:tr w:rsidR="0048178F" w14:paraId="35B1E3DE" w14:textId="77777777" w:rsidTr="00D76706">
        <w:tc>
          <w:tcPr>
            <w:tcW w:w="1818" w:type="dxa"/>
          </w:tcPr>
          <w:p w14:paraId="30847509" w14:textId="77777777" w:rsidR="0048178F" w:rsidRDefault="0048178F" w:rsidP="00D76706">
            <w:pPr>
              <w:rPr>
                <w:sz w:val="14"/>
                <w:szCs w:val="14"/>
              </w:rPr>
            </w:pPr>
            <w:r>
              <w:rPr>
                <w:sz w:val="14"/>
                <w:szCs w:val="14"/>
              </w:rPr>
              <w:t>borrowingSource</w:t>
            </w:r>
          </w:p>
        </w:tc>
        <w:tc>
          <w:tcPr>
            <w:tcW w:w="2880" w:type="dxa"/>
          </w:tcPr>
          <w:p w14:paraId="648AAB0A" w14:textId="77777777" w:rsidR="0048178F" w:rsidRDefault="0048178F" w:rsidP="00D76706">
            <w:pPr>
              <w:rPr>
                <w:sz w:val="14"/>
                <w:szCs w:val="14"/>
              </w:rPr>
            </w:pPr>
            <w:r w:rsidRPr="001454FD">
              <w:rPr>
                <w:sz w:val="14"/>
                <w:szCs w:val="14"/>
              </w:rPr>
              <w:t>Indicat</w:t>
            </w:r>
            <w:r>
              <w:rPr>
                <w:sz w:val="14"/>
                <w:szCs w:val="14"/>
              </w:rPr>
              <w:t xml:space="preserve">es whether borrowing took place </w:t>
            </w:r>
            <w:r w:rsidRPr="001454FD">
              <w:rPr>
                <w:sz w:val="14"/>
                <w:szCs w:val="14"/>
              </w:rPr>
              <w:t>from the</w:t>
            </w:r>
            <w:r>
              <w:rPr>
                <w:sz w:val="14"/>
                <w:szCs w:val="14"/>
              </w:rPr>
              <w:t xml:space="preserve"> public, Treasury, or a Federal </w:t>
            </w:r>
            <w:r w:rsidRPr="001454FD">
              <w:rPr>
                <w:sz w:val="14"/>
                <w:szCs w:val="14"/>
              </w:rPr>
              <w:t>financing bank. Required if authority type</w:t>
            </w:r>
            <w:r>
              <w:rPr>
                <w:sz w:val="14"/>
                <w:szCs w:val="14"/>
              </w:rPr>
              <w:t xml:space="preserve"> </w:t>
            </w:r>
            <w:r w:rsidRPr="001454FD">
              <w:rPr>
                <w:sz w:val="14"/>
                <w:szCs w:val="14"/>
              </w:rPr>
              <w:t>code is B (borrowing).</w:t>
            </w:r>
          </w:p>
        </w:tc>
        <w:tc>
          <w:tcPr>
            <w:tcW w:w="1800" w:type="dxa"/>
          </w:tcPr>
          <w:p w14:paraId="36D0977E" w14:textId="77777777" w:rsidR="0048178F" w:rsidRDefault="0048178F" w:rsidP="00D76706">
            <w:pPr>
              <w:jc w:val="center"/>
              <w:rPr>
                <w:sz w:val="14"/>
                <w:szCs w:val="14"/>
              </w:rPr>
            </w:pPr>
            <w:r>
              <w:rPr>
                <w:sz w:val="14"/>
                <w:szCs w:val="14"/>
              </w:rPr>
              <w:t>borrowingSourceItemType</w:t>
            </w:r>
          </w:p>
          <w:p w14:paraId="7B509616" w14:textId="77777777" w:rsidR="0048178F" w:rsidRPr="0050395C" w:rsidRDefault="0048178F" w:rsidP="00D76706">
            <w:pPr>
              <w:jc w:val="center"/>
              <w:rPr>
                <w:sz w:val="14"/>
                <w:szCs w:val="14"/>
              </w:rPr>
            </w:pPr>
            <w:r>
              <w:rPr>
                <w:sz w:val="14"/>
                <w:szCs w:val="14"/>
              </w:rPr>
              <w:t>(enumeration)</w:t>
            </w:r>
          </w:p>
        </w:tc>
        <w:tc>
          <w:tcPr>
            <w:tcW w:w="1170" w:type="dxa"/>
          </w:tcPr>
          <w:p w14:paraId="5D9AB79C" w14:textId="77777777" w:rsidR="0048178F" w:rsidRDefault="0048178F" w:rsidP="00D76706">
            <w:pPr>
              <w:jc w:val="center"/>
              <w:rPr>
                <w:sz w:val="14"/>
                <w:szCs w:val="14"/>
              </w:rPr>
            </w:pPr>
            <w:r>
              <w:rPr>
                <w:sz w:val="14"/>
                <w:szCs w:val="14"/>
              </w:rPr>
              <w:t>1</w:t>
            </w:r>
          </w:p>
        </w:tc>
        <w:tc>
          <w:tcPr>
            <w:tcW w:w="1080" w:type="dxa"/>
          </w:tcPr>
          <w:p w14:paraId="1382D1FD" w14:textId="77777777" w:rsidR="0048178F" w:rsidRDefault="0048178F" w:rsidP="00D76706">
            <w:pPr>
              <w:rPr>
                <w:sz w:val="14"/>
                <w:szCs w:val="14"/>
              </w:rPr>
            </w:pPr>
            <w:r>
              <w:rPr>
                <w:sz w:val="14"/>
                <w:szCs w:val="14"/>
              </w:rPr>
              <w:t>F</w:t>
            </w:r>
          </w:p>
          <w:p w14:paraId="1CBE831F" w14:textId="77777777" w:rsidR="0048178F" w:rsidRDefault="0048178F" w:rsidP="00D76706">
            <w:pPr>
              <w:rPr>
                <w:sz w:val="14"/>
                <w:szCs w:val="14"/>
              </w:rPr>
            </w:pPr>
            <w:r>
              <w:rPr>
                <w:sz w:val="14"/>
                <w:szCs w:val="14"/>
              </w:rPr>
              <w:t>P</w:t>
            </w:r>
          </w:p>
          <w:p w14:paraId="53B8F62E" w14:textId="77777777" w:rsidR="0048178F" w:rsidRDefault="0048178F" w:rsidP="00D76706">
            <w:pPr>
              <w:rPr>
                <w:sz w:val="14"/>
                <w:szCs w:val="14"/>
              </w:rPr>
            </w:pPr>
            <w:r>
              <w:rPr>
                <w:sz w:val="14"/>
                <w:szCs w:val="14"/>
              </w:rPr>
              <w:t>T</w:t>
            </w:r>
          </w:p>
        </w:tc>
        <w:tc>
          <w:tcPr>
            <w:tcW w:w="828" w:type="dxa"/>
            <w:shd w:val="clear" w:color="auto" w:fill="auto"/>
          </w:tcPr>
          <w:p w14:paraId="79C92C35" w14:textId="77777777" w:rsidR="0048178F" w:rsidRDefault="0048178F" w:rsidP="00D76706">
            <w:pPr>
              <w:jc w:val="center"/>
              <w:rPr>
                <w:sz w:val="14"/>
                <w:szCs w:val="14"/>
              </w:rPr>
            </w:pPr>
            <w:r>
              <w:rPr>
                <w:sz w:val="14"/>
                <w:szCs w:val="14"/>
              </w:rPr>
              <w:t>-</w:t>
            </w:r>
          </w:p>
        </w:tc>
      </w:tr>
      <w:tr w:rsidR="0048178F" w14:paraId="71AB0A83" w14:textId="77777777" w:rsidTr="00D76706">
        <w:tc>
          <w:tcPr>
            <w:tcW w:w="1818" w:type="dxa"/>
          </w:tcPr>
          <w:p w14:paraId="047F83CF" w14:textId="77777777" w:rsidR="0048178F" w:rsidRDefault="0048178F" w:rsidP="00D76706">
            <w:pPr>
              <w:rPr>
                <w:sz w:val="14"/>
                <w:szCs w:val="14"/>
              </w:rPr>
            </w:pPr>
            <w:r>
              <w:rPr>
                <w:sz w:val="14"/>
                <w:szCs w:val="14"/>
              </w:rPr>
              <w:t>exchangeNonExchangeIndicator</w:t>
            </w:r>
          </w:p>
        </w:tc>
        <w:tc>
          <w:tcPr>
            <w:tcW w:w="2880" w:type="dxa"/>
          </w:tcPr>
          <w:p w14:paraId="2AF04C9B" w14:textId="77777777" w:rsidR="0048178F" w:rsidRDefault="0048178F" w:rsidP="00D76706">
            <w:pPr>
              <w:rPr>
                <w:sz w:val="14"/>
                <w:szCs w:val="14"/>
              </w:rPr>
            </w:pPr>
            <w:r w:rsidRPr="001454FD">
              <w:rPr>
                <w:sz w:val="14"/>
                <w:szCs w:val="14"/>
              </w:rPr>
              <w:t xml:space="preserve">Indicates whether the revenue, </w:t>
            </w:r>
            <w:r>
              <w:rPr>
                <w:sz w:val="14"/>
                <w:szCs w:val="14"/>
              </w:rPr>
              <w:t xml:space="preserve">gains or </w:t>
            </w:r>
            <w:r w:rsidRPr="001454FD">
              <w:rPr>
                <w:sz w:val="14"/>
                <w:szCs w:val="14"/>
              </w:rPr>
              <w:t>losses balances being reported is</w:t>
            </w:r>
            <w:r>
              <w:rPr>
                <w:sz w:val="14"/>
                <w:szCs w:val="14"/>
              </w:rPr>
              <w:t xml:space="preserve"> </w:t>
            </w:r>
            <w:r w:rsidRPr="001454FD">
              <w:rPr>
                <w:sz w:val="14"/>
                <w:szCs w:val="14"/>
              </w:rPr>
              <w:t>excha</w:t>
            </w:r>
            <w:r>
              <w:rPr>
                <w:sz w:val="14"/>
                <w:szCs w:val="14"/>
              </w:rPr>
              <w:t xml:space="preserve">nge (X), non-exchange (T) or (E) </w:t>
            </w:r>
            <w:r w:rsidRPr="001454FD">
              <w:rPr>
                <w:sz w:val="14"/>
                <w:szCs w:val="14"/>
              </w:rPr>
              <w:t>exc</w:t>
            </w:r>
            <w:r>
              <w:rPr>
                <w:sz w:val="14"/>
                <w:szCs w:val="14"/>
              </w:rPr>
              <w:t xml:space="preserve">hange revenue with little or no </w:t>
            </w:r>
            <w:r w:rsidRPr="001454FD">
              <w:rPr>
                <w:sz w:val="14"/>
                <w:szCs w:val="14"/>
              </w:rPr>
              <w:t>associated costs.</w:t>
            </w:r>
          </w:p>
        </w:tc>
        <w:tc>
          <w:tcPr>
            <w:tcW w:w="1800" w:type="dxa"/>
          </w:tcPr>
          <w:p w14:paraId="5FB796D2" w14:textId="77777777" w:rsidR="0048178F" w:rsidRDefault="0048178F" w:rsidP="00D76706">
            <w:pPr>
              <w:jc w:val="center"/>
              <w:rPr>
                <w:sz w:val="14"/>
                <w:szCs w:val="14"/>
              </w:rPr>
            </w:pPr>
            <w:r>
              <w:rPr>
                <w:sz w:val="14"/>
                <w:szCs w:val="14"/>
              </w:rPr>
              <w:t>exchangeNonExchangeIndicatorItemType</w:t>
            </w:r>
          </w:p>
          <w:p w14:paraId="2121DF31" w14:textId="77777777" w:rsidR="0048178F" w:rsidRPr="0050395C" w:rsidRDefault="0048178F" w:rsidP="00D76706">
            <w:pPr>
              <w:jc w:val="center"/>
              <w:rPr>
                <w:sz w:val="14"/>
                <w:szCs w:val="14"/>
              </w:rPr>
            </w:pPr>
            <w:r>
              <w:rPr>
                <w:sz w:val="14"/>
                <w:szCs w:val="14"/>
              </w:rPr>
              <w:t>(enumeration)</w:t>
            </w:r>
          </w:p>
        </w:tc>
        <w:tc>
          <w:tcPr>
            <w:tcW w:w="1170" w:type="dxa"/>
          </w:tcPr>
          <w:p w14:paraId="2B7C19AB" w14:textId="77777777" w:rsidR="0048178F" w:rsidRDefault="0048178F" w:rsidP="00D76706">
            <w:pPr>
              <w:jc w:val="center"/>
              <w:rPr>
                <w:sz w:val="14"/>
                <w:szCs w:val="14"/>
              </w:rPr>
            </w:pPr>
            <w:r>
              <w:rPr>
                <w:sz w:val="14"/>
                <w:szCs w:val="14"/>
              </w:rPr>
              <w:t>1</w:t>
            </w:r>
          </w:p>
        </w:tc>
        <w:tc>
          <w:tcPr>
            <w:tcW w:w="1080" w:type="dxa"/>
          </w:tcPr>
          <w:p w14:paraId="52F177CE" w14:textId="77777777" w:rsidR="0048178F" w:rsidRDefault="0048178F" w:rsidP="00D76706">
            <w:pPr>
              <w:rPr>
                <w:sz w:val="14"/>
                <w:szCs w:val="14"/>
              </w:rPr>
            </w:pPr>
            <w:r>
              <w:rPr>
                <w:sz w:val="14"/>
                <w:szCs w:val="14"/>
              </w:rPr>
              <w:t>E</w:t>
            </w:r>
          </w:p>
          <w:p w14:paraId="148E0D01" w14:textId="77777777" w:rsidR="0048178F" w:rsidRDefault="0048178F" w:rsidP="00D76706">
            <w:pPr>
              <w:rPr>
                <w:sz w:val="14"/>
                <w:szCs w:val="14"/>
              </w:rPr>
            </w:pPr>
            <w:r>
              <w:rPr>
                <w:sz w:val="14"/>
                <w:szCs w:val="14"/>
              </w:rPr>
              <w:t>T</w:t>
            </w:r>
          </w:p>
          <w:p w14:paraId="289599CF" w14:textId="77777777" w:rsidR="0048178F" w:rsidRDefault="0048178F" w:rsidP="00D76706">
            <w:pPr>
              <w:rPr>
                <w:sz w:val="14"/>
                <w:szCs w:val="14"/>
              </w:rPr>
            </w:pPr>
            <w:r>
              <w:rPr>
                <w:sz w:val="14"/>
                <w:szCs w:val="14"/>
              </w:rPr>
              <w:t>X</w:t>
            </w:r>
          </w:p>
        </w:tc>
        <w:tc>
          <w:tcPr>
            <w:tcW w:w="828" w:type="dxa"/>
            <w:shd w:val="clear" w:color="auto" w:fill="auto"/>
          </w:tcPr>
          <w:p w14:paraId="0E3A67C1" w14:textId="77777777" w:rsidR="0048178F" w:rsidRDefault="0048178F" w:rsidP="00D76706">
            <w:pPr>
              <w:jc w:val="center"/>
              <w:rPr>
                <w:sz w:val="14"/>
                <w:szCs w:val="14"/>
              </w:rPr>
            </w:pPr>
            <w:r>
              <w:rPr>
                <w:sz w:val="14"/>
                <w:szCs w:val="14"/>
              </w:rPr>
              <w:t>-</w:t>
            </w:r>
          </w:p>
        </w:tc>
      </w:tr>
      <w:tr w:rsidR="0048178F" w14:paraId="61109A51" w14:textId="77777777" w:rsidTr="00D76706">
        <w:tc>
          <w:tcPr>
            <w:tcW w:w="1818" w:type="dxa"/>
          </w:tcPr>
          <w:p w14:paraId="49BF34A8" w14:textId="77777777" w:rsidR="0048178F" w:rsidRDefault="0048178F" w:rsidP="00D76706">
            <w:pPr>
              <w:rPr>
                <w:sz w:val="14"/>
                <w:szCs w:val="14"/>
              </w:rPr>
            </w:pPr>
            <w:r>
              <w:rPr>
                <w:sz w:val="14"/>
                <w:szCs w:val="14"/>
              </w:rPr>
              <w:t>custodialNonCustodialIndicator</w:t>
            </w:r>
          </w:p>
        </w:tc>
        <w:tc>
          <w:tcPr>
            <w:tcW w:w="2880" w:type="dxa"/>
          </w:tcPr>
          <w:p w14:paraId="4753EE9E" w14:textId="77777777" w:rsidR="0048178F" w:rsidRDefault="0048178F" w:rsidP="00D76706">
            <w:pPr>
              <w:rPr>
                <w:sz w:val="14"/>
                <w:szCs w:val="14"/>
              </w:rPr>
            </w:pPr>
            <w:r w:rsidRPr="001454FD">
              <w:rPr>
                <w:sz w:val="14"/>
                <w:szCs w:val="14"/>
              </w:rPr>
              <w:t>Custod</w:t>
            </w:r>
            <w:r>
              <w:rPr>
                <w:sz w:val="14"/>
                <w:szCs w:val="14"/>
              </w:rPr>
              <w:t xml:space="preserve">ial amounts are reported on the </w:t>
            </w:r>
            <w:r w:rsidRPr="001454FD">
              <w:rPr>
                <w:sz w:val="14"/>
                <w:szCs w:val="14"/>
              </w:rPr>
              <w:t>Statement</w:t>
            </w:r>
            <w:r>
              <w:rPr>
                <w:sz w:val="14"/>
                <w:szCs w:val="14"/>
              </w:rPr>
              <w:t xml:space="preserve"> of Custodial Activity (SCA) or </w:t>
            </w:r>
            <w:r w:rsidRPr="001454FD">
              <w:rPr>
                <w:sz w:val="14"/>
                <w:szCs w:val="14"/>
              </w:rPr>
              <w:t>on the c</w:t>
            </w:r>
            <w:r>
              <w:rPr>
                <w:sz w:val="14"/>
                <w:szCs w:val="14"/>
              </w:rPr>
              <w:t xml:space="preserve">ustodial footnote. Noncustodial </w:t>
            </w:r>
            <w:r w:rsidRPr="001454FD">
              <w:rPr>
                <w:sz w:val="14"/>
                <w:szCs w:val="14"/>
              </w:rPr>
              <w:t>amounts are no</w:t>
            </w:r>
            <w:r>
              <w:rPr>
                <w:sz w:val="14"/>
                <w:szCs w:val="14"/>
              </w:rPr>
              <w:t xml:space="preserve">t reported on the SCA nor </w:t>
            </w:r>
            <w:r w:rsidRPr="001454FD">
              <w:rPr>
                <w:sz w:val="14"/>
                <w:szCs w:val="14"/>
              </w:rPr>
              <w:t>on the custodial footnote.</w:t>
            </w:r>
          </w:p>
        </w:tc>
        <w:tc>
          <w:tcPr>
            <w:tcW w:w="1800" w:type="dxa"/>
          </w:tcPr>
          <w:p w14:paraId="79F5F837" w14:textId="77777777" w:rsidR="0048178F" w:rsidRDefault="0048178F" w:rsidP="00D76706">
            <w:pPr>
              <w:jc w:val="center"/>
              <w:rPr>
                <w:sz w:val="14"/>
                <w:szCs w:val="14"/>
              </w:rPr>
            </w:pPr>
            <w:r>
              <w:rPr>
                <w:sz w:val="14"/>
                <w:szCs w:val="14"/>
              </w:rPr>
              <w:t>custodialNonCustodialItemType</w:t>
            </w:r>
          </w:p>
          <w:p w14:paraId="6C40477F" w14:textId="77777777" w:rsidR="0048178F" w:rsidRPr="0050395C" w:rsidRDefault="0048178F" w:rsidP="00D76706">
            <w:pPr>
              <w:jc w:val="center"/>
              <w:rPr>
                <w:sz w:val="14"/>
                <w:szCs w:val="14"/>
              </w:rPr>
            </w:pPr>
            <w:r>
              <w:rPr>
                <w:sz w:val="14"/>
                <w:szCs w:val="14"/>
              </w:rPr>
              <w:t>(enumeration)</w:t>
            </w:r>
          </w:p>
        </w:tc>
        <w:tc>
          <w:tcPr>
            <w:tcW w:w="1170" w:type="dxa"/>
          </w:tcPr>
          <w:p w14:paraId="7903B42A" w14:textId="77777777" w:rsidR="0048178F" w:rsidRDefault="0048178F" w:rsidP="00D76706">
            <w:pPr>
              <w:jc w:val="center"/>
              <w:rPr>
                <w:sz w:val="14"/>
                <w:szCs w:val="14"/>
              </w:rPr>
            </w:pPr>
            <w:r>
              <w:rPr>
                <w:sz w:val="14"/>
                <w:szCs w:val="14"/>
              </w:rPr>
              <w:t>1</w:t>
            </w:r>
          </w:p>
        </w:tc>
        <w:tc>
          <w:tcPr>
            <w:tcW w:w="1080" w:type="dxa"/>
          </w:tcPr>
          <w:p w14:paraId="1E23B827" w14:textId="77777777" w:rsidR="0048178F" w:rsidRDefault="0048178F" w:rsidP="00D76706">
            <w:pPr>
              <w:rPr>
                <w:sz w:val="14"/>
                <w:szCs w:val="14"/>
              </w:rPr>
            </w:pPr>
            <w:r>
              <w:rPr>
                <w:sz w:val="14"/>
                <w:szCs w:val="14"/>
              </w:rPr>
              <w:t>A</w:t>
            </w:r>
          </w:p>
          <w:p w14:paraId="5B5C849C" w14:textId="77777777" w:rsidR="0048178F" w:rsidRDefault="0048178F" w:rsidP="00D76706">
            <w:pPr>
              <w:rPr>
                <w:sz w:val="14"/>
                <w:szCs w:val="14"/>
              </w:rPr>
            </w:pPr>
            <w:r>
              <w:rPr>
                <w:sz w:val="14"/>
                <w:szCs w:val="14"/>
              </w:rPr>
              <w:t>S</w:t>
            </w:r>
          </w:p>
        </w:tc>
        <w:tc>
          <w:tcPr>
            <w:tcW w:w="828" w:type="dxa"/>
            <w:shd w:val="clear" w:color="auto" w:fill="auto"/>
          </w:tcPr>
          <w:p w14:paraId="075849B7" w14:textId="77777777" w:rsidR="0048178F" w:rsidRDefault="0048178F" w:rsidP="00D76706">
            <w:pPr>
              <w:jc w:val="center"/>
              <w:rPr>
                <w:sz w:val="14"/>
                <w:szCs w:val="14"/>
              </w:rPr>
            </w:pPr>
            <w:r>
              <w:rPr>
                <w:sz w:val="14"/>
                <w:szCs w:val="14"/>
              </w:rPr>
              <w:t>-</w:t>
            </w:r>
          </w:p>
        </w:tc>
      </w:tr>
      <w:tr w:rsidR="0048178F" w14:paraId="4F082374" w14:textId="77777777" w:rsidTr="00D76706">
        <w:tc>
          <w:tcPr>
            <w:tcW w:w="1818" w:type="dxa"/>
          </w:tcPr>
          <w:p w14:paraId="54FCEF0A" w14:textId="77777777" w:rsidR="0048178F" w:rsidRDefault="0048178F" w:rsidP="00D76706">
            <w:pPr>
              <w:rPr>
                <w:sz w:val="14"/>
                <w:szCs w:val="14"/>
              </w:rPr>
            </w:pPr>
            <w:r>
              <w:rPr>
                <w:sz w:val="14"/>
                <w:szCs w:val="14"/>
              </w:rPr>
              <w:t>budgetaryImpact</w:t>
            </w:r>
          </w:p>
        </w:tc>
        <w:tc>
          <w:tcPr>
            <w:tcW w:w="2880" w:type="dxa"/>
          </w:tcPr>
          <w:p w14:paraId="066B35C4" w14:textId="77777777" w:rsidR="0048178F" w:rsidRDefault="0048178F" w:rsidP="00D76706">
            <w:pPr>
              <w:rPr>
                <w:sz w:val="14"/>
                <w:szCs w:val="14"/>
              </w:rPr>
            </w:pPr>
            <w:r w:rsidRPr="001454FD">
              <w:rPr>
                <w:sz w:val="14"/>
                <w:szCs w:val="14"/>
              </w:rPr>
              <w:t>Indica</w:t>
            </w:r>
            <w:r>
              <w:rPr>
                <w:sz w:val="14"/>
                <w:szCs w:val="14"/>
              </w:rPr>
              <w:t xml:space="preserve">tes whether financing resources </w:t>
            </w:r>
            <w:r w:rsidRPr="001454FD">
              <w:rPr>
                <w:sz w:val="14"/>
                <w:szCs w:val="14"/>
              </w:rPr>
              <w:t>a</w:t>
            </w:r>
            <w:r>
              <w:rPr>
                <w:sz w:val="14"/>
                <w:szCs w:val="14"/>
              </w:rPr>
              <w:t xml:space="preserve">nd non-exchange revenue have an </w:t>
            </w:r>
            <w:r w:rsidRPr="001454FD">
              <w:rPr>
                <w:sz w:val="14"/>
                <w:szCs w:val="14"/>
              </w:rPr>
              <w:t>impact on the budget</w:t>
            </w:r>
          </w:p>
        </w:tc>
        <w:tc>
          <w:tcPr>
            <w:tcW w:w="1800" w:type="dxa"/>
          </w:tcPr>
          <w:p w14:paraId="59FA5F97" w14:textId="77777777" w:rsidR="0048178F" w:rsidRDefault="0048178F" w:rsidP="00D76706">
            <w:pPr>
              <w:jc w:val="center"/>
              <w:rPr>
                <w:sz w:val="14"/>
                <w:szCs w:val="14"/>
              </w:rPr>
            </w:pPr>
            <w:r>
              <w:rPr>
                <w:sz w:val="14"/>
                <w:szCs w:val="14"/>
              </w:rPr>
              <w:t>budgetaryImpactItemType</w:t>
            </w:r>
          </w:p>
          <w:p w14:paraId="75321751" w14:textId="77777777" w:rsidR="0048178F" w:rsidRDefault="0048178F" w:rsidP="00D76706">
            <w:pPr>
              <w:jc w:val="center"/>
              <w:rPr>
                <w:sz w:val="14"/>
                <w:szCs w:val="14"/>
              </w:rPr>
            </w:pPr>
            <w:r>
              <w:rPr>
                <w:sz w:val="14"/>
                <w:szCs w:val="14"/>
              </w:rPr>
              <w:t>(enumeration)</w:t>
            </w:r>
          </w:p>
          <w:p w14:paraId="1DB57B1C" w14:textId="77777777" w:rsidR="0048178F" w:rsidRPr="0050395C" w:rsidRDefault="0048178F" w:rsidP="00D76706">
            <w:pPr>
              <w:jc w:val="center"/>
              <w:rPr>
                <w:sz w:val="14"/>
                <w:szCs w:val="14"/>
              </w:rPr>
            </w:pPr>
            <w:r>
              <w:rPr>
                <w:sz w:val="14"/>
                <w:szCs w:val="14"/>
              </w:rPr>
              <w:t>(string)</w:t>
            </w:r>
          </w:p>
        </w:tc>
        <w:tc>
          <w:tcPr>
            <w:tcW w:w="1170" w:type="dxa"/>
          </w:tcPr>
          <w:p w14:paraId="56409E3D" w14:textId="77777777" w:rsidR="0048178F" w:rsidRDefault="0048178F" w:rsidP="00D76706">
            <w:pPr>
              <w:jc w:val="center"/>
              <w:rPr>
                <w:sz w:val="14"/>
                <w:szCs w:val="14"/>
              </w:rPr>
            </w:pPr>
            <w:r>
              <w:rPr>
                <w:sz w:val="14"/>
                <w:szCs w:val="14"/>
              </w:rPr>
              <w:t>1</w:t>
            </w:r>
          </w:p>
        </w:tc>
        <w:tc>
          <w:tcPr>
            <w:tcW w:w="1080" w:type="dxa"/>
          </w:tcPr>
          <w:p w14:paraId="0803656D" w14:textId="77777777" w:rsidR="0048178F" w:rsidRDefault="0048178F" w:rsidP="00D76706">
            <w:pPr>
              <w:rPr>
                <w:sz w:val="14"/>
                <w:szCs w:val="14"/>
              </w:rPr>
            </w:pPr>
            <w:r>
              <w:rPr>
                <w:sz w:val="14"/>
                <w:szCs w:val="14"/>
              </w:rPr>
              <w:t>D</w:t>
            </w:r>
          </w:p>
          <w:p w14:paraId="0556C338" w14:textId="77777777" w:rsidR="0048178F" w:rsidRDefault="0048178F" w:rsidP="00D76706">
            <w:pPr>
              <w:rPr>
                <w:sz w:val="14"/>
                <w:szCs w:val="14"/>
              </w:rPr>
            </w:pPr>
            <w:r>
              <w:rPr>
                <w:sz w:val="14"/>
                <w:szCs w:val="14"/>
              </w:rPr>
              <w:t>E</w:t>
            </w:r>
          </w:p>
        </w:tc>
        <w:tc>
          <w:tcPr>
            <w:tcW w:w="828" w:type="dxa"/>
            <w:shd w:val="clear" w:color="auto" w:fill="auto"/>
          </w:tcPr>
          <w:p w14:paraId="6C8BECCB" w14:textId="77777777" w:rsidR="0048178F" w:rsidRDefault="0048178F" w:rsidP="00D76706">
            <w:pPr>
              <w:jc w:val="center"/>
              <w:rPr>
                <w:sz w:val="14"/>
                <w:szCs w:val="14"/>
              </w:rPr>
            </w:pPr>
            <w:r>
              <w:rPr>
                <w:sz w:val="14"/>
                <w:szCs w:val="14"/>
              </w:rPr>
              <w:t>-</w:t>
            </w:r>
          </w:p>
        </w:tc>
      </w:tr>
      <w:tr w:rsidR="0048178F" w14:paraId="6C9AE704" w14:textId="77777777" w:rsidTr="00D76706">
        <w:tc>
          <w:tcPr>
            <w:tcW w:w="1818" w:type="dxa"/>
          </w:tcPr>
          <w:p w14:paraId="0644EECA" w14:textId="77777777" w:rsidR="0048178F" w:rsidRDefault="0048178F" w:rsidP="00D76706">
            <w:pPr>
              <w:rPr>
                <w:sz w:val="14"/>
                <w:szCs w:val="14"/>
              </w:rPr>
            </w:pPr>
            <w:r>
              <w:rPr>
                <w:sz w:val="14"/>
                <w:szCs w:val="14"/>
              </w:rPr>
              <w:t>priorYearAdjustmentCode</w:t>
            </w:r>
          </w:p>
        </w:tc>
        <w:tc>
          <w:tcPr>
            <w:tcW w:w="2880" w:type="dxa"/>
          </w:tcPr>
          <w:p w14:paraId="1D89601A" w14:textId="77777777" w:rsidR="0048178F" w:rsidRDefault="0048178F" w:rsidP="00D76706">
            <w:pPr>
              <w:rPr>
                <w:sz w:val="14"/>
                <w:szCs w:val="14"/>
              </w:rPr>
            </w:pPr>
            <w:r w:rsidRPr="001454FD">
              <w:rPr>
                <w:sz w:val="14"/>
                <w:szCs w:val="14"/>
              </w:rPr>
              <w:t>Changes to obligated or unobligated balances that occurred in the previous fiscal year but were not recorded in the appropriate TAFS as of October 1 of the current fiscal year. Exclude upward and downward adjustments to current-year/prior-year obligations and most reclassifications from clearing accounts.</w:t>
            </w:r>
          </w:p>
        </w:tc>
        <w:tc>
          <w:tcPr>
            <w:tcW w:w="1800" w:type="dxa"/>
          </w:tcPr>
          <w:p w14:paraId="3A387912" w14:textId="77777777" w:rsidR="0048178F" w:rsidRDefault="0048178F" w:rsidP="00D76706">
            <w:pPr>
              <w:jc w:val="center"/>
              <w:rPr>
                <w:sz w:val="14"/>
                <w:szCs w:val="14"/>
              </w:rPr>
            </w:pPr>
            <w:r>
              <w:rPr>
                <w:sz w:val="14"/>
                <w:szCs w:val="14"/>
              </w:rPr>
              <w:t>priorYearAdjustmentCodeItemType</w:t>
            </w:r>
          </w:p>
          <w:p w14:paraId="23898726" w14:textId="77777777" w:rsidR="0048178F" w:rsidRPr="0050395C" w:rsidRDefault="0048178F" w:rsidP="00D76706">
            <w:pPr>
              <w:jc w:val="center"/>
              <w:rPr>
                <w:sz w:val="14"/>
                <w:szCs w:val="14"/>
              </w:rPr>
            </w:pPr>
            <w:r>
              <w:rPr>
                <w:sz w:val="14"/>
                <w:szCs w:val="14"/>
              </w:rPr>
              <w:t>(enumeration)</w:t>
            </w:r>
          </w:p>
        </w:tc>
        <w:tc>
          <w:tcPr>
            <w:tcW w:w="1170" w:type="dxa"/>
          </w:tcPr>
          <w:p w14:paraId="6E128DF3" w14:textId="77777777" w:rsidR="0048178F" w:rsidRDefault="0048178F" w:rsidP="00D76706">
            <w:pPr>
              <w:jc w:val="center"/>
              <w:rPr>
                <w:sz w:val="14"/>
                <w:szCs w:val="14"/>
              </w:rPr>
            </w:pPr>
            <w:r>
              <w:rPr>
                <w:sz w:val="14"/>
                <w:szCs w:val="14"/>
              </w:rPr>
              <w:t>1</w:t>
            </w:r>
          </w:p>
        </w:tc>
        <w:tc>
          <w:tcPr>
            <w:tcW w:w="1080" w:type="dxa"/>
          </w:tcPr>
          <w:p w14:paraId="58DC989D" w14:textId="77777777" w:rsidR="0048178F" w:rsidRDefault="0048178F" w:rsidP="00D76706">
            <w:pPr>
              <w:rPr>
                <w:sz w:val="14"/>
                <w:szCs w:val="14"/>
              </w:rPr>
            </w:pPr>
            <w:r>
              <w:rPr>
                <w:sz w:val="14"/>
                <w:szCs w:val="14"/>
              </w:rPr>
              <w:t>B</w:t>
            </w:r>
          </w:p>
          <w:p w14:paraId="21D7AA42" w14:textId="77777777" w:rsidR="0048178F" w:rsidRDefault="0048178F" w:rsidP="00D76706">
            <w:pPr>
              <w:rPr>
                <w:sz w:val="14"/>
                <w:szCs w:val="14"/>
              </w:rPr>
            </w:pPr>
            <w:r>
              <w:rPr>
                <w:sz w:val="14"/>
                <w:szCs w:val="14"/>
              </w:rPr>
              <w:t>P</w:t>
            </w:r>
          </w:p>
          <w:p w14:paraId="69AB7D0B" w14:textId="77777777" w:rsidR="0048178F" w:rsidRDefault="0048178F" w:rsidP="00D76706">
            <w:pPr>
              <w:rPr>
                <w:sz w:val="14"/>
                <w:szCs w:val="14"/>
              </w:rPr>
            </w:pPr>
            <w:r>
              <w:rPr>
                <w:sz w:val="14"/>
                <w:szCs w:val="14"/>
              </w:rPr>
              <w:t>X</w:t>
            </w:r>
          </w:p>
        </w:tc>
        <w:tc>
          <w:tcPr>
            <w:tcW w:w="828" w:type="dxa"/>
            <w:shd w:val="clear" w:color="auto" w:fill="auto"/>
          </w:tcPr>
          <w:p w14:paraId="72E8EB61" w14:textId="77777777" w:rsidR="0048178F" w:rsidRDefault="0048178F" w:rsidP="00D76706">
            <w:pPr>
              <w:jc w:val="center"/>
              <w:rPr>
                <w:sz w:val="14"/>
                <w:szCs w:val="14"/>
              </w:rPr>
            </w:pPr>
            <w:r>
              <w:rPr>
                <w:sz w:val="14"/>
                <w:szCs w:val="14"/>
              </w:rPr>
              <w:t>-</w:t>
            </w:r>
          </w:p>
        </w:tc>
      </w:tr>
      <w:tr w:rsidR="0048178F" w14:paraId="03E05FE1" w14:textId="77777777" w:rsidTr="00D76706">
        <w:tc>
          <w:tcPr>
            <w:tcW w:w="1818" w:type="dxa"/>
          </w:tcPr>
          <w:p w14:paraId="0D9D6B2F" w14:textId="77777777" w:rsidR="0048178F" w:rsidRDefault="0048178F" w:rsidP="00D76706">
            <w:pPr>
              <w:rPr>
                <w:sz w:val="14"/>
                <w:szCs w:val="14"/>
              </w:rPr>
            </w:pPr>
            <w:r>
              <w:rPr>
                <w:sz w:val="14"/>
                <w:szCs w:val="14"/>
              </w:rPr>
              <w:t>creditCohortYear</w:t>
            </w:r>
          </w:p>
        </w:tc>
        <w:tc>
          <w:tcPr>
            <w:tcW w:w="2880" w:type="dxa"/>
          </w:tcPr>
          <w:p w14:paraId="6B259EBF" w14:textId="77777777" w:rsidR="0048178F" w:rsidRDefault="0048178F" w:rsidP="00D76706">
            <w:pPr>
              <w:rPr>
                <w:sz w:val="14"/>
                <w:szCs w:val="14"/>
              </w:rPr>
            </w:pPr>
            <w:r w:rsidRPr="001454FD">
              <w:rPr>
                <w:sz w:val="14"/>
                <w:szCs w:val="14"/>
              </w:rPr>
              <w:t>Fiscal year when direct loans are obligated or guarantees committed by a program, even if disbursements occur in subsequent fiscal years.</w:t>
            </w:r>
          </w:p>
        </w:tc>
        <w:tc>
          <w:tcPr>
            <w:tcW w:w="1800" w:type="dxa"/>
          </w:tcPr>
          <w:p w14:paraId="1D47F9D4" w14:textId="77777777" w:rsidR="0048178F" w:rsidRDefault="0048178F" w:rsidP="00D76706">
            <w:pPr>
              <w:jc w:val="center"/>
              <w:rPr>
                <w:sz w:val="14"/>
                <w:szCs w:val="14"/>
              </w:rPr>
            </w:pPr>
            <w:r>
              <w:rPr>
                <w:sz w:val="14"/>
                <w:szCs w:val="14"/>
              </w:rPr>
              <w:t>gYearItemType) not used</w:t>
            </w:r>
          </w:p>
          <w:p w14:paraId="6D47F7FB" w14:textId="77777777" w:rsidR="0048178F" w:rsidRPr="0050395C" w:rsidRDefault="0048178F" w:rsidP="00D76706">
            <w:pPr>
              <w:jc w:val="center"/>
              <w:rPr>
                <w:sz w:val="14"/>
                <w:szCs w:val="14"/>
              </w:rPr>
            </w:pPr>
            <w:r>
              <w:rPr>
                <w:sz w:val="14"/>
                <w:szCs w:val="14"/>
              </w:rPr>
              <w:t>(string)</w:t>
            </w:r>
          </w:p>
        </w:tc>
        <w:tc>
          <w:tcPr>
            <w:tcW w:w="1170" w:type="dxa"/>
          </w:tcPr>
          <w:p w14:paraId="7D013A56" w14:textId="77777777" w:rsidR="0048178F" w:rsidRDefault="0048178F" w:rsidP="00D76706">
            <w:pPr>
              <w:jc w:val="center"/>
              <w:rPr>
                <w:sz w:val="14"/>
                <w:szCs w:val="14"/>
              </w:rPr>
            </w:pPr>
            <w:r>
              <w:rPr>
                <w:sz w:val="14"/>
                <w:szCs w:val="14"/>
              </w:rPr>
              <w:t>4</w:t>
            </w:r>
          </w:p>
        </w:tc>
        <w:tc>
          <w:tcPr>
            <w:tcW w:w="1080" w:type="dxa"/>
          </w:tcPr>
          <w:p w14:paraId="3327F3A6" w14:textId="77777777" w:rsidR="0048178F" w:rsidRDefault="0048178F" w:rsidP="00D76706">
            <w:pPr>
              <w:rPr>
                <w:sz w:val="14"/>
                <w:szCs w:val="14"/>
              </w:rPr>
            </w:pPr>
            <w:r>
              <w:rPr>
                <w:sz w:val="14"/>
                <w:szCs w:val="14"/>
              </w:rPr>
              <w:t>2014</w:t>
            </w:r>
          </w:p>
        </w:tc>
        <w:tc>
          <w:tcPr>
            <w:tcW w:w="828" w:type="dxa"/>
            <w:shd w:val="clear" w:color="auto" w:fill="auto"/>
          </w:tcPr>
          <w:p w14:paraId="1EBAEB44" w14:textId="77777777" w:rsidR="0048178F" w:rsidRDefault="0048178F" w:rsidP="00D76706">
            <w:pPr>
              <w:jc w:val="center"/>
              <w:rPr>
                <w:sz w:val="14"/>
                <w:szCs w:val="14"/>
              </w:rPr>
            </w:pPr>
            <w:r>
              <w:rPr>
                <w:sz w:val="14"/>
                <w:szCs w:val="14"/>
              </w:rPr>
              <w:t>-</w:t>
            </w:r>
          </w:p>
        </w:tc>
      </w:tr>
      <w:tr w:rsidR="0048178F" w14:paraId="2C399F20" w14:textId="77777777" w:rsidTr="00D76706">
        <w:tc>
          <w:tcPr>
            <w:tcW w:w="1818" w:type="dxa"/>
          </w:tcPr>
          <w:p w14:paraId="51CAFBDA" w14:textId="77777777" w:rsidR="0048178F" w:rsidRDefault="0048178F" w:rsidP="00D76706">
            <w:pPr>
              <w:rPr>
                <w:sz w:val="14"/>
                <w:szCs w:val="14"/>
              </w:rPr>
            </w:pPr>
            <w:r>
              <w:rPr>
                <w:sz w:val="14"/>
                <w:szCs w:val="14"/>
              </w:rPr>
              <w:t>programIndicator</w:t>
            </w:r>
          </w:p>
        </w:tc>
        <w:tc>
          <w:tcPr>
            <w:tcW w:w="2880" w:type="dxa"/>
          </w:tcPr>
          <w:p w14:paraId="732CAE1D" w14:textId="77777777" w:rsidR="0048178F" w:rsidRDefault="0048178F" w:rsidP="00D76706">
            <w:pPr>
              <w:rPr>
                <w:sz w:val="14"/>
                <w:szCs w:val="14"/>
              </w:rPr>
            </w:pPr>
            <w:r w:rsidRPr="001454FD">
              <w:rPr>
                <w:sz w:val="14"/>
                <w:szCs w:val="14"/>
              </w:rPr>
              <w:t>The amount of cost or revenue directly or indirectly traceable to programs</w:t>
            </w:r>
          </w:p>
        </w:tc>
        <w:tc>
          <w:tcPr>
            <w:tcW w:w="1800" w:type="dxa"/>
          </w:tcPr>
          <w:p w14:paraId="14207929" w14:textId="77777777" w:rsidR="0048178F" w:rsidRDefault="0048178F" w:rsidP="00D76706">
            <w:pPr>
              <w:jc w:val="center"/>
              <w:rPr>
                <w:sz w:val="14"/>
                <w:szCs w:val="14"/>
              </w:rPr>
            </w:pPr>
            <w:r>
              <w:rPr>
                <w:sz w:val="14"/>
                <w:szCs w:val="14"/>
              </w:rPr>
              <w:t>programIndicatorItemType</w:t>
            </w:r>
          </w:p>
          <w:p w14:paraId="3CD4DFA7" w14:textId="77777777" w:rsidR="0048178F" w:rsidRPr="0050395C" w:rsidRDefault="0048178F" w:rsidP="00D76706">
            <w:pPr>
              <w:jc w:val="center"/>
              <w:rPr>
                <w:sz w:val="14"/>
                <w:szCs w:val="14"/>
              </w:rPr>
            </w:pPr>
            <w:r>
              <w:rPr>
                <w:sz w:val="14"/>
                <w:szCs w:val="14"/>
              </w:rPr>
              <w:t>(enumeration)</w:t>
            </w:r>
          </w:p>
        </w:tc>
        <w:tc>
          <w:tcPr>
            <w:tcW w:w="1170" w:type="dxa"/>
          </w:tcPr>
          <w:p w14:paraId="4D94E7A1" w14:textId="77777777" w:rsidR="0048178F" w:rsidRDefault="0048178F" w:rsidP="00D76706">
            <w:pPr>
              <w:jc w:val="center"/>
              <w:rPr>
                <w:sz w:val="14"/>
                <w:szCs w:val="14"/>
              </w:rPr>
            </w:pPr>
            <w:r>
              <w:rPr>
                <w:sz w:val="14"/>
                <w:szCs w:val="14"/>
              </w:rPr>
              <w:t>1</w:t>
            </w:r>
          </w:p>
        </w:tc>
        <w:tc>
          <w:tcPr>
            <w:tcW w:w="1080" w:type="dxa"/>
          </w:tcPr>
          <w:p w14:paraId="6486DCC9" w14:textId="77777777" w:rsidR="0048178F" w:rsidRDefault="0048178F" w:rsidP="00D76706">
            <w:pPr>
              <w:rPr>
                <w:sz w:val="14"/>
                <w:szCs w:val="14"/>
              </w:rPr>
            </w:pPr>
            <w:r>
              <w:rPr>
                <w:sz w:val="14"/>
                <w:szCs w:val="14"/>
              </w:rPr>
              <w:t>P</w:t>
            </w:r>
          </w:p>
          <w:p w14:paraId="24D0E7EF" w14:textId="77777777" w:rsidR="0048178F" w:rsidRDefault="0048178F" w:rsidP="00D76706">
            <w:pPr>
              <w:rPr>
                <w:sz w:val="14"/>
                <w:szCs w:val="14"/>
              </w:rPr>
            </w:pPr>
            <w:r>
              <w:rPr>
                <w:sz w:val="14"/>
                <w:szCs w:val="14"/>
              </w:rPr>
              <w:t>Q</w:t>
            </w:r>
          </w:p>
        </w:tc>
        <w:tc>
          <w:tcPr>
            <w:tcW w:w="828" w:type="dxa"/>
            <w:shd w:val="clear" w:color="auto" w:fill="auto"/>
          </w:tcPr>
          <w:p w14:paraId="7D5E784A" w14:textId="77777777" w:rsidR="0048178F" w:rsidRDefault="0048178F" w:rsidP="00D76706">
            <w:pPr>
              <w:jc w:val="center"/>
              <w:rPr>
                <w:sz w:val="14"/>
                <w:szCs w:val="14"/>
              </w:rPr>
            </w:pPr>
            <w:r>
              <w:rPr>
                <w:sz w:val="14"/>
                <w:szCs w:val="14"/>
              </w:rPr>
              <w:t>-</w:t>
            </w:r>
          </w:p>
        </w:tc>
      </w:tr>
      <w:tr w:rsidR="0048178F" w14:paraId="6DDF7A4A" w14:textId="77777777" w:rsidTr="00D76706">
        <w:tc>
          <w:tcPr>
            <w:tcW w:w="1818" w:type="dxa"/>
          </w:tcPr>
          <w:p w14:paraId="399A6C5C" w14:textId="77777777" w:rsidR="0048178F" w:rsidRDefault="0048178F" w:rsidP="00D76706">
            <w:pPr>
              <w:rPr>
                <w:sz w:val="14"/>
                <w:szCs w:val="14"/>
              </w:rPr>
            </w:pPr>
            <w:r>
              <w:rPr>
                <w:sz w:val="14"/>
                <w:szCs w:val="14"/>
              </w:rPr>
              <w:t>reductionType</w:t>
            </w:r>
          </w:p>
        </w:tc>
        <w:tc>
          <w:tcPr>
            <w:tcW w:w="2880" w:type="dxa"/>
          </w:tcPr>
          <w:p w14:paraId="743BE82D" w14:textId="77777777" w:rsidR="0048178F" w:rsidRDefault="0048178F" w:rsidP="00D76706">
            <w:pPr>
              <w:rPr>
                <w:sz w:val="14"/>
                <w:szCs w:val="14"/>
              </w:rPr>
            </w:pPr>
            <w:r w:rsidRPr="001454FD">
              <w:rPr>
                <w:sz w:val="14"/>
                <w:szCs w:val="14"/>
              </w:rPr>
              <w:t>The code representing the type of reduction being</w:t>
            </w:r>
            <w:r>
              <w:rPr>
                <w:sz w:val="14"/>
                <w:szCs w:val="14"/>
              </w:rPr>
              <w:t xml:space="preserve"> </w:t>
            </w:r>
            <w:r w:rsidRPr="001454FD">
              <w:rPr>
                <w:sz w:val="14"/>
                <w:szCs w:val="14"/>
              </w:rPr>
              <w:t>reported (e.g., Across The Board, Sequestration</w:t>
            </w:r>
            <w:r>
              <w:rPr>
                <w:sz w:val="14"/>
                <w:szCs w:val="14"/>
              </w:rPr>
              <w:t xml:space="preserve"> </w:t>
            </w:r>
            <w:r w:rsidRPr="001454FD">
              <w:rPr>
                <w:sz w:val="14"/>
                <w:szCs w:val="14"/>
              </w:rPr>
              <w:t>or Other) in detailed financial information. The</w:t>
            </w:r>
            <w:r>
              <w:rPr>
                <w:sz w:val="14"/>
                <w:szCs w:val="14"/>
              </w:rPr>
              <w:t xml:space="preserve"> </w:t>
            </w:r>
            <w:r w:rsidRPr="001454FD">
              <w:rPr>
                <w:sz w:val="14"/>
                <w:szCs w:val="14"/>
              </w:rPr>
              <w:t>domain values may change in subsequent fiscal</w:t>
            </w:r>
          </w:p>
        </w:tc>
        <w:tc>
          <w:tcPr>
            <w:tcW w:w="1800" w:type="dxa"/>
          </w:tcPr>
          <w:p w14:paraId="3946EF9F" w14:textId="77777777" w:rsidR="0048178F" w:rsidRDefault="0048178F" w:rsidP="00D76706">
            <w:pPr>
              <w:jc w:val="center"/>
              <w:rPr>
                <w:sz w:val="14"/>
                <w:szCs w:val="14"/>
              </w:rPr>
            </w:pPr>
            <w:r>
              <w:rPr>
                <w:sz w:val="14"/>
                <w:szCs w:val="14"/>
              </w:rPr>
              <w:t>reductionTypeItemType</w:t>
            </w:r>
          </w:p>
          <w:p w14:paraId="7163888A" w14:textId="77777777" w:rsidR="0048178F" w:rsidRPr="0050395C" w:rsidRDefault="0048178F" w:rsidP="00D76706">
            <w:pPr>
              <w:jc w:val="center"/>
              <w:rPr>
                <w:sz w:val="14"/>
                <w:szCs w:val="14"/>
              </w:rPr>
            </w:pPr>
            <w:r>
              <w:rPr>
                <w:sz w:val="14"/>
                <w:szCs w:val="14"/>
              </w:rPr>
              <w:t>(enumeration)</w:t>
            </w:r>
          </w:p>
        </w:tc>
        <w:tc>
          <w:tcPr>
            <w:tcW w:w="1170" w:type="dxa"/>
          </w:tcPr>
          <w:p w14:paraId="127A17E9" w14:textId="77777777" w:rsidR="0048178F" w:rsidRDefault="0048178F" w:rsidP="00D76706">
            <w:pPr>
              <w:jc w:val="center"/>
              <w:rPr>
                <w:sz w:val="14"/>
                <w:szCs w:val="14"/>
              </w:rPr>
            </w:pPr>
            <w:r>
              <w:rPr>
                <w:sz w:val="14"/>
                <w:szCs w:val="14"/>
              </w:rPr>
              <w:t>3</w:t>
            </w:r>
          </w:p>
        </w:tc>
        <w:tc>
          <w:tcPr>
            <w:tcW w:w="1080" w:type="dxa"/>
          </w:tcPr>
          <w:p w14:paraId="70F41032" w14:textId="77777777" w:rsidR="0048178F" w:rsidRDefault="0048178F" w:rsidP="00D76706">
            <w:pPr>
              <w:rPr>
                <w:sz w:val="14"/>
                <w:szCs w:val="14"/>
              </w:rPr>
            </w:pPr>
            <w:r>
              <w:rPr>
                <w:sz w:val="14"/>
                <w:szCs w:val="14"/>
              </w:rPr>
              <w:t>AB1</w:t>
            </w:r>
          </w:p>
          <w:p w14:paraId="5E1E441A" w14:textId="77777777" w:rsidR="0048178F" w:rsidRDefault="0048178F" w:rsidP="00D76706">
            <w:pPr>
              <w:rPr>
                <w:sz w:val="14"/>
                <w:szCs w:val="14"/>
              </w:rPr>
            </w:pPr>
            <w:r>
              <w:rPr>
                <w:sz w:val="14"/>
                <w:szCs w:val="14"/>
              </w:rPr>
              <w:t>SEQ</w:t>
            </w:r>
          </w:p>
          <w:p w14:paraId="4A276FB0" w14:textId="77777777" w:rsidR="0048178F" w:rsidRDefault="0048178F" w:rsidP="00D76706">
            <w:pPr>
              <w:rPr>
                <w:sz w:val="14"/>
                <w:szCs w:val="14"/>
              </w:rPr>
            </w:pPr>
            <w:r>
              <w:rPr>
                <w:sz w:val="14"/>
                <w:szCs w:val="14"/>
              </w:rPr>
              <w:t>XXX</w:t>
            </w:r>
          </w:p>
          <w:p w14:paraId="65F48F66" w14:textId="77777777" w:rsidR="0048178F" w:rsidRDefault="0048178F" w:rsidP="00D76706">
            <w:pPr>
              <w:rPr>
                <w:sz w:val="14"/>
                <w:szCs w:val="14"/>
              </w:rPr>
            </w:pPr>
            <w:r>
              <w:rPr>
                <w:sz w:val="14"/>
                <w:szCs w:val="14"/>
              </w:rPr>
              <w:t>OTR</w:t>
            </w:r>
          </w:p>
        </w:tc>
        <w:tc>
          <w:tcPr>
            <w:tcW w:w="828" w:type="dxa"/>
            <w:shd w:val="clear" w:color="auto" w:fill="auto"/>
          </w:tcPr>
          <w:p w14:paraId="722E1B70" w14:textId="77777777" w:rsidR="0048178F" w:rsidRDefault="0048178F" w:rsidP="00D76706">
            <w:pPr>
              <w:jc w:val="center"/>
              <w:rPr>
                <w:sz w:val="14"/>
                <w:szCs w:val="14"/>
              </w:rPr>
            </w:pPr>
            <w:r>
              <w:rPr>
                <w:sz w:val="14"/>
                <w:szCs w:val="14"/>
              </w:rPr>
              <w:t>-</w:t>
            </w:r>
          </w:p>
        </w:tc>
      </w:tr>
    </w:tbl>
    <w:p w14:paraId="31636A96" w14:textId="77777777" w:rsidR="0048178F" w:rsidRDefault="0048178F" w:rsidP="0048178F"/>
    <w:p w14:paraId="4DFCC027" w14:textId="77777777" w:rsidR="0048178F" w:rsidRDefault="0048178F" w:rsidP="0048178F">
      <w:pPr>
        <w:pStyle w:val="Heading5"/>
        <w:numPr>
          <w:ilvl w:val="4"/>
          <w:numId w:val="1"/>
        </w:numPr>
      </w:pPr>
      <w:bookmarkStart w:id="4" w:name="_Type:USSGLaccount"/>
      <w:bookmarkEnd w:id="4"/>
      <w:r>
        <w:t>USSGL Account</w:t>
      </w:r>
    </w:p>
    <w:p w14:paraId="746472D4" w14:textId="77777777" w:rsidR="0048178F" w:rsidRPr="00EC18BD" w:rsidRDefault="004D183F" w:rsidP="004D183F">
      <w:pPr>
        <w:pStyle w:val="IntenseQuote"/>
      </w:pPr>
      <w:r>
        <w:t xml:space="preserve">Element: </w:t>
      </w:r>
      <w:proofErr w:type="spellStart"/>
      <w:r>
        <w:t>USSGLaccount</w:t>
      </w:r>
      <w:proofErr w:type="spellEnd"/>
    </w:p>
    <w:tbl>
      <w:tblPr>
        <w:tblStyle w:val="TableGrid"/>
        <w:tblpPr w:leftFromText="180" w:rightFromText="180" w:vertAnchor="text" w:horzAnchor="margin" w:tblpY="233"/>
        <w:tblW w:w="0" w:type="auto"/>
        <w:tblLook w:val="04A0" w:firstRow="1" w:lastRow="0" w:firstColumn="1" w:lastColumn="0" w:noHBand="0" w:noVBand="1"/>
      </w:tblPr>
      <w:tblGrid>
        <w:gridCol w:w="2448"/>
        <w:gridCol w:w="3150"/>
        <w:gridCol w:w="988"/>
        <w:gridCol w:w="787"/>
        <w:gridCol w:w="1115"/>
        <w:gridCol w:w="871"/>
      </w:tblGrid>
      <w:tr w:rsidR="0048178F" w14:paraId="3A6ED6A2" w14:textId="77777777" w:rsidTr="00D76706">
        <w:tc>
          <w:tcPr>
            <w:tcW w:w="2448" w:type="dxa"/>
          </w:tcPr>
          <w:p w14:paraId="4C9626FA" w14:textId="77777777" w:rsidR="0048178F" w:rsidRDefault="0048178F" w:rsidP="00D76706">
            <w:pPr>
              <w:rPr>
                <w:sz w:val="14"/>
                <w:szCs w:val="14"/>
              </w:rPr>
            </w:pPr>
            <w:r w:rsidRPr="00891476">
              <w:rPr>
                <w:b/>
                <w:sz w:val="14"/>
                <w:szCs w:val="14"/>
              </w:rPr>
              <w:t>Data Element</w:t>
            </w:r>
          </w:p>
        </w:tc>
        <w:tc>
          <w:tcPr>
            <w:tcW w:w="3150" w:type="dxa"/>
          </w:tcPr>
          <w:p w14:paraId="37621751" w14:textId="77777777" w:rsidR="0048178F" w:rsidRDefault="0048178F" w:rsidP="00D76706">
            <w:pPr>
              <w:rPr>
                <w:sz w:val="14"/>
                <w:szCs w:val="14"/>
              </w:rPr>
            </w:pPr>
            <w:r w:rsidRPr="00891476">
              <w:rPr>
                <w:b/>
                <w:sz w:val="14"/>
                <w:szCs w:val="14"/>
              </w:rPr>
              <w:t>Description</w:t>
            </w:r>
          </w:p>
        </w:tc>
        <w:tc>
          <w:tcPr>
            <w:tcW w:w="988" w:type="dxa"/>
          </w:tcPr>
          <w:p w14:paraId="492557BD" w14:textId="77777777" w:rsidR="0048178F" w:rsidRDefault="0048178F" w:rsidP="00D76706">
            <w:pPr>
              <w:jc w:val="center"/>
              <w:rPr>
                <w:sz w:val="14"/>
                <w:szCs w:val="14"/>
              </w:rPr>
            </w:pPr>
            <w:r>
              <w:rPr>
                <w:b/>
                <w:sz w:val="14"/>
                <w:szCs w:val="14"/>
              </w:rPr>
              <w:t>Type</w:t>
            </w:r>
          </w:p>
        </w:tc>
        <w:tc>
          <w:tcPr>
            <w:tcW w:w="787" w:type="dxa"/>
          </w:tcPr>
          <w:p w14:paraId="38A3DB48" w14:textId="77777777" w:rsidR="0048178F" w:rsidRDefault="0048178F" w:rsidP="00D76706">
            <w:pPr>
              <w:jc w:val="center"/>
              <w:rPr>
                <w:sz w:val="14"/>
                <w:szCs w:val="14"/>
              </w:rPr>
            </w:pPr>
            <w:r w:rsidRPr="00891476">
              <w:rPr>
                <w:b/>
                <w:sz w:val="14"/>
                <w:szCs w:val="14"/>
              </w:rPr>
              <w:t>Length</w:t>
            </w:r>
          </w:p>
        </w:tc>
        <w:tc>
          <w:tcPr>
            <w:tcW w:w="1115" w:type="dxa"/>
          </w:tcPr>
          <w:p w14:paraId="01202909" w14:textId="77777777" w:rsidR="0048178F" w:rsidRDefault="0048178F" w:rsidP="00D76706">
            <w:pPr>
              <w:rPr>
                <w:sz w:val="14"/>
                <w:szCs w:val="14"/>
              </w:rPr>
            </w:pPr>
            <w:r w:rsidRPr="00891476">
              <w:rPr>
                <w:b/>
                <w:sz w:val="14"/>
                <w:szCs w:val="14"/>
              </w:rPr>
              <w:t>Example</w:t>
            </w:r>
          </w:p>
        </w:tc>
        <w:tc>
          <w:tcPr>
            <w:tcW w:w="871" w:type="dxa"/>
          </w:tcPr>
          <w:p w14:paraId="49D2E382" w14:textId="77777777" w:rsidR="0048178F" w:rsidRDefault="0048178F" w:rsidP="00D76706">
            <w:pPr>
              <w:jc w:val="center"/>
              <w:rPr>
                <w:sz w:val="14"/>
                <w:szCs w:val="14"/>
              </w:rPr>
            </w:pPr>
            <w:r w:rsidRPr="00891476">
              <w:rPr>
                <w:b/>
                <w:sz w:val="14"/>
                <w:szCs w:val="14"/>
              </w:rPr>
              <w:t>Data Act Element</w:t>
            </w:r>
          </w:p>
        </w:tc>
      </w:tr>
      <w:tr w:rsidR="0048178F" w14:paraId="7E893F96" w14:textId="77777777" w:rsidTr="00D76706">
        <w:tc>
          <w:tcPr>
            <w:tcW w:w="2448" w:type="dxa"/>
          </w:tcPr>
          <w:p w14:paraId="492CD314" w14:textId="77777777" w:rsidR="0048178F" w:rsidRDefault="0048178F" w:rsidP="00D76706">
            <w:pPr>
              <w:rPr>
                <w:sz w:val="14"/>
                <w:szCs w:val="14"/>
              </w:rPr>
            </w:pPr>
            <w:r w:rsidRPr="00B50A5D">
              <w:rPr>
                <w:sz w:val="14"/>
                <w:szCs w:val="14"/>
              </w:rPr>
              <w:t>USSGLAccount</w:t>
            </w:r>
            <w:r>
              <w:rPr>
                <w:sz w:val="14"/>
                <w:szCs w:val="14"/>
              </w:rPr>
              <w:t>Number</w:t>
            </w:r>
          </w:p>
        </w:tc>
        <w:tc>
          <w:tcPr>
            <w:tcW w:w="3150" w:type="dxa"/>
          </w:tcPr>
          <w:p w14:paraId="57AA7204" w14:textId="77777777" w:rsidR="0048178F" w:rsidRDefault="0048178F" w:rsidP="00D76706">
            <w:pPr>
              <w:rPr>
                <w:sz w:val="14"/>
                <w:szCs w:val="14"/>
              </w:rPr>
            </w:pPr>
          </w:p>
        </w:tc>
        <w:tc>
          <w:tcPr>
            <w:tcW w:w="988" w:type="dxa"/>
          </w:tcPr>
          <w:p w14:paraId="40E4F5CB" w14:textId="77777777" w:rsidR="0048178F" w:rsidRPr="0050395C" w:rsidRDefault="0048178F" w:rsidP="00D76706">
            <w:pPr>
              <w:jc w:val="center"/>
              <w:rPr>
                <w:sz w:val="14"/>
                <w:szCs w:val="14"/>
              </w:rPr>
            </w:pPr>
            <w:r>
              <w:rPr>
                <w:sz w:val="14"/>
                <w:szCs w:val="14"/>
              </w:rPr>
              <w:t>string</w:t>
            </w:r>
          </w:p>
        </w:tc>
        <w:tc>
          <w:tcPr>
            <w:tcW w:w="787" w:type="dxa"/>
          </w:tcPr>
          <w:p w14:paraId="2AB64DA1" w14:textId="77777777" w:rsidR="0048178F" w:rsidRDefault="0048178F" w:rsidP="00D76706">
            <w:pPr>
              <w:jc w:val="center"/>
              <w:rPr>
                <w:sz w:val="14"/>
                <w:szCs w:val="14"/>
              </w:rPr>
            </w:pPr>
          </w:p>
        </w:tc>
        <w:tc>
          <w:tcPr>
            <w:tcW w:w="1115" w:type="dxa"/>
          </w:tcPr>
          <w:p w14:paraId="2ECCEE02" w14:textId="77777777" w:rsidR="0048178F" w:rsidRDefault="0048178F" w:rsidP="00D76706">
            <w:pPr>
              <w:rPr>
                <w:sz w:val="14"/>
                <w:szCs w:val="14"/>
              </w:rPr>
            </w:pPr>
            <w:r w:rsidRPr="00C8616C">
              <w:rPr>
                <w:sz w:val="14"/>
                <w:szCs w:val="14"/>
              </w:rPr>
              <w:t>101000</w:t>
            </w:r>
          </w:p>
        </w:tc>
        <w:tc>
          <w:tcPr>
            <w:tcW w:w="871" w:type="dxa"/>
          </w:tcPr>
          <w:p w14:paraId="06D39860" w14:textId="77777777" w:rsidR="0048178F" w:rsidRDefault="0048178F" w:rsidP="00D76706">
            <w:pPr>
              <w:jc w:val="center"/>
              <w:rPr>
                <w:sz w:val="14"/>
                <w:szCs w:val="14"/>
              </w:rPr>
            </w:pPr>
            <w:r>
              <w:rPr>
                <w:sz w:val="14"/>
                <w:szCs w:val="14"/>
              </w:rPr>
              <w:t>-</w:t>
            </w:r>
          </w:p>
        </w:tc>
      </w:tr>
      <w:tr w:rsidR="0048178F" w14:paraId="3D586937" w14:textId="77777777" w:rsidTr="00D76706">
        <w:tc>
          <w:tcPr>
            <w:tcW w:w="2448" w:type="dxa"/>
          </w:tcPr>
          <w:p w14:paraId="72595DD7" w14:textId="77777777" w:rsidR="0048178F" w:rsidRDefault="00A613D4" w:rsidP="00D76706">
            <w:pPr>
              <w:rPr>
                <w:sz w:val="14"/>
                <w:szCs w:val="14"/>
              </w:rPr>
            </w:pPr>
            <w:hyperlink w:anchor="_Type:USSGLentryDetail" w:history="1">
              <w:r w:rsidR="0048178F">
                <w:rPr>
                  <w:rStyle w:val="Hyperlink"/>
                  <w:sz w:val="14"/>
                  <w:szCs w:val="14"/>
                </w:rPr>
                <w:t>objectClass</w:t>
              </w:r>
            </w:hyperlink>
          </w:p>
        </w:tc>
        <w:tc>
          <w:tcPr>
            <w:tcW w:w="3150" w:type="dxa"/>
          </w:tcPr>
          <w:p w14:paraId="69720726" w14:textId="77777777" w:rsidR="0048178F" w:rsidRDefault="0048178F" w:rsidP="00D76706">
            <w:pPr>
              <w:rPr>
                <w:sz w:val="14"/>
                <w:szCs w:val="14"/>
              </w:rPr>
            </w:pPr>
          </w:p>
        </w:tc>
        <w:tc>
          <w:tcPr>
            <w:tcW w:w="988" w:type="dxa"/>
          </w:tcPr>
          <w:p w14:paraId="56893B5C" w14:textId="77777777" w:rsidR="0048178F" w:rsidRPr="0050395C" w:rsidRDefault="0048178F" w:rsidP="00D76706">
            <w:pPr>
              <w:jc w:val="center"/>
              <w:rPr>
                <w:sz w:val="14"/>
                <w:szCs w:val="14"/>
              </w:rPr>
            </w:pPr>
            <w:r>
              <w:rPr>
                <w:sz w:val="14"/>
                <w:szCs w:val="14"/>
              </w:rPr>
              <w:t>string</w:t>
            </w:r>
          </w:p>
        </w:tc>
        <w:tc>
          <w:tcPr>
            <w:tcW w:w="787" w:type="dxa"/>
          </w:tcPr>
          <w:p w14:paraId="69B70A3E" w14:textId="77777777" w:rsidR="0048178F" w:rsidRDefault="0048178F" w:rsidP="00D76706">
            <w:pPr>
              <w:jc w:val="center"/>
              <w:rPr>
                <w:sz w:val="14"/>
                <w:szCs w:val="14"/>
              </w:rPr>
            </w:pPr>
          </w:p>
        </w:tc>
        <w:tc>
          <w:tcPr>
            <w:tcW w:w="1115" w:type="dxa"/>
          </w:tcPr>
          <w:p w14:paraId="2E10D3DA" w14:textId="77777777" w:rsidR="0048178F" w:rsidRDefault="0048178F" w:rsidP="00D76706">
            <w:pPr>
              <w:rPr>
                <w:sz w:val="14"/>
                <w:szCs w:val="14"/>
              </w:rPr>
            </w:pPr>
            <w:r w:rsidRPr="00C8616C">
              <w:rPr>
                <w:sz w:val="14"/>
                <w:szCs w:val="14"/>
              </w:rPr>
              <w:t>11.1</w:t>
            </w:r>
          </w:p>
        </w:tc>
        <w:tc>
          <w:tcPr>
            <w:tcW w:w="871" w:type="dxa"/>
          </w:tcPr>
          <w:p w14:paraId="569C182D" w14:textId="77777777" w:rsidR="0048178F" w:rsidRDefault="0048178F" w:rsidP="00D76706">
            <w:pPr>
              <w:jc w:val="center"/>
              <w:rPr>
                <w:sz w:val="14"/>
                <w:szCs w:val="14"/>
              </w:rPr>
            </w:pPr>
            <w:r>
              <w:rPr>
                <w:sz w:val="14"/>
                <w:szCs w:val="14"/>
              </w:rPr>
              <w:t>#74</w:t>
            </w:r>
          </w:p>
        </w:tc>
      </w:tr>
      <w:tr w:rsidR="0048178F" w14:paraId="59613929" w14:textId="77777777" w:rsidTr="00D76706">
        <w:tc>
          <w:tcPr>
            <w:tcW w:w="2448" w:type="dxa"/>
          </w:tcPr>
          <w:p w14:paraId="03C927EB" w14:textId="77777777" w:rsidR="0048178F" w:rsidRDefault="0048178F" w:rsidP="00D76706">
            <w:pPr>
              <w:rPr>
                <w:sz w:val="14"/>
                <w:szCs w:val="14"/>
              </w:rPr>
            </w:pPr>
            <w:r>
              <w:rPr>
                <w:sz w:val="14"/>
                <w:szCs w:val="14"/>
              </w:rPr>
              <w:t>awardNumber</w:t>
            </w:r>
          </w:p>
        </w:tc>
        <w:tc>
          <w:tcPr>
            <w:tcW w:w="3150" w:type="dxa"/>
          </w:tcPr>
          <w:p w14:paraId="570D1A0B" w14:textId="77777777" w:rsidR="0048178F" w:rsidRDefault="0048178F" w:rsidP="00D76706">
            <w:pPr>
              <w:rPr>
                <w:sz w:val="14"/>
                <w:szCs w:val="14"/>
              </w:rPr>
            </w:pPr>
            <w:r>
              <w:rPr>
                <w:sz w:val="14"/>
                <w:szCs w:val="14"/>
              </w:rPr>
              <w:t>Award ID</w:t>
            </w:r>
          </w:p>
        </w:tc>
        <w:tc>
          <w:tcPr>
            <w:tcW w:w="988" w:type="dxa"/>
          </w:tcPr>
          <w:p w14:paraId="2CACF043" w14:textId="77777777" w:rsidR="0048178F" w:rsidRPr="0050395C" w:rsidRDefault="0048178F" w:rsidP="00D76706">
            <w:pPr>
              <w:jc w:val="center"/>
              <w:rPr>
                <w:sz w:val="14"/>
                <w:szCs w:val="14"/>
              </w:rPr>
            </w:pPr>
            <w:r>
              <w:rPr>
                <w:sz w:val="14"/>
                <w:szCs w:val="14"/>
              </w:rPr>
              <w:t>string</w:t>
            </w:r>
          </w:p>
        </w:tc>
        <w:tc>
          <w:tcPr>
            <w:tcW w:w="787" w:type="dxa"/>
          </w:tcPr>
          <w:p w14:paraId="018A1322" w14:textId="77777777" w:rsidR="0048178F" w:rsidRDefault="0048178F" w:rsidP="00D76706">
            <w:pPr>
              <w:jc w:val="center"/>
              <w:rPr>
                <w:sz w:val="14"/>
                <w:szCs w:val="14"/>
              </w:rPr>
            </w:pPr>
          </w:p>
        </w:tc>
        <w:tc>
          <w:tcPr>
            <w:tcW w:w="1115" w:type="dxa"/>
          </w:tcPr>
          <w:p w14:paraId="290CBC32" w14:textId="77777777" w:rsidR="0048178F" w:rsidRDefault="0048178F" w:rsidP="00D76706">
            <w:pPr>
              <w:rPr>
                <w:sz w:val="14"/>
                <w:szCs w:val="14"/>
              </w:rPr>
            </w:pPr>
            <w:r w:rsidRPr="00C8616C">
              <w:rPr>
                <w:sz w:val="14"/>
                <w:szCs w:val="14"/>
              </w:rPr>
              <w:t>FSA-5000000-14-0012</w:t>
            </w:r>
          </w:p>
        </w:tc>
        <w:tc>
          <w:tcPr>
            <w:tcW w:w="871" w:type="dxa"/>
          </w:tcPr>
          <w:p w14:paraId="689C9085" w14:textId="77777777" w:rsidR="0048178F" w:rsidRDefault="0048178F" w:rsidP="00D76706">
            <w:pPr>
              <w:jc w:val="center"/>
              <w:rPr>
                <w:sz w:val="14"/>
                <w:szCs w:val="14"/>
              </w:rPr>
            </w:pPr>
            <w:r>
              <w:rPr>
                <w:sz w:val="14"/>
                <w:szCs w:val="14"/>
              </w:rPr>
              <w:t>#80</w:t>
            </w:r>
          </w:p>
        </w:tc>
      </w:tr>
    </w:tbl>
    <w:p w14:paraId="01DABF34" w14:textId="77777777" w:rsidR="0048178F" w:rsidRDefault="0048178F" w:rsidP="0048178F"/>
    <w:p w14:paraId="3FE5D12F" w14:textId="77777777" w:rsidR="005C2924" w:rsidRDefault="00DA652A" w:rsidP="005C2924">
      <w:pPr>
        <w:pStyle w:val="Heading1"/>
      </w:pPr>
      <w:r>
        <w:br w:type="column"/>
      </w:r>
      <w:r w:rsidR="005C2924">
        <w:lastRenderedPageBreak/>
        <w:t xml:space="preserve">Appendix </w:t>
      </w:r>
    </w:p>
    <w:p w14:paraId="6E96C0C1" w14:textId="77777777" w:rsidR="000623B9" w:rsidRDefault="00703B63" w:rsidP="00703B63">
      <w:pPr>
        <w:pStyle w:val="Heading2"/>
      </w:pPr>
      <w:r>
        <w:t>Supporting Meta-data Identified</w:t>
      </w:r>
    </w:p>
    <w:p w14:paraId="286DA44D" w14:textId="77777777" w:rsidR="00AA04BC" w:rsidRPr="005127F6" w:rsidRDefault="00AA04BC" w:rsidP="005127F6">
      <w:r>
        <w:t>Meta-data is descriptive data which creates context for the data it is describing. For example, an agency identifier is typically a number (</w:t>
      </w:r>
      <w:r w:rsidR="00DA652A">
        <w:t xml:space="preserve">e.g., </w:t>
      </w:r>
      <w:r>
        <w:t>71) but the meta-data of a description (</w:t>
      </w:r>
      <w:r w:rsidR="00DA652A">
        <w:t>e.g., Department</w:t>
      </w:r>
      <w:r>
        <w:t xml:space="preserve"> of Agriculture) provides the end user with an understanding of what “71” means.</w:t>
      </w:r>
    </w:p>
    <w:p w14:paraId="1144DEF0" w14:textId="77777777" w:rsidR="00703B63" w:rsidRPr="00703B63" w:rsidRDefault="00703B63" w:rsidP="00703B63">
      <w:pPr>
        <w:pStyle w:val="ListParagraph"/>
        <w:numPr>
          <w:ilvl w:val="0"/>
          <w:numId w:val="14"/>
        </w:numPr>
      </w:pPr>
      <w:r w:rsidRPr="00703B63">
        <w:t>NAICS codes and descriptions</w:t>
      </w:r>
    </w:p>
    <w:p w14:paraId="1A29632C" w14:textId="77777777" w:rsidR="00703B63" w:rsidRDefault="00C159E8" w:rsidP="00703B63">
      <w:pPr>
        <w:pStyle w:val="ListParagraph"/>
        <w:numPr>
          <w:ilvl w:val="0"/>
          <w:numId w:val="14"/>
        </w:numPr>
      </w:pPr>
      <w:r>
        <w:t>Recipient Identification</w:t>
      </w:r>
      <w:r w:rsidRPr="00703B63">
        <w:t xml:space="preserve"> </w:t>
      </w:r>
      <w:r w:rsidR="00703B63" w:rsidRPr="00703B63">
        <w:t>numbers and meta-data</w:t>
      </w:r>
    </w:p>
    <w:p w14:paraId="40CE5B7D" w14:textId="77777777" w:rsidR="00703B63" w:rsidRDefault="00703B63" w:rsidP="00703B63">
      <w:pPr>
        <w:pStyle w:val="ListParagraph"/>
        <w:numPr>
          <w:ilvl w:val="0"/>
          <w:numId w:val="14"/>
        </w:numPr>
      </w:pPr>
      <w:r>
        <w:t>USSGL Chart of Accounts Descriptions</w:t>
      </w:r>
    </w:p>
    <w:p w14:paraId="47988F58" w14:textId="77777777" w:rsidR="003F05BA" w:rsidRDefault="003F05BA" w:rsidP="00703B63">
      <w:pPr>
        <w:pStyle w:val="ListParagraph"/>
        <w:numPr>
          <w:ilvl w:val="0"/>
          <w:numId w:val="14"/>
        </w:numPr>
      </w:pPr>
      <w:r>
        <w:t>Agency descriptions/names</w:t>
      </w:r>
    </w:p>
    <w:sectPr w:rsidR="003F05BA">
      <w:headerReference w:type="default" r:id="rId24"/>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0A3AA9" w15:done="0"/>
  <w15:commentEx w15:paraId="5EF1F878" w15:paraIdParent="440A3AA9" w15:done="0"/>
  <w15:commentEx w15:paraId="52AF6BC1" w15:done="0"/>
  <w15:commentEx w15:paraId="4E2061FA" w15:paraIdParent="52AF6BC1" w15:done="0"/>
  <w15:commentEx w15:paraId="7CB5A716" w15:done="0"/>
  <w15:commentEx w15:paraId="7215B957" w15:done="0"/>
  <w15:commentEx w15:paraId="0E2A2C41" w15:done="0"/>
  <w15:commentEx w15:paraId="4E31487E" w15:paraIdParent="0E2A2C41" w15:done="0"/>
  <w15:commentEx w15:paraId="4FA64A54" w15:done="0"/>
  <w15:commentEx w15:paraId="5A6A29CE" w15:paraIdParent="4FA64A54" w15:done="0"/>
  <w15:commentEx w15:paraId="77E0C126" w15:done="0"/>
  <w15:commentEx w15:paraId="01D12300" w15:paraIdParent="77E0C1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1BB2AE7" w14:textId="77777777" w:rsidR="0086752E" w:rsidRDefault="0086752E" w:rsidP="0076723F">
      <w:pPr>
        <w:spacing w:after="0" w:line="240" w:lineRule="auto"/>
      </w:pPr>
      <w:r>
        <w:separator/>
      </w:r>
    </w:p>
  </w:endnote>
  <w:endnote w:type="continuationSeparator" w:id="0">
    <w:p w14:paraId="01AA16F8" w14:textId="77777777" w:rsidR="0086752E" w:rsidRDefault="0086752E" w:rsidP="0076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9E433FD" w14:textId="77777777" w:rsidR="0086752E" w:rsidRDefault="0086752E" w:rsidP="0076723F">
      <w:pPr>
        <w:spacing w:after="0" w:line="240" w:lineRule="auto"/>
      </w:pPr>
      <w:r>
        <w:separator/>
      </w:r>
    </w:p>
  </w:footnote>
  <w:footnote w:type="continuationSeparator" w:id="0">
    <w:p w14:paraId="31C9A921" w14:textId="77777777" w:rsidR="0086752E" w:rsidRDefault="0086752E" w:rsidP="007672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632634209"/>
      <w:docPartObj>
        <w:docPartGallery w:val="Watermarks"/>
        <w:docPartUnique/>
      </w:docPartObj>
    </w:sdtPr>
    <w:sdtEndPr/>
    <w:sdtContent>
      <w:p w14:paraId="2FC5AB78" w14:textId="77777777" w:rsidR="0086752E" w:rsidRDefault="00A613D4">
        <w:pPr>
          <w:pStyle w:val="Header"/>
        </w:pPr>
        <w:r>
          <w:rPr>
            <w:noProof/>
          </w:rPr>
          <w:pict w14:anchorId="407AB5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A56281E"/>
    <w:multiLevelType w:val="hybridMultilevel"/>
    <w:tmpl w:val="2B70B0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0E7DC2"/>
    <w:multiLevelType w:val="hybridMultilevel"/>
    <w:tmpl w:val="F06E4DAA"/>
    <w:lvl w:ilvl="0" w:tplc="1C94CC6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D5E3F"/>
    <w:multiLevelType w:val="hybridMultilevel"/>
    <w:tmpl w:val="F182C86E"/>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92F99"/>
    <w:multiLevelType w:val="hybridMultilevel"/>
    <w:tmpl w:val="93D8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707E8"/>
    <w:multiLevelType w:val="hybridMultilevel"/>
    <w:tmpl w:val="1DDE3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3068C"/>
    <w:multiLevelType w:val="hybridMultilevel"/>
    <w:tmpl w:val="CAD034D0"/>
    <w:lvl w:ilvl="0" w:tplc="981871EA">
      <w:numFmt w:val="bullet"/>
      <w:lvlText w:val="•"/>
      <w:lvlJc w:val="left"/>
      <w:pPr>
        <w:ind w:left="720" w:hanging="360"/>
      </w:pPr>
      <w:rPr>
        <w:rFonts w:ascii="Calibri" w:eastAsiaTheme="minorEastAsia"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4227E"/>
    <w:multiLevelType w:val="hybridMultilevel"/>
    <w:tmpl w:val="0320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A0D12"/>
    <w:multiLevelType w:val="hybridMultilevel"/>
    <w:tmpl w:val="4796A238"/>
    <w:lvl w:ilvl="0" w:tplc="8A1262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F3555"/>
    <w:multiLevelType w:val="hybridMultilevel"/>
    <w:tmpl w:val="5786161E"/>
    <w:lvl w:ilvl="0" w:tplc="0A06C446">
      <w:numFmt w:val="bullet"/>
      <w:lvlText w:val="-"/>
      <w:lvlJc w:val="left"/>
      <w:pPr>
        <w:ind w:left="720" w:hanging="360"/>
      </w:pPr>
      <w:rPr>
        <w:rFonts w:ascii="Calibri Light" w:eastAsiaTheme="majorEastAsia" w:hAnsi="Calibri Light"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850E7"/>
    <w:multiLevelType w:val="hybridMultilevel"/>
    <w:tmpl w:val="7FC2D03C"/>
    <w:lvl w:ilvl="0" w:tplc="981871E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7"/>
  </w:num>
  <w:num w:numId="16">
    <w:abstractNumId w:val="10"/>
  </w:num>
  <w:num w:numId="17">
    <w:abstractNumId w:val="5"/>
  </w:num>
  <w:num w:numId="18">
    <w:abstractNumId w:val="6"/>
  </w:num>
  <w:num w:numId="19">
    <w:abstractNumId w:val="0"/>
  </w:num>
  <w:num w:numId="20">
    <w:abstractNumId w:val="8"/>
  </w:num>
  <w:num w:numId="21">
    <w:abstractNumId w:val="3"/>
  </w:num>
  <w:num w:numId="2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Gulisano">
    <w15:presenceInfo w15:providerId="None" w15:userId="Joseph Gulis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7"/>
    <w:rsid w:val="00004AA2"/>
    <w:rsid w:val="000074EC"/>
    <w:rsid w:val="00027994"/>
    <w:rsid w:val="00053F4D"/>
    <w:rsid w:val="00055DBD"/>
    <w:rsid w:val="000606C9"/>
    <w:rsid w:val="000623B9"/>
    <w:rsid w:val="00075D7A"/>
    <w:rsid w:val="00082552"/>
    <w:rsid w:val="00083219"/>
    <w:rsid w:val="000A7061"/>
    <w:rsid w:val="000B475C"/>
    <w:rsid w:val="000E6D06"/>
    <w:rsid w:val="00112C9B"/>
    <w:rsid w:val="00113FF1"/>
    <w:rsid w:val="00117083"/>
    <w:rsid w:val="001242E5"/>
    <w:rsid w:val="001358D8"/>
    <w:rsid w:val="00167F2B"/>
    <w:rsid w:val="00172A9D"/>
    <w:rsid w:val="001852F3"/>
    <w:rsid w:val="00196F95"/>
    <w:rsid w:val="001C5144"/>
    <w:rsid w:val="001D4C60"/>
    <w:rsid w:val="002053D7"/>
    <w:rsid w:val="00251E84"/>
    <w:rsid w:val="00267943"/>
    <w:rsid w:val="002708DA"/>
    <w:rsid w:val="002733E6"/>
    <w:rsid w:val="002832E3"/>
    <w:rsid w:val="002B2BA8"/>
    <w:rsid w:val="002C144D"/>
    <w:rsid w:val="002D0872"/>
    <w:rsid w:val="002F0BA3"/>
    <w:rsid w:val="003004CA"/>
    <w:rsid w:val="00320EDB"/>
    <w:rsid w:val="003251B1"/>
    <w:rsid w:val="00326147"/>
    <w:rsid w:val="00335D31"/>
    <w:rsid w:val="00350C6D"/>
    <w:rsid w:val="00355D51"/>
    <w:rsid w:val="003730E0"/>
    <w:rsid w:val="003858BB"/>
    <w:rsid w:val="00394958"/>
    <w:rsid w:val="003A0CAA"/>
    <w:rsid w:val="003D6CDA"/>
    <w:rsid w:val="003E6B52"/>
    <w:rsid w:val="003E7682"/>
    <w:rsid w:val="003F05BA"/>
    <w:rsid w:val="00407D3A"/>
    <w:rsid w:val="00410C32"/>
    <w:rsid w:val="00416B3B"/>
    <w:rsid w:val="00431003"/>
    <w:rsid w:val="0043558C"/>
    <w:rsid w:val="00444080"/>
    <w:rsid w:val="00446123"/>
    <w:rsid w:val="00455CA0"/>
    <w:rsid w:val="0046551C"/>
    <w:rsid w:val="004702A4"/>
    <w:rsid w:val="00481641"/>
    <w:rsid w:val="0048178F"/>
    <w:rsid w:val="00486BDD"/>
    <w:rsid w:val="004B778B"/>
    <w:rsid w:val="004C5BDB"/>
    <w:rsid w:val="004D1365"/>
    <w:rsid w:val="004D183F"/>
    <w:rsid w:val="004F00E6"/>
    <w:rsid w:val="004F08C7"/>
    <w:rsid w:val="004F3DD9"/>
    <w:rsid w:val="0050395C"/>
    <w:rsid w:val="00510A43"/>
    <w:rsid w:val="005127F6"/>
    <w:rsid w:val="005273E3"/>
    <w:rsid w:val="00571825"/>
    <w:rsid w:val="005773E0"/>
    <w:rsid w:val="00595734"/>
    <w:rsid w:val="00596710"/>
    <w:rsid w:val="005A5C22"/>
    <w:rsid w:val="005C2924"/>
    <w:rsid w:val="005F0038"/>
    <w:rsid w:val="00600AC4"/>
    <w:rsid w:val="00613601"/>
    <w:rsid w:val="00647275"/>
    <w:rsid w:val="00667009"/>
    <w:rsid w:val="006823C4"/>
    <w:rsid w:val="006963BE"/>
    <w:rsid w:val="006B7AB2"/>
    <w:rsid w:val="006C7E5A"/>
    <w:rsid w:val="006E202E"/>
    <w:rsid w:val="006F7913"/>
    <w:rsid w:val="00703B63"/>
    <w:rsid w:val="00714661"/>
    <w:rsid w:val="00717941"/>
    <w:rsid w:val="007205E8"/>
    <w:rsid w:val="0073352B"/>
    <w:rsid w:val="007340AC"/>
    <w:rsid w:val="00735C9C"/>
    <w:rsid w:val="00742704"/>
    <w:rsid w:val="00743D48"/>
    <w:rsid w:val="00746800"/>
    <w:rsid w:val="007515B5"/>
    <w:rsid w:val="00752DAD"/>
    <w:rsid w:val="00756CFF"/>
    <w:rsid w:val="0076723F"/>
    <w:rsid w:val="00767265"/>
    <w:rsid w:val="00774906"/>
    <w:rsid w:val="00790994"/>
    <w:rsid w:val="007A1422"/>
    <w:rsid w:val="007A324D"/>
    <w:rsid w:val="007B3F46"/>
    <w:rsid w:val="007B5B4F"/>
    <w:rsid w:val="007C0FE6"/>
    <w:rsid w:val="007D05A5"/>
    <w:rsid w:val="007D2A39"/>
    <w:rsid w:val="007D6DED"/>
    <w:rsid w:val="007D77B2"/>
    <w:rsid w:val="007F4CAD"/>
    <w:rsid w:val="007F59A2"/>
    <w:rsid w:val="00802791"/>
    <w:rsid w:val="0081301C"/>
    <w:rsid w:val="00842042"/>
    <w:rsid w:val="0084610A"/>
    <w:rsid w:val="0085244D"/>
    <w:rsid w:val="0086752E"/>
    <w:rsid w:val="00871D88"/>
    <w:rsid w:val="00890D87"/>
    <w:rsid w:val="00891476"/>
    <w:rsid w:val="008C4ED3"/>
    <w:rsid w:val="008D3020"/>
    <w:rsid w:val="008E78E7"/>
    <w:rsid w:val="00942427"/>
    <w:rsid w:val="0097765A"/>
    <w:rsid w:val="00980CA0"/>
    <w:rsid w:val="00985F60"/>
    <w:rsid w:val="00997882"/>
    <w:rsid w:val="009B05B8"/>
    <w:rsid w:val="009B69A1"/>
    <w:rsid w:val="009B781F"/>
    <w:rsid w:val="009F0E80"/>
    <w:rsid w:val="00A03862"/>
    <w:rsid w:val="00A058B7"/>
    <w:rsid w:val="00A24211"/>
    <w:rsid w:val="00A27D1E"/>
    <w:rsid w:val="00A56DD3"/>
    <w:rsid w:val="00A613D4"/>
    <w:rsid w:val="00A74347"/>
    <w:rsid w:val="00A8171F"/>
    <w:rsid w:val="00A87025"/>
    <w:rsid w:val="00A92CDF"/>
    <w:rsid w:val="00A95C13"/>
    <w:rsid w:val="00AA0275"/>
    <w:rsid w:val="00AA04BC"/>
    <w:rsid w:val="00AA50F9"/>
    <w:rsid w:val="00AB79C4"/>
    <w:rsid w:val="00AC0D0A"/>
    <w:rsid w:val="00AC4A82"/>
    <w:rsid w:val="00AD25CC"/>
    <w:rsid w:val="00AD7AF7"/>
    <w:rsid w:val="00AF3C3D"/>
    <w:rsid w:val="00B155E2"/>
    <w:rsid w:val="00B412A9"/>
    <w:rsid w:val="00B61214"/>
    <w:rsid w:val="00BA4732"/>
    <w:rsid w:val="00BB08E5"/>
    <w:rsid w:val="00BC28CC"/>
    <w:rsid w:val="00BD0904"/>
    <w:rsid w:val="00BD1628"/>
    <w:rsid w:val="00BD572F"/>
    <w:rsid w:val="00BE745B"/>
    <w:rsid w:val="00BF37F3"/>
    <w:rsid w:val="00C159E8"/>
    <w:rsid w:val="00C1666D"/>
    <w:rsid w:val="00C22739"/>
    <w:rsid w:val="00C24640"/>
    <w:rsid w:val="00C337BB"/>
    <w:rsid w:val="00C37F52"/>
    <w:rsid w:val="00C423AB"/>
    <w:rsid w:val="00C43554"/>
    <w:rsid w:val="00C460FC"/>
    <w:rsid w:val="00C71988"/>
    <w:rsid w:val="00CA123F"/>
    <w:rsid w:val="00CB6BA1"/>
    <w:rsid w:val="00CB75C6"/>
    <w:rsid w:val="00CC78AD"/>
    <w:rsid w:val="00CD19B7"/>
    <w:rsid w:val="00CE31AF"/>
    <w:rsid w:val="00D06EFA"/>
    <w:rsid w:val="00D14E2A"/>
    <w:rsid w:val="00D32B80"/>
    <w:rsid w:val="00D700FB"/>
    <w:rsid w:val="00D76706"/>
    <w:rsid w:val="00D90B84"/>
    <w:rsid w:val="00DA0413"/>
    <w:rsid w:val="00DA652A"/>
    <w:rsid w:val="00DB4193"/>
    <w:rsid w:val="00DD4DCA"/>
    <w:rsid w:val="00DD7D54"/>
    <w:rsid w:val="00DE2B08"/>
    <w:rsid w:val="00E1323E"/>
    <w:rsid w:val="00E37D8E"/>
    <w:rsid w:val="00E565E9"/>
    <w:rsid w:val="00E75508"/>
    <w:rsid w:val="00E76DF2"/>
    <w:rsid w:val="00EB463B"/>
    <w:rsid w:val="00EE0CF5"/>
    <w:rsid w:val="00EE0E86"/>
    <w:rsid w:val="00EE2815"/>
    <w:rsid w:val="00EF4447"/>
    <w:rsid w:val="00F029D5"/>
    <w:rsid w:val="00F10D4B"/>
    <w:rsid w:val="00F20EC5"/>
    <w:rsid w:val="00F223C6"/>
    <w:rsid w:val="00F34B6A"/>
    <w:rsid w:val="00F35341"/>
    <w:rsid w:val="00F44209"/>
    <w:rsid w:val="00F70DF3"/>
    <w:rsid w:val="00F913B1"/>
    <w:rsid w:val="00F94DB4"/>
    <w:rsid w:val="00F97524"/>
    <w:rsid w:val="00FA4DC5"/>
    <w:rsid w:val="00FC1652"/>
    <w:rsid w:val="00FD496B"/>
    <w:rsid w:val="00FD57C7"/>
    <w:rsid w:val="00FD594F"/>
    <w:rsid w:val="00FE1022"/>
    <w:rsid w:val="00FE52B7"/>
    <w:rsid w:val="00FF4510"/>
    <w:rsid w:val="00FF51C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D8A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E5"/>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D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4958"/>
    <w:rPr>
      <w:color w:val="6B9F25" w:themeColor="hyperlink"/>
      <w:u w:val="single"/>
    </w:rPr>
  </w:style>
  <w:style w:type="character" w:styleId="CommentReference">
    <w:name w:val="annotation reference"/>
    <w:basedOn w:val="DefaultParagraphFont"/>
    <w:uiPriority w:val="99"/>
    <w:semiHidden/>
    <w:unhideWhenUsed/>
    <w:rsid w:val="009F0E80"/>
    <w:rPr>
      <w:sz w:val="16"/>
      <w:szCs w:val="16"/>
    </w:rPr>
  </w:style>
  <w:style w:type="paragraph" w:styleId="CommentText">
    <w:name w:val="annotation text"/>
    <w:basedOn w:val="Normal"/>
    <w:link w:val="CommentTextChar"/>
    <w:uiPriority w:val="99"/>
    <w:unhideWhenUsed/>
    <w:rsid w:val="009F0E80"/>
    <w:pPr>
      <w:spacing w:line="240" w:lineRule="auto"/>
    </w:pPr>
    <w:rPr>
      <w:sz w:val="20"/>
      <w:szCs w:val="20"/>
    </w:rPr>
  </w:style>
  <w:style w:type="character" w:customStyle="1" w:styleId="CommentTextChar">
    <w:name w:val="Comment Text Char"/>
    <w:basedOn w:val="DefaultParagraphFont"/>
    <w:link w:val="CommentText"/>
    <w:uiPriority w:val="99"/>
    <w:rsid w:val="009F0E80"/>
    <w:rPr>
      <w:sz w:val="20"/>
      <w:szCs w:val="20"/>
    </w:rPr>
  </w:style>
  <w:style w:type="paragraph" w:styleId="CommentSubject">
    <w:name w:val="annotation subject"/>
    <w:basedOn w:val="CommentText"/>
    <w:next w:val="CommentText"/>
    <w:link w:val="CommentSubjectChar"/>
    <w:uiPriority w:val="99"/>
    <w:semiHidden/>
    <w:unhideWhenUsed/>
    <w:rsid w:val="009F0E80"/>
    <w:rPr>
      <w:b/>
      <w:bCs/>
    </w:rPr>
  </w:style>
  <w:style w:type="character" w:customStyle="1" w:styleId="CommentSubjectChar">
    <w:name w:val="Comment Subject Char"/>
    <w:basedOn w:val="CommentTextChar"/>
    <w:link w:val="CommentSubject"/>
    <w:uiPriority w:val="99"/>
    <w:semiHidden/>
    <w:rsid w:val="009F0E80"/>
    <w:rPr>
      <w:b/>
      <w:bCs/>
      <w:sz w:val="20"/>
      <w:szCs w:val="20"/>
    </w:rPr>
  </w:style>
  <w:style w:type="paragraph" w:styleId="BalloonText">
    <w:name w:val="Balloon Text"/>
    <w:basedOn w:val="Normal"/>
    <w:link w:val="BalloonTextChar"/>
    <w:uiPriority w:val="99"/>
    <w:semiHidden/>
    <w:unhideWhenUsed/>
    <w:rsid w:val="009F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0"/>
    <w:rPr>
      <w:rFonts w:ascii="Segoe UI" w:hAnsi="Segoe UI" w:cs="Segoe UI"/>
      <w:sz w:val="18"/>
      <w:szCs w:val="18"/>
    </w:rPr>
  </w:style>
  <w:style w:type="paragraph" w:styleId="FootnoteText">
    <w:name w:val="footnote text"/>
    <w:basedOn w:val="Normal"/>
    <w:link w:val="FootnoteTextChar"/>
    <w:uiPriority w:val="99"/>
    <w:semiHidden/>
    <w:unhideWhenUsed/>
    <w:rsid w:val="00767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23F"/>
    <w:rPr>
      <w:sz w:val="20"/>
      <w:szCs w:val="20"/>
    </w:rPr>
  </w:style>
  <w:style w:type="character" w:styleId="FootnoteReference">
    <w:name w:val="footnote reference"/>
    <w:basedOn w:val="DefaultParagraphFont"/>
    <w:uiPriority w:val="99"/>
    <w:semiHidden/>
    <w:unhideWhenUsed/>
    <w:rsid w:val="0076723F"/>
    <w:rPr>
      <w:vertAlign w:val="superscript"/>
    </w:rPr>
  </w:style>
  <w:style w:type="paragraph" w:styleId="Header">
    <w:name w:val="header"/>
    <w:basedOn w:val="Normal"/>
    <w:link w:val="HeaderChar"/>
    <w:uiPriority w:val="99"/>
    <w:unhideWhenUsed/>
    <w:rsid w:val="00486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DD"/>
  </w:style>
  <w:style w:type="paragraph" w:styleId="Footer">
    <w:name w:val="footer"/>
    <w:basedOn w:val="Normal"/>
    <w:link w:val="FooterChar"/>
    <w:uiPriority w:val="99"/>
    <w:unhideWhenUsed/>
    <w:rsid w:val="0048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DD"/>
  </w:style>
  <w:style w:type="character" w:styleId="FollowedHyperlink">
    <w:name w:val="FollowedHyperlink"/>
    <w:basedOn w:val="DefaultParagraphFont"/>
    <w:uiPriority w:val="99"/>
    <w:semiHidden/>
    <w:unhideWhenUsed/>
    <w:rsid w:val="00A92CDF"/>
    <w:rPr>
      <w:color w:val="B26B02" w:themeColor="followedHyperlink"/>
      <w:u w:val="single"/>
    </w:rPr>
  </w:style>
  <w:style w:type="paragraph" w:styleId="Revision">
    <w:name w:val="Revision"/>
    <w:hidden/>
    <w:uiPriority w:val="99"/>
    <w:semiHidden/>
    <w:rsid w:val="00F02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28279">
      <w:bodyDiv w:val="1"/>
      <w:marLeft w:val="0"/>
      <w:marRight w:val="0"/>
      <w:marTop w:val="0"/>
      <w:marBottom w:val="0"/>
      <w:divBdr>
        <w:top w:val="none" w:sz="0" w:space="0" w:color="auto"/>
        <w:left w:val="none" w:sz="0" w:space="0" w:color="auto"/>
        <w:bottom w:val="none" w:sz="0" w:space="0" w:color="auto"/>
        <w:right w:val="none" w:sz="0" w:space="0" w:color="auto"/>
      </w:divBdr>
    </w:div>
    <w:div w:id="383795311">
      <w:bodyDiv w:val="1"/>
      <w:marLeft w:val="0"/>
      <w:marRight w:val="0"/>
      <w:marTop w:val="0"/>
      <w:marBottom w:val="0"/>
      <w:divBdr>
        <w:top w:val="none" w:sz="0" w:space="0" w:color="auto"/>
        <w:left w:val="none" w:sz="0" w:space="0" w:color="auto"/>
        <w:bottom w:val="none" w:sz="0" w:space="0" w:color="auto"/>
        <w:right w:val="none" w:sz="0" w:space="0" w:color="auto"/>
      </w:divBdr>
    </w:div>
    <w:div w:id="1155996208">
      <w:bodyDiv w:val="1"/>
      <w:marLeft w:val="0"/>
      <w:marRight w:val="0"/>
      <w:marTop w:val="0"/>
      <w:marBottom w:val="0"/>
      <w:divBdr>
        <w:top w:val="none" w:sz="0" w:space="0" w:color="auto"/>
        <w:left w:val="none" w:sz="0" w:space="0" w:color="auto"/>
        <w:bottom w:val="none" w:sz="0" w:space="0" w:color="auto"/>
        <w:right w:val="none" w:sz="0" w:space="0" w:color="auto"/>
      </w:divBdr>
    </w:div>
    <w:div w:id="1739207089">
      <w:bodyDiv w:val="1"/>
      <w:marLeft w:val="0"/>
      <w:marRight w:val="0"/>
      <w:marTop w:val="0"/>
      <w:marBottom w:val="0"/>
      <w:divBdr>
        <w:top w:val="none" w:sz="0" w:space="0" w:color="auto"/>
        <w:left w:val="none" w:sz="0" w:space="0" w:color="auto"/>
        <w:bottom w:val="none" w:sz="0" w:space="0" w:color="auto"/>
        <w:right w:val="none" w:sz="0" w:space="0" w:color="auto"/>
      </w:divBdr>
    </w:div>
    <w:div w:id="177675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png"/><Relationship Id="rId21" Type="http://schemas.openxmlformats.org/officeDocument/2006/relationships/hyperlink" Target="http://tfm.fiscal.treasury.gov/v1/supplements/ussgl.html" TargetMode="External"/><Relationship Id="rId22" Type="http://schemas.openxmlformats.org/officeDocument/2006/relationships/hyperlink" Target="http://fedspendingtransparency.github.io/dataelements/" TargetMode="External"/><Relationship Id="rId23" Type="http://schemas.openxmlformats.org/officeDocument/2006/relationships/hyperlink" Target="http://fedspendingtransparency.github.io/data-exchange-standard/"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30" Type="http://schemas.microsoft.com/office/2011/relationships/commentsExtended" Target="commentsExtended.xml"/><Relationship Id="rId31" Type="http://schemas.microsoft.com/office/2011/relationships/people" Target="people.xml"/><Relationship Id="rId10" Type="http://schemas.openxmlformats.org/officeDocument/2006/relationships/hyperlink" Target="http://fedspendingtransparency.github.io/data-exchange-standard/" TargetMode="External"/><Relationship Id="rId11" Type="http://schemas.openxmlformats.org/officeDocument/2006/relationships/hyperlink" Target="http://fedspendingtransparency.github.io/data-exchange-standard/" TargetMode="External"/><Relationship Id="rId12" Type="http://schemas.openxmlformats.org/officeDocument/2006/relationships/hyperlink" Target="http://tfm.fiscal.treasury.gov/v1/supplements/ussgl.html" TargetMode="External"/><Relationship Id="rId13" Type="http://schemas.openxmlformats.org/officeDocument/2006/relationships/hyperlink" Target="http://fedspendingtransparency.github.io/dataelements/" TargetMode="External"/><Relationship Id="rId14" Type="http://schemas.openxmlformats.org/officeDocument/2006/relationships/image" Target="media/image1.emf"/><Relationship Id="rId15" Type="http://schemas.openxmlformats.org/officeDocument/2006/relationships/package" Target="embeddings/Microsoft_Visio_Drawing11111111.vsdx"/><Relationship Id="rId16" Type="http://schemas.openxmlformats.org/officeDocument/2006/relationships/image" Target="media/image2.emf"/><Relationship Id="rId17" Type="http://schemas.openxmlformats.org/officeDocument/2006/relationships/package" Target="embeddings/Microsoft_Visio_Drawing22222222.vsdx"/><Relationship Id="rId18" Type="http://schemas.openxmlformats.org/officeDocument/2006/relationships/hyperlink" Target="https://fedspendingtransparency.github.io/whitepapers/objectclass/" TargetMode="External"/><Relationship Id="rId19" Type="http://schemas.openxmlformats.org/officeDocument/2006/relationships/hyperlink" Target="http://tfm.fiscal.treasury.gov/v1/supplements/ussgl.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5F23B80-637E-624B-86CE-4B453F4B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\Users\Joe\AppData\Roaming\Microsoft\Templates\Report design (blank).dotx</Template>
  <TotalTime>1</TotalTime>
  <Pages>9</Pages>
  <Words>2920</Words>
  <Characters>17055</Characters>
  <Application>Microsoft Macintosh Word</Application>
  <DocSecurity>0</DocSecurity>
  <Lines>741</Lines>
  <Paragraphs>475</Paragraphs>
  <ScaleCrop>false</ScaleCrop>
  <HeadingPairs>
    <vt:vector size="2" baseType="variant">
      <vt:variant>
        <vt:lpstr>Title</vt:lpstr>
      </vt:variant>
      <vt:variant>
        <vt:i4>1</vt:i4>
      </vt:variant>
    </vt:vector>
  </HeadingPairs>
  <TitlesOfParts>
    <vt:vector size="1" baseType="lpstr">
      <vt:lpstr/>
    </vt:vector>
  </TitlesOfParts>
  <Manager/>
  <Company>Dept. of the Treasury, FMS</Company>
  <LinksUpToDate>false</LinksUpToDate>
  <CharactersWithSpaces>19500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Sweger</dc:creator>
  <cp:keywords/>
  <dc:description/>
  <cp:lastModifiedBy>Becky Sweger</cp:lastModifiedBy>
  <cp:revision>2</cp:revision>
  <dcterms:created xsi:type="dcterms:W3CDTF">2015-04-21T16:07:00Z</dcterms:created>
  <dcterms:modified xsi:type="dcterms:W3CDTF">2015-04-21T16:07:00Z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