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continuity-principle"/>
    <w:p>
      <w:pPr>
        <w:pStyle w:val="Heading1"/>
      </w:pPr>
      <w:r>
        <w:t xml:space="preserve">CONTINUITY PRINCIPLE</w:t>
      </w:r>
    </w:p>
    <w:bookmarkStart w:id="21" w:name="principe-de-continuité-gouvernée"/>
    <w:p>
      <w:pPr>
        <w:pStyle w:val="Heading2"/>
      </w:pPr>
      <w:r>
        <w:t xml:space="preserve">Principe de Continuité Gouvernée</w:t>
      </w:r>
    </w:p>
    <w:bookmarkStart w:id="20" w:name="X0a1bbe584ce94c7d390c45a60af07b2319755e6"/>
    <w:p>
      <w:pPr>
        <w:pStyle w:val="Heading3"/>
      </w:pPr>
      <w:r>
        <w:t xml:space="preserve">Living Governance Engineering — Principe Fondamental n°8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énoncé-du-principe"/>
    <w:p>
      <w:pPr>
        <w:pStyle w:val="Heading1"/>
      </w:pPr>
      <w:r>
        <w:t xml:space="preserve">Énoncé du principe</w:t>
      </w:r>
    </w:p>
    <w:p>
      <w:pPr>
        <w:pStyle w:val="FirstParagraph"/>
      </w:pPr>
      <w:r>
        <w:rPr>
          <w:b/>
          <w:bCs/>
        </w:rPr>
        <w:t xml:space="preserve">Toute phase achevée doit préparer explicitement la suivante.</w:t>
      </w:r>
    </w:p>
    <w:p>
      <w:pPr>
        <w:pStyle w:val="BodyText"/>
      </w:pPr>
      <w:r>
        <w:t xml:space="preserve">Une phase ne peut être considérée comme pleinement terminée que lorsqu’elle a :</w:t>
      </w:r>
    </w:p>
    <w:p>
      <w:pPr>
        <w:pStyle w:val="Compact"/>
        <w:numPr>
          <w:ilvl w:val="0"/>
          <w:numId w:val="1001"/>
        </w:numPr>
      </w:pPr>
      <w:r>
        <w:t xml:space="preserve">satisfait ses critères de sortie ;</w:t>
      </w:r>
    </w:p>
    <w:p>
      <w:pPr>
        <w:pStyle w:val="Compact"/>
        <w:numPr>
          <w:ilvl w:val="0"/>
          <w:numId w:val="1001"/>
        </w:numPr>
      </w:pPr>
      <w:r>
        <w:t xml:space="preserve">documenté ses résultats ;</w:t>
      </w:r>
    </w:p>
    <w:p>
      <w:pPr>
        <w:pStyle w:val="Compact"/>
        <w:numPr>
          <w:ilvl w:val="0"/>
          <w:numId w:val="1001"/>
        </w:numPr>
      </w:pPr>
      <w:r>
        <w:t xml:space="preserve">capitalisé ses enseignements ;</w:t>
      </w:r>
    </w:p>
    <w:p>
      <w:pPr>
        <w:pStyle w:val="Compact"/>
        <w:numPr>
          <w:ilvl w:val="0"/>
          <w:numId w:val="1001"/>
        </w:numPr>
      </w:pPr>
      <w:r>
        <w:t xml:space="preserve">identifié la phase suivante ;</w:t>
      </w:r>
    </w:p>
    <w:p>
      <w:pPr>
        <w:pStyle w:val="Compact"/>
        <w:numPr>
          <w:ilvl w:val="0"/>
          <w:numId w:val="1001"/>
        </w:numPr>
      </w:pPr>
      <w:r>
        <w:t xml:space="preserve">préparé les conditions de sa réussite ;</w:t>
      </w:r>
    </w:p>
    <w:p>
      <w:pPr>
        <w:pStyle w:val="Compact"/>
        <w:numPr>
          <w:ilvl w:val="0"/>
          <w:numId w:val="1001"/>
        </w:numPr>
      </w:pPr>
      <w:r>
        <w:t xml:space="preserve">produit les ressources nécessaires à sa continuité.</w:t>
      </w:r>
    </w:p>
    <w:p>
      <w:pPr>
        <w:pStyle w:val="FirstParagraph"/>
      </w:pPr>
      <w:r>
        <w:t xml:space="preserve">Autrement dit, la clôture d’une phase ne constitue jamais une fin, mais le point de départ gouverné de la phase suivante.</w:t>
      </w:r>
    </w:p>
    <w:p>
      <w:r>
        <w:pict>
          <v:rect style="width:0;height:1.5pt" o:hralign="center" o:hrstd="t" o:hr="t"/>
        </w:pict>
      </w:r>
    </w:p>
    <w:bookmarkEnd w:id="23"/>
    <w:bookmarkStart w:id="24" w:name="formulation-courte"/>
    <w:p>
      <w:pPr>
        <w:pStyle w:val="Heading1"/>
      </w:pPr>
      <w:r>
        <w:t xml:space="preserve">Formulation courte</w:t>
      </w:r>
    </w:p>
    <w:p>
      <w:pPr>
        <w:pStyle w:val="BlockText"/>
      </w:pPr>
      <w:r>
        <w:t xml:space="preserve">Every completed phase must prepare the next one.</w:t>
      </w:r>
    </w:p>
    <w:p>
      <w:pPr>
        <w:pStyle w:val="FirstParagraph"/>
      </w:pPr>
      <w:r>
        <w:t xml:space="preserve">Ou en français :</w:t>
      </w:r>
    </w:p>
    <w:p>
      <w:pPr>
        <w:pStyle w:val="BlockText"/>
      </w:pPr>
      <w:r>
        <w:t xml:space="preserve">Toute phase achevée doit préparer explicitement la suivante.</w:t>
      </w:r>
    </w:p>
    <w:p>
      <w:r>
        <w:pict>
          <v:rect style="width:0;height:1.5pt" o:hralign="center" o:hrstd="t" o:hr="t"/>
        </w:pict>
      </w:r>
    </w:p>
    <w:bookmarkEnd w:id="24"/>
    <w:bookmarkStart w:id="25" w:name="justification"/>
    <w:p>
      <w:pPr>
        <w:pStyle w:val="Heading1"/>
      </w:pPr>
      <w:r>
        <w:t xml:space="preserve">Justification</w:t>
      </w:r>
    </w:p>
    <w:p>
      <w:pPr>
        <w:pStyle w:val="FirstParagraph"/>
      </w:pPr>
      <w:r>
        <w:t xml:space="preserve">Les systèmes vivants de gouvernance ne progressent pas par ruptures, mais par continuité.</w:t>
      </w:r>
    </w:p>
    <w:p>
      <w:pPr>
        <w:pStyle w:val="BodyText"/>
      </w:pPr>
      <w:r>
        <w:t xml:space="preserve">L’absence de préparation de la phase suivante entraîne :</w:t>
      </w:r>
    </w:p>
    <w:p>
      <w:pPr>
        <w:pStyle w:val="Compact"/>
        <w:numPr>
          <w:ilvl w:val="0"/>
          <w:numId w:val="1002"/>
        </w:numPr>
      </w:pPr>
      <w:r>
        <w:t xml:space="preserve">la perte de mémoire ;</w:t>
      </w:r>
    </w:p>
    <w:p>
      <w:pPr>
        <w:pStyle w:val="Compact"/>
        <w:numPr>
          <w:ilvl w:val="0"/>
          <w:numId w:val="1002"/>
        </w:numPr>
      </w:pPr>
      <w:r>
        <w:t xml:space="preserve">l’incohérence architecturale ;</w:t>
      </w:r>
    </w:p>
    <w:p>
      <w:pPr>
        <w:pStyle w:val="Compact"/>
        <w:numPr>
          <w:ilvl w:val="0"/>
          <w:numId w:val="1002"/>
        </w:numPr>
      </w:pPr>
      <w:r>
        <w:t xml:space="preserve">les dérives fonctionnelles ;</w:t>
      </w:r>
    </w:p>
    <w:p>
      <w:pPr>
        <w:pStyle w:val="Compact"/>
        <w:numPr>
          <w:ilvl w:val="0"/>
          <w:numId w:val="1002"/>
        </w:numPr>
      </w:pPr>
      <w:r>
        <w:t xml:space="preserve">les régressions ;</w:t>
      </w:r>
    </w:p>
    <w:p>
      <w:pPr>
        <w:pStyle w:val="Compact"/>
        <w:numPr>
          <w:ilvl w:val="0"/>
          <w:numId w:val="1002"/>
        </w:numPr>
      </w:pPr>
      <w:r>
        <w:t xml:space="preserve">la réinvention permanente du système.</w:t>
      </w:r>
    </w:p>
    <w:p>
      <w:pPr>
        <w:pStyle w:val="FirstParagraph"/>
      </w:pPr>
      <w:r>
        <w:t xml:space="preserve">À l’inverse, la continuité gouvernée permet :</w:t>
      </w:r>
    </w:p>
    <w:p>
      <w:pPr>
        <w:pStyle w:val="Compact"/>
        <w:numPr>
          <w:ilvl w:val="0"/>
          <w:numId w:val="1003"/>
        </w:numPr>
      </w:pPr>
      <w:r>
        <w:t xml:space="preserve">la préservation de l’identité ;</w:t>
      </w:r>
    </w:p>
    <w:p>
      <w:pPr>
        <w:pStyle w:val="Compact"/>
        <w:numPr>
          <w:ilvl w:val="0"/>
          <w:numId w:val="1003"/>
        </w:numPr>
      </w:pPr>
      <w:r>
        <w:t xml:space="preserve">l’accumulation des connaissances ;</w:t>
      </w:r>
    </w:p>
    <w:p>
      <w:pPr>
        <w:pStyle w:val="Compact"/>
        <w:numPr>
          <w:ilvl w:val="0"/>
          <w:numId w:val="1003"/>
        </w:numPr>
      </w:pPr>
      <w:r>
        <w:t xml:space="preserve">la cohérence des décisions ;</w:t>
      </w:r>
    </w:p>
    <w:p>
      <w:pPr>
        <w:pStyle w:val="Compact"/>
        <w:numPr>
          <w:ilvl w:val="0"/>
          <w:numId w:val="1003"/>
        </w:numPr>
      </w:pPr>
      <w:r>
        <w:t xml:space="preserve">la transmission des apprentissages ;</w:t>
      </w:r>
    </w:p>
    <w:p>
      <w:pPr>
        <w:pStyle w:val="Compact"/>
        <w:numPr>
          <w:ilvl w:val="0"/>
          <w:numId w:val="1003"/>
        </w:numPr>
      </w:pPr>
      <w:r>
        <w:t xml:space="preserve">l’évolution durable du système.</w:t>
      </w:r>
    </w:p>
    <w:p>
      <w:r>
        <w:pict>
          <v:rect style="width:0;height:1.5pt" o:hralign="center" o:hrstd="t" o:hr="t"/>
        </w:pict>
      </w:r>
    </w:p>
    <w:bookmarkEnd w:id="25"/>
    <w:bookmarkStart w:id="31" w:name="règle-opérationnelle"/>
    <w:p>
      <w:pPr>
        <w:pStyle w:val="Heading1"/>
      </w:pPr>
      <w:r>
        <w:t xml:space="preserve">Règle opérationnelle</w:t>
      </w:r>
    </w:p>
    <w:p>
      <w:pPr>
        <w:pStyle w:val="FirstParagraph"/>
      </w:pPr>
      <w:r>
        <w:t xml:space="preserve">La clôture d’une phase doit obligatoirement comporter :</w:t>
      </w:r>
    </w:p>
    <w:bookmarkStart w:id="26" w:name="le-bilan-de-la-phase"/>
    <w:p>
      <w:pPr>
        <w:pStyle w:val="Heading2"/>
      </w:pPr>
      <w:r>
        <w:t xml:space="preserve">1. Le bilan de la phase</w:t>
      </w:r>
    </w:p>
    <w:p>
      <w:pPr>
        <w:pStyle w:val="Compact"/>
        <w:numPr>
          <w:ilvl w:val="0"/>
          <w:numId w:val="1004"/>
        </w:numPr>
      </w:pPr>
      <w:r>
        <w:t xml:space="preserve">objectifs atteints ;</w:t>
      </w:r>
    </w:p>
    <w:p>
      <w:pPr>
        <w:pStyle w:val="Compact"/>
        <w:numPr>
          <w:ilvl w:val="0"/>
          <w:numId w:val="1004"/>
        </w:numPr>
      </w:pPr>
      <w:r>
        <w:t xml:space="preserve">livrables réalisés ;</w:t>
      </w:r>
    </w:p>
    <w:p>
      <w:pPr>
        <w:pStyle w:val="Compact"/>
        <w:numPr>
          <w:ilvl w:val="0"/>
          <w:numId w:val="1004"/>
        </w:numPr>
      </w:pPr>
      <w:r>
        <w:t xml:space="preserve">critères de sortie validés ;</w:t>
      </w:r>
    </w:p>
    <w:p>
      <w:pPr>
        <w:pStyle w:val="Compact"/>
        <w:numPr>
          <w:ilvl w:val="0"/>
          <w:numId w:val="1004"/>
        </w:numPr>
      </w:pPr>
      <w:r>
        <w:t xml:space="preserve">risques résiduels.</w:t>
      </w:r>
    </w:p>
    <w:p>
      <w:r>
        <w:pict>
          <v:rect style="width:0;height:1.5pt" o:hralign="center" o:hrstd="t" o:hr="t"/>
        </w:pict>
      </w:r>
    </w:p>
    <w:bookmarkEnd w:id="26"/>
    <w:bookmarkStart w:id="27" w:name="lactualisation-de-la-mémoire-vivante"/>
    <w:p>
      <w:pPr>
        <w:pStyle w:val="Heading2"/>
      </w:pPr>
      <w:r>
        <w:t xml:space="preserve">2. L’actualisation de la mémoire vivante</w:t>
      </w:r>
    </w:p>
    <w:p>
      <w:pPr>
        <w:pStyle w:val="FirstParagraph"/>
      </w:pPr>
      <w:r>
        <w:t xml:space="preserve">Mise à jour des documents :</w:t>
      </w:r>
    </w:p>
    <w:p>
      <w:pPr>
        <w:pStyle w:val="Compact"/>
        <w:numPr>
          <w:ilvl w:val="0"/>
          <w:numId w:val="1005"/>
        </w:numPr>
      </w:pPr>
      <w:r>
        <w:t xml:space="preserve">PROJECT_MEMORY ;</w:t>
      </w:r>
    </w:p>
    <w:p>
      <w:pPr>
        <w:pStyle w:val="Compact"/>
        <w:numPr>
          <w:ilvl w:val="0"/>
          <w:numId w:val="1005"/>
        </w:numPr>
      </w:pPr>
      <w:r>
        <w:t xml:space="preserve">DECISION_LOG ;</w:t>
      </w:r>
    </w:p>
    <w:p>
      <w:pPr>
        <w:pStyle w:val="Compact"/>
        <w:numPr>
          <w:ilvl w:val="0"/>
          <w:numId w:val="1005"/>
        </w:numPr>
      </w:pPr>
      <w:r>
        <w:t xml:space="preserve">STRATEGIC_DECISIONS_REGISTER ;</w:t>
      </w:r>
    </w:p>
    <w:p>
      <w:pPr>
        <w:pStyle w:val="Compact"/>
        <w:numPr>
          <w:ilvl w:val="0"/>
          <w:numId w:val="1005"/>
        </w:numPr>
      </w:pPr>
      <w:r>
        <w:t xml:space="preserve">CHANGELOG ;</w:t>
      </w:r>
    </w:p>
    <w:p>
      <w:pPr>
        <w:pStyle w:val="Compact"/>
        <w:numPr>
          <w:ilvl w:val="0"/>
          <w:numId w:val="1005"/>
        </w:numPr>
      </w:pPr>
      <w:r>
        <w:t xml:space="preserve">PROJECT_TIMELINE ;</w:t>
      </w:r>
    </w:p>
    <w:p>
      <w:pPr>
        <w:pStyle w:val="Compact"/>
        <w:numPr>
          <w:ilvl w:val="0"/>
          <w:numId w:val="1005"/>
        </w:numPr>
      </w:pPr>
      <w:r>
        <w:t xml:space="preserve">LESSONS_LEARNED.</w:t>
      </w:r>
    </w:p>
    <w:p>
      <w:r>
        <w:pict>
          <v:rect style="width:0;height:1.5pt" o:hralign="center" o:hrstd="t" o:hr="t"/>
        </w:pict>
      </w:r>
    </w:p>
    <w:bookmarkEnd w:id="27"/>
    <w:bookmarkStart w:id="28" w:name="la-désignation-de-la-phase-suivante"/>
    <w:p>
      <w:pPr>
        <w:pStyle w:val="Heading2"/>
      </w:pPr>
      <w:r>
        <w:t xml:space="preserve">3. La désignation de la phase suivante</w:t>
      </w:r>
    </w:p>
    <w:p>
      <w:pPr>
        <w:pStyle w:val="FirstParagraph"/>
      </w:pPr>
      <w:r>
        <w:t xml:space="preserve">Identification explicite :</w:t>
      </w:r>
    </w:p>
    <w:p>
      <w:pPr>
        <w:pStyle w:val="Compact"/>
        <w:numPr>
          <w:ilvl w:val="0"/>
          <w:numId w:val="1006"/>
        </w:numPr>
      </w:pPr>
      <w:r>
        <w:t xml:space="preserve">du numéro de phase ;</w:t>
      </w:r>
    </w:p>
    <w:p>
      <w:pPr>
        <w:pStyle w:val="Compact"/>
        <w:numPr>
          <w:ilvl w:val="0"/>
          <w:numId w:val="1006"/>
        </w:numPr>
      </w:pPr>
      <w:r>
        <w:t xml:space="preserve">de son objectif ;</w:t>
      </w:r>
    </w:p>
    <w:p>
      <w:pPr>
        <w:pStyle w:val="Compact"/>
        <w:numPr>
          <w:ilvl w:val="0"/>
          <w:numId w:val="1006"/>
        </w:numPr>
      </w:pPr>
      <w:r>
        <w:t xml:space="preserve">de son périmètre ;</w:t>
      </w:r>
    </w:p>
    <w:p>
      <w:pPr>
        <w:pStyle w:val="Compact"/>
        <w:numPr>
          <w:ilvl w:val="0"/>
          <w:numId w:val="1006"/>
        </w:numPr>
      </w:pPr>
      <w:r>
        <w:t xml:space="preserve">de ses dépendances.</w:t>
      </w:r>
    </w:p>
    <w:p>
      <w:r>
        <w:pict>
          <v:rect style="width:0;height:1.5pt" o:hralign="center" o:hrstd="t" o:hr="t"/>
        </w:pict>
      </w:r>
    </w:p>
    <w:bookmarkEnd w:id="28"/>
    <w:bookmarkStart w:id="29" w:name="X77002a888c9e17894e0cebe982018c00229058c"/>
    <w:p>
      <w:pPr>
        <w:pStyle w:val="Heading2"/>
      </w:pPr>
      <w:r>
        <w:t xml:space="preserve">4. La production du Prompt Mère de la phase suivante</w:t>
      </w:r>
    </w:p>
    <w:p>
      <w:pPr>
        <w:pStyle w:val="FirstParagraph"/>
      </w:pPr>
      <w:r>
        <w:t xml:space="preserve">Le Prompt Mère doit préciser :</w:t>
      </w:r>
    </w:p>
    <w:p>
      <w:pPr>
        <w:pStyle w:val="Compact"/>
        <w:numPr>
          <w:ilvl w:val="0"/>
          <w:numId w:val="1007"/>
        </w:numPr>
      </w:pPr>
      <w:r>
        <w:t xml:space="preserve">le contexte hérité ;</w:t>
      </w:r>
    </w:p>
    <w:p>
      <w:pPr>
        <w:pStyle w:val="Compact"/>
        <w:numPr>
          <w:ilvl w:val="0"/>
          <w:numId w:val="1007"/>
        </w:numPr>
      </w:pPr>
      <w:r>
        <w:t xml:space="preserve">les ressources à créer ;</w:t>
      </w:r>
    </w:p>
    <w:p>
      <w:pPr>
        <w:pStyle w:val="Compact"/>
        <w:numPr>
          <w:ilvl w:val="0"/>
          <w:numId w:val="1007"/>
        </w:numPr>
      </w:pPr>
      <w:r>
        <w:t xml:space="preserve">les règles de prudence ;</w:t>
      </w:r>
    </w:p>
    <w:p>
      <w:pPr>
        <w:pStyle w:val="Compact"/>
        <w:numPr>
          <w:ilvl w:val="0"/>
          <w:numId w:val="1007"/>
        </w:numPr>
      </w:pPr>
      <w:r>
        <w:t xml:space="preserve">les critères de succès ;</w:t>
      </w:r>
    </w:p>
    <w:p>
      <w:pPr>
        <w:pStyle w:val="Compact"/>
        <w:numPr>
          <w:ilvl w:val="0"/>
          <w:numId w:val="1007"/>
        </w:numPr>
      </w:pPr>
      <w:r>
        <w:t xml:space="preserve">les critères de sortie ;</w:t>
      </w:r>
    </w:p>
    <w:p>
      <w:pPr>
        <w:pStyle w:val="Compact"/>
        <w:numPr>
          <w:ilvl w:val="0"/>
          <w:numId w:val="1007"/>
        </w:numPr>
      </w:pPr>
      <w:r>
        <w:t xml:space="preserve">les exclusions ;</w:t>
      </w:r>
    </w:p>
    <w:p>
      <w:pPr>
        <w:pStyle w:val="Compact"/>
        <w:numPr>
          <w:ilvl w:val="0"/>
          <w:numId w:val="1007"/>
        </w:numPr>
      </w:pPr>
      <w:r>
        <w:t xml:space="preserve">les conventions de commit ;</w:t>
      </w:r>
    </w:p>
    <w:p>
      <w:pPr>
        <w:pStyle w:val="Compact"/>
        <w:numPr>
          <w:ilvl w:val="0"/>
          <w:numId w:val="1007"/>
        </w:numPr>
      </w:pPr>
      <w:r>
        <w:t xml:space="preserve">les mises à jour documentaires attendues.</w:t>
      </w:r>
    </w:p>
    <w:p>
      <w:r>
        <w:pict>
          <v:rect style="width:0;height:1.5pt" o:hralign="center" o:hrstd="t" o:hr="t"/>
        </w:pict>
      </w:r>
    </w:p>
    <w:bookmarkEnd w:id="29"/>
    <w:bookmarkStart w:id="30" w:name="lactualisation-de-la-roadmap"/>
    <w:p>
      <w:pPr>
        <w:pStyle w:val="Heading2"/>
      </w:pPr>
      <w:r>
        <w:t xml:space="preserve">5. L’actualisation de la roadmap</w:t>
      </w:r>
    </w:p>
    <w:p>
      <w:pPr>
        <w:pStyle w:val="FirstParagraph"/>
      </w:pPr>
      <w:r>
        <w:t xml:space="preserve">La feuille de route doit refléter :</w:t>
      </w:r>
    </w:p>
    <w:p>
      <w:pPr>
        <w:pStyle w:val="Compact"/>
        <w:numPr>
          <w:ilvl w:val="0"/>
          <w:numId w:val="1008"/>
        </w:numPr>
      </w:pPr>
      <w:r>
        <w:t xml:space="preserve">la phase clôturée ;</w:t>
      </w:r>
    </w:p>
    <w:p>
      <w:pPr>
        <w:pStyle w:val="Compact"/>
        <w:numPr>
          <w:ilvl w:val="0"/>
          <w:numId w:val="1008"/>
        </w:numPr>
      </w:pPr>
      <w:r>
        <w:t xml:space="preserve">la phase active ;</w:t>
      </w:r>
    </w:p>
    <w:p>
      <w:pPr>
        <w:pStyle w:val="Compact"/>
        <w:numPr>
          <w:ilvl w:val="0"/>
          <w:numId w:val="1008"/>
        </w:numPr>
      </w:pPr>
      <w:r>
        <w:t xml:space="preserve">les phases futures.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ycle-de-continuité"/>
    <w:p>
      <w:pPr>
        <w:pStyle w:val="Heading1"/>
      </w:pPr>
      <w:r>
        <w:t xml:space="preserve">Cycle de continuité</w:t>
      </w:r>
    </w:p>
    <w:p>
      <w:pPr>
        <w:pStyle w:val="FirstParagraph"/>
      </w:pPr>
      <w:r>
        <w:t xml:space="preserve">Fondation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Mémoire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Architecture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Connaissance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Gouvernance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Données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Intelligence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Agents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Applications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Dashboards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Command Centers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Nouvelle évolution</w:t>
      </w:r>
    </w:p>
    <w:p>
      <w:r>
        <w:pict>
          <v:rect style="width:0;height:1.5pt" o:hralign="center" o:hrstd="t" o:hr="t"/>
        </w:pict>
      </w:r>
    </w:p>
    <w:bookmarkEnd w:id="32"/>
    <w:bookmarkStart w:id="33" w:name="application-à-cs-greffe-os"/>
    <w:p>
      <w:pPr>
        <w:pStyle w:val="Heading1"/>
      </w:pPr>
      <w:r>
        <w:t xml:space="preserve">Application à CS GREFFE OS</w:t>
      </w:r>
    </w:p>
    <w:p>
      <w:pPr>
        <w:pStyle w:val="FirstParagraph"/>
      </w:pPr>
      <w:r>
        <w:t xml:space="preserve">Exemple :</w:t>
      </w:r>
    </w:p>
    <w:p>
      <w:pPr>
        <w:pStyle w:val="BodyText"/>
      </w:pPr>
      <w:r>
        <w:t xml:space="preserve">PHASE 0</w:t>
      </w:r>
    </w:p>
    <w:p>
      <w:pPr>
        <w:pStyle w:val="BodyText"/>
      </w:pPr>
      <w:r>
        <w:t xml:space="preserve">Fondation intellectuelle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Prompt Mère Phase 1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PHASE 1</w:t>
      </w:r>
    </w:p>
    <w:p>
      <w:pPr>
        <w:pStyle w:val="BodyText"/>
      </w:pPr>
      <w:r>
        <w:t xml:space="preserve">Living Memory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Prompt Mère Phase 3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PHASE 3</w:t>
      </w:r>
    </w:p>
    <w:p>
      <w:pPr>
        <w:pStyle w:val="BodyText"/>
      </w:pPr>
      <w:r>
        <w:t xml:space="preserve">Knowledge Foundation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Prompt Mère Phase 4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PHASE 4</w:t>
      </w:r>
    </w:p>
    <w:p>
      <w:pPr>
        <w:pStyle w:val="BodyText"/>
      </w:pPr>
      <w:r>
        <w:t xml:space="preserve">Justice Data Governance Office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…</w:t>
      </w:r>
    </w:p>
    <w:p>
      <w:pPr>
        <w:pStyle w:val="BodyText"/>
      </w:pPr>
      <w:r>
        <w:t xml:space="preserve">Chaque phase transmet ainsi un héritage gouverné à la suivante.</w:t>
      </w:r>
    </w:p>
    <w:p>
      <w:r>
        <w:pict>
          <v:rect style="width:0;height:1.5pt" o:hralign="center" o:hrstd="t" o:hr="t"/>
        </w:pict>
      </w:r>
    </w:p>
    <w:bookmarkEnd w:id="33"/>
    <w:bookmarkStart w:id="34" w:name="X7f1720772b6bea2f5b1ad7510b1455c9d5c9bed"/>
    <w:p>
      <w:pPr>
        <w:pStyle w:val="Heading1"/>
      </w:pPr>
      <w:r>
        <w:t xml:space="preserve">Place dans les Principes Fondamentaux de Living Governance Engineering</w:t>
      </w:r>
    </w:p>
    <w:p>
      <w:pPr>
        <w:numPr>
          <w:ilvl w:val="0"/>
          <w:numId w:val="1009"/>
        </w:numPr>
      </w:pPr>
      <w:r>
        <w:t xml:space="preserve">Human Governance before AI.</w:t>
      </w:r>
    </w:p>
    <w:p>
      <w:pPr>
        <w:numPr>
          <w:ilvl w:val="0"/>
          <w:numId w:val="1009"/>
        </w:numPr>
      </w:pPr>
      <w:r>
        <w:t xml:space="preserve">Memory before Code.</w:t>
      </w:r>
    </w:p>
    <w:p>
      <w:pPr>
        <w:numPr>
          <w:ilvl w:val="0"/>
          <w:numId w:val="1009"/>
        </w:numPr>
      </w:pPr>
      <w:r>
        <w:t xml:space="preserve">Governance before Automation.</w:t>
      </w:r>
    </w:p>
    <w:p>
      <w:pPr>
        <w:numPr>
          <w:ilvl w:val="0"/>
          <w:numId w:val="1009"/>
        </w:numPr>
      </w:pPr>
      <w:r>
        <w:t xml:space="preserve">Identity before Complexity.</w:t>
      </w:r>
    </w:p>
    <w:p>
      <w:pPr>
        <w:numPr>
          <w:ilvl w:val="0"/>
          <w:numId w:val="1009"/>
        </w:numPr>
      </w:pPr>
      <w:r>
        <w:t xml:space="preserve">Traceability before Performance.</w:t>
      </w:r>
    </w:p>
    <w:p>
      <w:pPr>
        <w:numPr>
          <w:ilvl w:val="0"/>
          <w:numId w:val="1009"/>
        </w:numPr>
      </w:pPr>
      <w:r>
        <w:t xml:space="preserve">Knowledge as an Asset.</w:t>
      </w:r>
    </w:p>
    <w:p>
      <w:pPr>
        <w:numPr>
          <w:ilvl w:val="0"/>
          <w:numId w:val="1009"/>
        </w:numPr>
      </w:pPr>
      <w:r>
        <w:t xml:space="preserve">AI augments Humans.</w:t>
      </w:r>
    </w:p>
    <w:p>
      <w:pPr>
        <w:numPr>
          <w:ilvl w:val="0"/>
          <w:numId w:val="1009"/>
        </w:numPr>
      </w:pPr>
      <w:r>
        <w:t xml:space="preserve">Every completed phase must prepare the next one.</w:t>
      </w:r>
    </w:p>
    <w:p>
      <w:r>
        <w:pict>
          <v:rect style="width:0;height:1.5pt" o:hralign="center" o:hrstd="t" o:hr="t"/>
        </w:pict>
      </w:r>
    </w:p>
    <w:bookmarkEnd w:id="34"/>
    <w:bookmarkStart w:id="35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Dans une Living Governance Platform, aucune phase ne doit mourir avec sa clôture.</w:t>
      </w:r>
    </w:p>
    <w:p>
      <w:pPr>
        <w:pStyle w:val="BodyText"/>
      </w:pPr>
      <w:r>
        <w:t xml:space="preserve">Chaque phase doit laisser :</w:t>
      </w:r>
    </w:p>
    <w:p>
      <w:pPr>
        <w:pStyle w:val="Compact"/>
        <w:numPr>
          <w:ilvl w:val="0"/>
          <w:numId w:val="1010"/>
        </w:numPr>
      </w:pPr>
      <w:r>
        <w:t xml:space="preserve">sa mémoire ;</w:t>
      </w:r>
    </w:p>
    <w:p>
      <w:pPr>
        <w:pStyle w:val="Compact"/>
        <w:numPr>
          <w:ilvl w:val="0"/>
          <w:numId w:val="1010"/>
        </w:numPr>
      </w:pPr>
      <w:r>
        <w:t xml:space="preserve">ses enseignements ;</w:t>
      </w:r>
    </w:p>
    <w:p>
      <w:pPr>
        <w:pStyle w:val="Compact"/>
        <w:numPr>
          <w:ilvl w:val="0"/>
          <w:numId w:val="1010"/>
        </w:numPr>
      </w:pPr>
      <w:r>
        <w:t xml:space="preserve">sa trajectoire ;</w:t>
      </w:r>
    </w:p>
    <w:p>
      <w:pPr>
        <w:pStyle w:val="Compact"/>
        <w:numPr>
          <w:ilvl w:val="0"/>
          <w:numId w:val="1010"/>
        </w:numPr>
      </w:pPr>
      <w:r>
        <w:t xml:space="preserve">et les conditions nécessaires à l’émergence de la phase suivante.</w:t>
      </w:r>
    </w:p>
    <w:p>
      <w:pPr>
        <w:pStyle w:val="FirstParagraph"/>
      </w:pPr>
      <w:r>
        <w:t xml:space="preserve">La continuité n’est pas une conséquence du système.</w:t>
      </w:r>
    </w:p>
    <w:p>
      <w:pPr>
        <w:pStyle w:val="BodyText"/>
      </w:pPr>
      <w:r>
        <w:t xml:space="preserve">Elle constitue l’une de ses lois fondamentales.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2026-06-14T21:51:40Z</dcterms:created>
  <dcterms:modified xsi:type="dcterms:W3CDTF">2026-06-14T21:51:40Z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