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61507b77aa1a8d914381f637de4d54c99a320"/>
    <w:p>
      <w:pPr>
        <w:pStyle w:val="Heading1"/>
      </w:pPr>
      <w:r>
        <w:t xml:space="preserve">EXTENSIONS OFFICIELLES DU PROMPT MÈRE — PHASE 1 : LIVING MEMORY</w:t>
      </w:r>
    </w:p>
    <w:p>
      <w:r>
        <w:pict>
          <v:rect style="width:0;height:1.5pt" o:hralign="center" o:hrstd="t" o:hr="t"/>
        </w:pict>
      </w:r>
    </w:p>
    <w:bookmarkEnd w:id="20"/>
    <w:bookmarkStart w:id="21" w:name="directive-de-pérennité-et-de-sauvegarde"/>
    <w:p>
      <w:pPr>
        <w:pStyle w:val="Heading1"/>
      </w:pPr>
      <w:r>
        <w:t xml:space="preserve">DIRECTIVE DE PÉRENNITÉ ET DE SAUVEGARDE</w:t>
      </w:r>
    </w:p>
    <w:p>
      <w:pPr>
        <w:pStyle w:val="FirstParagraph"/>
      </w:pPr>
      <w:r>
        <w:t xml:space="preserve">La mémoire vivante constitue un actif stratégique.</w:t>
      </w:r>
    </w:p>
    <w:p>
      <w:pPr>
        <w:pStyle w:val="BodyText"/>
      </w:pPr>
      <w:r>
        <w:t xml:space="preserve">Aucune connaissance importante ne doit exister sous une forme unique.</w:t>
      </w:r>
    </w:p>
    <w:p>
      <w:pPr>
        <w:pStyle w:val="BodyText"/>
      </w:pPr>
      <w:r>
        <w:t xml:space="preserve">Toute ressource majeure produite dans le cadre de la PHASE 1 doit être :</w:t>
      </w:r>
    </w:p>
    <w:p>
      <w:pPr>
        <w:pStyle w:val="Compact"/>
        <w:numPr>
          <w:ilvl w:val="0"/>
          <w:numId w:val="1001"/>
        </w:numPr>
      </w:pPr>
      <w:r>
        <w:t xml:space="preserve">documentée ;</w:t>
      </w:r>
    </w:p>
    <w:p>
      <w:pPr>
        <w:pStyle w:val="Compact"/>
        <w:numPr>
          <w:ilvl w:val="0"/>
          <w:numId w:val="1001"/>
        </w:numPr>
      </w:pPr>
      <w:r>
        <w:t xml:space="preserve">versionnée ;</w:t>
      </w:r>
    </w:p>
    <w:p>
      <w:pPr>
        <w:pStyle w:val="Compact"/>
        <w:numPr>
          <w:ilvl w:val="0"/>
          <w:numId w:val="1001"/>
        </w:numPr>
      </w:pPr>
      <w:r>
        <w:t xml:space="preserve">sauvegardée ;</w:t>
      </w:r>
    </w:p>
    <w:p>
      <w:pPr>
        <w:pStyle w:val="Compact"/>
        <w:numPr>
          <w:ilvl w:val="0"/>
          <w:numId w:val="1001"/>
        </w:numPr>
      </w:pPr>
      <w:r>
        <w:t xml:space="preserve">facilement téléchargeable ;</w:t>
      </w:r>
    </w:p>
    <w:p>
      <w:pPr>
        <w:pStyle w:val="Compact"/>
        <w:numPr>
          <w:ilvl w:val="0"/>
          <w:numId w:val="1001"/>
        </w:numPr>
      </w:pPr>
      <w:r>
        <w:t xml:space="preserve">réutilisable ;</w:t>
      </w:r>
    </w:p>
    <w:p>
      <w:pPr>
        <w:pStyle w:val="Compact"/>
        <w:numPr>
          <w:ilvl w:val="0"/>
          <w:numId w:val="1001"/>
        </w:numPr>
      </w:pPr>
      <w:r>
        <w:t xml:space="preserve">indépendante de son environnement d’origine.</w:t>
      </w:r>
    </w:p>
    <w:p>
      <w:pPr>
        <w:pStyle w:val="FirstParagraph"/>
      </w:pPr>
      <w:r>
        <w:t xml:space="preserve">Le système doit privilégier la redondance gouvernée plutôt que la perte d’information.</w:t>
      </w:r>
    </w:p>
    <w:p>
      <w:r>
        <w:pict>
          <v:rect style="width:0;height:1.5pt" o:hralign="center" o:hrstd="t" o:hr="t"/>
        </w:pict>
      </w:r>
    </w:p>
    <w:bookmarkEnd w:id="21"/>
    <w:bookmarkStart w:id="24" w:name="principe-du-double-accès"/>
    <w:p>
      <w:pPr>
        <w:pStyle w:val="Heading1"/>
      </w:pPr>
      <w:r>
        <w:t xml:space="preserve">PRINCIPE DU DOUBLE ACCÈS</w:t>
      </w:r>
    </w:p>
    <w:p>
      <w:pPr>
        <w:pStyle w:val="FirstParagraph"/>
      </w:pPr>
      <w:r>
        <w:t xml:space="preserve">Chaque contenu important doit exister sous deux formes :</w:t>
      </w:r>
    </w:p>
    <w:bookmarkStart w:id="22" w:name="affichage-direct"/>
    <w:p>
      <w:pPr>
        <w:pStyle w:val="Heading2"/>
      </w:pPr>
      <w:r>
        <w:t xml:space="preserve">Affichage direct</w:t>
      </w:r>
    </w:p>
    <w:p>
      <w:pPr>
        <w:pStyle w:val="FirstParagraph"/>
      </w:pPr>
      <w:r>
        <w:t xml:space="preserve">Pour :</w:t>
      </w:r>
    </w:p>
    <w:p>
      <w:pPr>
        <w:pStyle w:val="Compact"/>
        <w:numPr>
          <w:ilvl w:val="0"/>
          <w:numId w:val="1002"/>
        </w:numPr>
      </w:pPr>
      <w:r>
        <w:t xml:space="preserve">la lecture immédiate ;</w:t>
      </w:r>
    </w:p>
    <w:p>
      <w:pPr>
        <w:pStyle w:val="Compact"/>
        <w:numPr>
          <w:ilvl w:val="0"/>
          <w:numId w:val="1002"/>
        </w:numPr>
      </w:pPr>
      <w:r>
        <w:t xml:space="preserve">la révision ;</w:t>
      </w:r>
    </w:p>
    <w:p>
      <w:pPr>
        <w:pStyle w:val="Compact"/>
        <w:numPr>
          <w:ilvl w:val="0"/>
          <w:numId w:val="1002"/>
        </w:numPr>
      </w:pPr>
      <w:r>
        <w:t xml:space="preserve">l’interaction ;</w:t>
      </w:r>
    </w:p>
    <w:p>
      <w:pPr>
        <w:pStyle w:val="Compact"/>
        <w:numPr>
          <w:ilvl w:val="0"/>
          <w:numId w:val="1002"/>
        </w:numPr>
      </w:pPr>
      <w:r>
        <w:t xml:space="preserve">la validation.</w:t>
      </w:r>
    </w:p>
    <w:bookmarkEnd w:id="22"/>
    <w:bookmarkStart w:id="23" w:name="fichier-autonome"/>
    <w:p>
      <w:pPr>
        <w:pStyle w:val="Heading2"/>
      </w:pPr>
      <w:r>
        <w:t xml:space="preserve">Fichier autonome</w:t>
      </w:r>
    </w:p>
    <w:p>
      <w:pPr>
        <w:pStyle w:val="FirstParagraph"/>
      </w:pPr>
      <w:r>
        <w:t xml:space="preserve">Pour :</w:t>
      </w:r>
    </w:p>
    <w:p>
      <w:pPr>
        <w:pStyle w:val="Compact"/>
        <w:numPr>
          <w:ilvl w:val="0"/>
          <w:numId w:val="1003"/>
        </w:numPr>
      </w:pPr>
      <w:r>
        <w:t xml:space="preserve">l’archivage ;</w:t>
      </w:r>
    </w:p>
    <w:p>
      <w:pPr>
        <w:pStyle w:val="Compact"/>
        <w:numPr>
          <w:ilvl w:val="0"/>
          <w:numId w:val="1003"/>
        </w:numPr>
      </w:pPr>
      <w:r>
        <w:t xml:space="preserve">le téléchargement ;</w:t>
      </w:r>
    </w:p>
    <w:p>
      <w:pPr>
        <w:pStyle w:val="Compact"/>
        <w:numPr>
          <w:ilvl w:val="0"/>
          <w:numId w:val="1003"/>
        </w:numPr>
      </w:pPr>
      <w:r>
        <w:t xml:space="preserve">la sauvegarde ;</w:t>
      </w:r>
    </w:p>
    <w:p>
      <w:pPr>
        <w:pStyle w:val="Compact"/>
        <w:numPr>
          <w:ilvl w:val="0"/>
          <w:numId w:val="1003"/>
        </w:numPr>
      </w:pPr>
      <w:r>
        <w:t xml:space="preserve">le partage ;</w:t>
      </w:r>
    </w:p>
    <w:p>
      <w:pPr>
        <w:pStyle w:val="Compact"/>
        <w:numPr>
          <w:ilvl w:val="0"/>
          <w:numId w:val="1003"/>
        </w:numPr>
      </w:pPr>
      <w:r>
        <w:t xml:space="preserve">la réutilisation future.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rmats-de-référence"/>
    <w:p>
      <w:pPr>
        <w:pStyle w:val="Heading1"/>
      </w:pPr>
      <w:r>
        <w:t xml:space="preserve">FORMATS DE RÉFÉRENCE</w:t>
      </w:r>
    </w:p>
    <w:p>
      <w:pPr>
        <w:pStyle w:val="FirstParagraph"/>
      </w:pPr>
      <w:r>
        <w:t xml:space="preserve">Format principal :</w:t>
      </w:r>
    </w:p>
    <w:p>
      <w:pPr>
        <w:pStyle w:val="SourceCode"/>
      </w:pPr>
      <w:r>
        <w:rPr>
          <w:rStyle w:val="VerbatimChar"/>
        </w:rPr>
        <w:t xml:space="preserve">Markdown (.md)</w:t>
      </w:r>
    </w:p>
    <w:p>
      <w:pPr>
        <w:pStyle w:val="FirstParagraph"/>
      </w:pPr>
      <w:r>
        <w:t xml:space="preserve">Format de travail :</w:t>
      </w:r>
    </w:p>
    <w:p>
      <w:pPr>
        <w:pStyle w:val="SourceCode"/>
      </w:pPr>
      <w:r>
        <w:rPr>
          <w:rStyle w:val="VerbatimChar"/>
        </w:rPr>
        <w:t xml:space="preserve">DOCX</w:t>
      </w:r>
    </w:p>
    <w:p>
      <w:pPr>
        <w:pStyle w:val="FirstParagraph"/>
      </w:pPr>
      <w:r>
        <w:t xml:space="preserve">Format d’archivage :</w:t>
      </w:r>
    </w:p>
    <w:p>
      <w:pPr>
        <w:pStyle w:val="SourceCode"/>
      </w:pP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Le Markdown constitue la mémoire native du système.</w:t>
      </w:r>
    </w:p>
    <w:p>
      <w:pPr>
        <w:pStyle w:val="BodyText"/>
      </w:pPr>
      <w:r>
        <w:t xml:space="preserve">Le DOCX facilite les révisions et les échanges.</w:t>
      </w:r>
    </w:p>
    <w:p>
      <w:pPr>
        <w:pStyle w:val="BodyText"/>
      </w:pPr>
      <w:r>
        <w:t xml:space="preserve">Le PDF assure la conservation et la diffusion.</w:t>
      </w:r>
    </w:p>
    <w:p>
      <w:r>
        <w:pict>
          <v:rect style="width:0;height:1.5pt" o:hralign="center" o:hrstd="t" o:hr="t"/>
        </w:pict>
      </w:r>
    </w:p>
    <w:bookmarkEnd w:id="25"/>
    <w:bookmarkStart w:id="26" w:name="directive-de-génération-des-livrables"/>
    <w:p>
      <w:pPr>
        <w:pStyle w:val="Heading1"/>
      </w:pPr>
      <w:r>
        <w:t xml:space="preserve">DIRECTIVE DE GÉNÉRATION DES LIVRABLES</w:t>
      </w:r>
    </w:p>
    <w:p>
      <w:pPr>
        <w:pStyle w:val="FirstParagraph"/>
      </w:pPr>
      <w:r>
        <w:t xml:space="preserve">Tout document stratégique ou historique important doit pouvoir être exporté sous :</w:t>
      </w:r>
    </w:p>
    <w:p>
      <w:pPr>
        <w:pStyle w:val="Compact"/>
        <w:numPr>
          <w:ilvl w:val="0"/>
          <w:numId w:val="1004"/>
        </w:numPr>
      </w:pPr>
      <w:r>
        <w:t xml:space="preserve">Markdown ;</w:t>
      </w:r>
    </w:p>
    <w:p>
      <w:pPr>
        <w:pStyle w:val="Compact"/>
        <w:numPr>
          <w:ilvl w:val="0"/>
          <w:numId w:val="1004"/>
        </w:numPr>
      </w:pPr>
      <w:r>
        <w:t xml:space="preserve">DOCX ;</w:t>
      </w:r>
    </w:p>
    <w:p>
      <w:pPr>
        <w:pStyle w:val="Compact"/>
        <w:numPr>
          <w:ilvl w:val="0"/>
          <w:numId w:val="1004"/>
        </w:numPr>
      </w:pPr>
      <w:r>
        <w:t xml:space="preserve">PDF.</w:t>
      </w:r>
    </w:p>
    <w:p>
      <w:pPr>
        <w:pStyle w:val="FirstParagraph"/>
      </w:pPr>
      <w:r>
        <w:t xml:space="preserve">La capacité d’export doit être préservée même si le format principal reste le Markdown.</w:t>
      </w:r>
    </w:p>
    <w:p>
      <w:r>
        <w:pict>
          <v:rect style="width:0;height:1.5pt" o:hralign="center" o:hrstd="t" o:hr="t"/>
        </w:pict>
      </w:r>
    </w:p>
    <w:bookmarkEnd w:id="26"/>
    <w:bookmarkStart w:id="27" w:name="directive-de-continuité-documentaire"/>
    <w:p>
      <w:pPr>
        <w:pStyle w:val="Heading1"/>
      </w:pPr>
      <w:r>
        <w:t xml:space="preserve">DIRECTIVE DE CONTINUITÉ DOCUMENTAIRE</w:t>
      </w:r>
    </w:p>
    <w:p>
      <w:pPr>
        <w:pStyle w:val="FirstParagraph"/>
      </w:pPr>
      <w:r>
        <w:t xml:space="preserve">Les documents doivent être conçus de manière à :</w:t>
      </w:r>
    </w:p>
    <w:p>
      <w:pPr>
        <w:pStyle w:val="Compact"/>
        <w:numPr>
          <w:ilvl w:val="0"/>
          <w:numId w:val="1005"/>
        </w:numPr>
      </w:pPr>
      <w:r>
        <w:t xml:space="preserve">pouvoir être lus indépendamment ;</w:t>
      </w:r>
    </w:p>
    <w:p>
      <w:pPr>
        <w:pStyle w:val="Compact"/>
        <w:numPr>
          <w:ilvl w:val="0"/>
          <w:numId w:val="1005"/>
        </w:numPr>
      </w:pPr>
      <w:r>
        <w:t xml:space="preserve">être compris hors du contexte immédiat ;</w:t>
      </w:r>
    </w:p>
    <w:p>
      <w:pPr>
        <w:pStyle w:val="Compact"/>
        <w:numPr>
          <w:ilvl w:val="0"/>
          <w:numId w:val="1005"/>
        </w:numPr>
      </w:pPr>
      <w:r>
        <w:t xml:space="preserve">être exploitables plusieurs années plus tard ;</w:t>
      </w:r>
    </w:p>
    <w:p>
      <w:pPr>
        <w:pStyle w:val="Compact"/>
        <w:numPr>
          <w:ilvl w:val="0"/>
          <w:numId w:val="1005"/>
        </w:numPr>
      </w:pPr>
      <w:r>
        <w:t xml:space="preserve">être utilisables par des humains et par des agents IA.</w:t>
      </w:r>
    </w:p>
    <w:p>
      <w:pPr>
        <w:pStyle w:val="FirstParagraph"/>
      </w:pPr>
      <w:r>
        <w:t xml:space="preserve">La documentation doit survivre aux outils, aux modèles et aux technologies.</w:t>
      </w:r>
    </w:p>
    <w:p>
      <w:r>
        <w:pict>
          <v:rect style="width:0;height:1.5pt" o:hralign="center" o:hrstd="t" o:hr="t"/>
        </w:pict>
      </w:r>
    </w:p>
    <w:bookmarkEnd w:id="27"/>
    <w:bookmarkStart w:id="28" w:name="directive-de-mémoire-distribuée"/>
    <w:p>
      <w:pPr>
        <w:pStyle w:val="Heading1"/>
      </w:pPr>
      <w:r>
        <w:t xml:space="preserve">DIRECTIVE DE MÉMOIRE DISTRIBUÉE</w:t>
      </w:r>
    </w:p>
    <w:p>
      <w:pPr>
        <w:pStyle w:val="FirstParagraph"/>
      </w:pPr>
      <w:r>
        <w:t xml:space="preserve">La mémoire du système ne doit pas dépendre :</w:t>
      </w:r>
    </w:p>
    <w:p>
      <w:pPr>
        <w:pStyle w:val="Compact"/>
        <w:numPr>
          <w:ilvl w:val="0"/>
          <w:numId w:val="1006"/>
        </w:numPr>
      </w:pPr>
      <w:r>
        <w:t xml:space="preserve">d’une conversation ;</w:t>
      </w:r>
    </w:p>
    <w:p>
      <w:pPr>
        <w:pStyle w:val="Compact"/>
        <w:numPr>
          <w:ilvl w:val="0"/>
          <w:numId w:val="1006"/>
        </w:numPr>
      </w:pPr>
      <w:r>
        <w:t xml:space="preserve">d’une session ;</w:t>
      </w:r>
    </w:p>
    <w:p>
      <w:pPr>
        <w:pStyle w:val="Compact"/>
        <w:numPr>
          <w:ilvl w:val="0"/>
          <w:numId w:val="1006"/>
        </w:numPr>
      </w:pPr>
      <w:r>
        <w:t xml:space="preserve">d’un modèle ;</w:t>
      </w:r>
    </w:p>
    <w:p>
      <w:pPr>
        <w:pStyle w:val="Compact"/>
        <w:numPr>
          <w:ilvl w:val="0"/>
          <w:numId w:val="1006"/>
        </w:numPr>
      </w:pPr>
      <w:r>
        <w:t xml:space="preserve">d’un développeur particulier ;</w:t>
      </w:r>
    </w:p>
    <w:p>
      <w:pPr>
        <w:pStyle w:val="Compact"/>
        <w:numPr>
          <w:ilvl w:val="0"/>
          <w:numId w:val="1006"/>
        </w:numPr>
      </w:pPr>
      <w:r>
        <w:t xml:space="preserve">d’une technologie particulière.</w:t>
      </w:r>
    </w:p>
    <w:p>
      <w:pPr>
        <w:pStyle w:val="FirstParagraph"/>
      </w:pPr>
      <w:r>
        <w:t xml:space="preserve">La mémoire doit être :</w:t>
      </w:r>
    </w:p>
    <w:p>
      <w:pPr>
        <w:pStyle w:val="Compact"/>
        <w:numPr>
          <w:ilvl w:val="0"/>
          <w:numId w:val="1007"/>
        </w:numPr>
      </w:pPr>
      <w:r>
        <w:t xml:space="preserve">portable ;</w:t>
      </w:r>
    </w:p>
    <w:p>
      <w:pPr>
        <w:pStyle w:val="Compact"/>
        <w:numPr>
          <w:ilvl w:val="0"/>
          <w:numId w:val="1007"/>
        </w:numPr>
      </w:pPr>
      <w:r>
        <w:t xml:space="preserve">gouvernée ;</w:t>
      </w:r>
    </w:p>
    <w:p>
      <w:pPr>
        <w:pStyle w:val="Compact"/>
        <w:numPr>
          <w:ilvl w:val="0"/>
          <w:numId w:val="1007"/>
        </w:numPr>
      </w:pPr>
      <w:r>
        <w:t xml:space="preserve">distribuée ;</w:t>
      </w:r>
    </w:p>
    <w:p>
      <w:pPr>
        <w:pStyle w:val="Compact"/>
        <w:numPr>
          <w:ilvl w:val="0"/>
          <w:numId w:val="1007"/>
        </w:numPr>
      </w:pPr>
      <w:r>
        <w:t xml:space="preserve">résiliente.</w:t>
      </w:r>
    </w:p>
    <w:p>
      <w:r>
        <w:pict>
          <v:rect style="width:0;height:1.5pt" o:hralign="center" o:hrstd="t" o:hr="t"/>
        </w:pict>
      </w:r>
    </w:p>
    <w:bookmarkEnd w:id="28"/>
    <w:bookmarkStart w:id="29" w:name="ouverture-au-bilinguisme"/>
    <w:p>
      <w:pPr>
        <w:pStyle w:val="Heading1"/>
      </w:pPr>
      <w:r>
        <w:t xml:space="preserve">OUVERTURE AU BILINGUISME</w:t>
      </w:r>
    </w:p>
    <w:p>
      <w:pPr>
        <w:pStyle w:val="FirstParagraph"/>
      </w:pPr>
      <w:r>
        <w:t xml:space="preserve">La langue principale du projet est :</w:t>
      </w:r>
    </w:p>
    <w:p>
      <w:pPr>
        <w:pStyle w:val="SourceCode"/>
      </w:pPr>
      <w:r>
        <w:rPr>
          <w:rStyle w:val="VerbatimChar"/>
        </w:rPr>
        <w:t xml:space="preserve">Français</w:t>
      </w:r>
    </w:p>
    <w:p>
      <w:pPr>
        <w:pStyle w:val="FirstParagraph"/>
      </w:pPr>
      <w:r>
        <w:t xml:space="preserve">Toutefois, l’architecture documentaire doit permettre une évolution future vers :</w:t>
      </w:r>
    </w:p>
    <w:p>
      <w:pPr>
        <w:pStyle w:val="SourceCode"/>
      </w:pPr>
      <w:r>
        <w:rPr>
          <w:rStyle w:val="VerbatimChar"/>
        </w:rPr>
        <w:t xml:space="preserve">Anglais</w:t>
      </w:r>
    </w:p>
    <w:p>
      <w:pPr>
        <w:pStyle w:val="FirstParagraph"/>
      </w:pPr>
      <w:r>
        <w:t xml:space="preserve">sans remettre en cause les ressources existantes.</w:t>
      </w:r>
    </w:p>
    <w:p>
      <w:pPr>
        <w:pStyle w:val="BodyText"/>
      </w:pPr>
      <w:r>
        <w:t xml:space="preserve">Le système doit pouvoir évoluer vers :</w:t>
      </w:r>
    </w:p>
    <w:p>
      <w:pPr>
        <w:pStyle w:val="SourceCode"/>
      </w:pPr>
      <w:r>
        <w:rPr>
          <w:rStyle w:val="VerbatimChar"/>
        </w:rPr>
        <w:t xml:space="preserve">FR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 + 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Multilingue</w:t>
      </w:r>
    </w:p>
    <w:p>
      <w:pPr>
        <w:pStyle w:val="FirstParagraph"/>
      </w:pPr>
      <w:r>
        <w:t xml:space="preserve">si cela devient nécessaire pour :</w:t>
      </w:r>
    </w:p>
    <w:p>
      <w:pPr>
        <w:pStyle w:val="Compact"/>
        <w:numPr>
          <w:ilvl w:val="0"/>
          <w:numId w:val="1008"/>
        </w:numPr>
      </w:pPr>
      <w:r>
        <w:t xml:space="preserve">la recherche ;</w:t>
      </w:r>
    </w:p>
    <w:p>
      <w:pPr>
        <w:pStyle w:val="Compact"/>
        <w:numPr>
          <w:ilvl w:val="0"/>
          <w:numId w:val="1008"/>
        </w:numPr>
      </w:pPr>
      <w:r>
        <w:t xml:space="preserve">les collaborations internationales ;</w:t>
      </w:r>
    </w:p>
    <w:p>
      <w:pPr>
        <w:pStyle w:val="Compact"/>
        <w:numPr>
          <w:ilvl w:val="0"/>
          <w:numId w:val="1008"/>
        </w:numPr>
      </w:pPr>
      <w:r>
        <w:t xml:space="preserve">les publications ;</w:t>
      </w:r>
    </w:p>
    <w:p>
      <w:pPr>
        <w:pStyle w:val="Compact"/>
        <w:numPr>
          <w:ilvl w:val="0"/>
          <w:numId w:val="1008"/>
        </w:numPr>
      </w:pPr>
      <w:r>
        <w:t xml:space="preserve">les applications doctorales ;</w:t>
      </w:r>
    </w:p>
    <w:p>
      <w:pPr>
        <w:pStyle w:val="Compact"/>
        <w:numPr>
          <w:ilvl w:val="0"/>
          <w:numId w:val="1008"/>
        </w:numPr>
      </w:pPr>
      <w:r>
        <w:t xml:space="preserve">l’ouverture à d’autres systèmes judiciaires.</w:t>
      </w:r>
    </w:p>
    <w:p>
      <w:r>
        <w:pict>
          <v:rect style="width:0;height:1.5pt" o:hralign="center" o:hrstd="t" o:hr="t"/>
        </w:pict>
      </w:r>
    </w:p>
    <w:bookmarkEnd w:id="29"/>
    <w:bookmarkStart w:id="30" w:name="directive-dévolutivité"/>
    <w:p>
      <w:pPr>
        <w:pStyle w:val="Heading1"/>
      </w:pPr>
      <w:r>
        <w:t xml:space="preserve">DIRECTIVE D’ÉVOLUTIVITÉ</w:t>
      </w:r>
    </w:p>
    <w:p>
      <w:pPr>
        <w:pStyle w:val="FirstParagraph"/>
      </w:pPr>
      <w:r>
        <w:t xml:space="preserve">Les documents de la PHASE 1 ne doivent jamais être considérés comme figés.</w:t>
      </w:r>
    </w:p>
    <w:p>
      <w:pPr>
        <w:pStyle w:val="BodyText"/>
      </w:pPr>
      <w:r>
        <w:t xml:space="preserve">Ils constituent :</w:t>
      </w:r>
    </w:p>
    <w:p>
      <w:pPr>
        <w:pStyle w:val="BodyText"/>
      </w:pPr>
      <w:r>
        <w:t xml:space="preserve">une mémoire vivante.</w:t>
      </w:r>
    </w:p>
    <w:p>
      <w:pPr>
        <w:pStyle w:val="BodyText"/>
      </w:pPr>
      <w:r>
        <w:t xml:space="preserve">Ils doivent pouvoir :</w:t>
      </w:r>
    </w:p>
    <w:p>
      <w:pPr>
        <w:pStyle w:val="Compact"/>
        <w:numPr>
          <w:ilvl w:val="0"/>
          <w:numId w:val="1009"/>
        </w:numPr>
      </w:pPr>
      <w:r>
        <w:t xml:space="preserve">être enrichis ;</w:t>
      </w:r>
    </w:p>
    <w:p>
      <w:pPr>
        <w:pStyle w:val="Compact"/>
        <w:numPr>
          <w:ilvl w:val="0"/>
          <w:numId w:val="1009"/>
        </w:numPr>
      </w:pPr>
      <w:r>
        <w:t xml:space="preserve">être corrigés ;</w:t>
      </w:r>
    </w:p>
    <w:p>
      <w:pPr>
        <w:pStyle w:val="Compact"/>
        <w:numPr>
          <w:ilvl w:val="0"/>
          <w:numId w:val="1009"/>
        </w:numPr>
      </w:pPr>
      <w:r>
        <w:t xml:space="preserve">être raffinés ;</w:t>
      </w:r>
    </w:p>
    <w:p>
      <w:pPr>
        <w:pStyle w:val="Compact"/>
        <w:numPr>
          <w:ilvl w:val="0"/>
          <w:numId w:val="1009"/>
        </w:numPr>
      </w:pPr>
      <w:r>
        <w:t xml:space="preserve">être restructurés ;</w:t>
      </w:r>
    </w:p>
    <w:p>
      <w:pPr>
        <w:pStyle w:val="Compact"/>
        <w:numPr>
          <w:ilvl w:val="0"/>
          <w:numId w:val="1009"/>
        </w:numPr>
      </w:pPr>
      <w:r>
        <w:t xml:space="preserve">intégrer de nouveaux principes ;</w:t>
      </w:r>
    </w:p>
    <w:p>
      <w:pPr>
        <w:pStyle w:val="Compact"/>
        <w:numPr>
          <w:ilvl w:val="0"/>
          <w:numId w:val="1009"/>
        </w:numPr>
      </w:pPr>
      <w:r>
        <w:t xml:space="preserve">intégrer de nouveaux retours d’expérience ;</w:t>
      </w:r>
    </w:p>
    <w:p>
      <w:pPr>
        <w:pStyle w:val="Compact"/>
        <w:numPr>
          <w:ilvl w:val="0"/>
          <w:numId w:val="1009"/>
        </w:numPr>
      </w:pPr>
      <w:r>
        <w:t xml:space="preserve">intégrer de nouvelles phases ;</w:t>
      </w:r>
    </w:p>
    <w:p>
      <w:pPr>
        <w:pStyle w:val="Compact"/>
        <w:numPr>
          <w:ilvl w:val="0"/>
          <w:numId w:val="1009"/>
        </w:numPr>
      </w:pPr>
      <w:r>
        <w:t xml:space="preserve">intégrer de nouvelles langues ;</w:t>
      </w:r>
    </w:p>
    <w:p>
      <w:pPr>
        <w:pStyle w:val="Compact"/>
        <w:numPr>
          <w:ilvl w:val="0"/>
          <w:numId w:val="1009"/>
        </w:numPr>
      </w:pPr>
      <w:r>
        <w:t xml:space="preserve">intégrer de nouvelles technologies.</w:t>
      </w:r>
    </w:p>
    <w:p>
      <w:r>
        <w:pict>
          <v:rect style="width:0;height:1.5pt" o:hralign="center" o:hrstd="t" o:hr="t"/>
        </w:pict>
      </w:r>
    </w:p>
    <w:bookmarkEnd w:id="30"/>
    <w:bookmarkStart w:id="31" w:name="directive-damélioration-continue"/>
    <w:p>
      <w:pPr>
        <w:pStyle w:val="Heading1"/>
      </w:pPr>
      <w:r>
        <w:t xml:space="preserve">DIRECTIVE D’AMÉLIORATION CONTINUE</w:t>
      </w:r>
    </w:p>
    <w:p>
      <w:pPr>
        <w:pStyle w:val="FirstParagraph"/>
      </w:pPr>
      <w:r>
        <w:t xml:space="preserve">Tout nouveau principe, découverte ou retour d’expérience significatif doit entraîner :</w:t>
      </w:r>
    </w:p>
    <w:p>
      <w:pPr>
        <w:pStyle w:val="Compact"/>
        <w:numPr>
          <w:ilvl w:val="0"/>
          <w:numId w:val="1010"/>
        </w:numPr>
      </w:pPr>
      <w:r>
        <w:t xml:space="preserve">l’actualisation de la mémoire ;</w:t>
      </w:r>
    </w:p>
    <w:p>
      <w:pPr>
        <w:pStyle w:val="Compact"/>
        <w:numPr>
          <w:ilvl w:val="0"/>
          <w:numId w:val="1010"/>
        </w:numPr>
      </w:pPr>
      <w:r>
        <w:t xml:space="preserve">la mise à jour des documents concernés ;</w:t>
      </w:r>
    </w:p>
    <w:p>
      <w:pPr>
        <w:pStyle w:val="Compact"/>
        <w:numPr>
          <w:ilvl w:val="0"/>
          <w:numId w:val="1010"/>
        </w:numPr>
      </w:pPr>
      <w:r>
        <w:t xml:space="preserve">la synchronisation du changelog ;</w:t>
      </w:r>
    </w:p>
    <w:p>
      <w:pPr>
        <w:pStyle w:val="Compact"/>
        <w:numPr>
          <w:ilvl w:val="0"/>
          <w:numId w:val="1010"/>
        </w:numPr>
      </w:pPr>
      <w:r>
        <w:t xml:space="preserve">la mise à jour du registre des décisions ;</w:t>
      </w:r>
    </w:p>
    <w:p>
      <w:pPr>
        <w:pStyle w:val="Compact"/>
        <w:numPr>
          <w:ilvl w:val="0"/>
          <w:numId w:val="1010"/>
        </w:numPr>
      </w:pPr>
      <w:r>
        <w:t xml:space="preserve">la mise à jour de la timeline ;</w:t>
      </w:r>
    </w:p>
    <w:p>
      <w:pPr>
        <w:pStyle w:val="Compact"/>
        <w:numPr>
          <w:ilvl w:val="0"/>
          <w:numId w:val="1010"/>
        </w:numPr>
      </w:pPr>
      <w:r>
        <w:t xml:space="preserve">l’actualisation éventuelle du Prompt Mère correspondant.</w:t>
      </w:r>
    </w:p>
    <w:p>
      <w:r>
        <w:pict>
          <v:rect style="width:0;height:1.5pt" o:hralign="center" o:hrstd="t" o:hr="t"/>
        </w:pict>
      </w:r>
    </w:p>
    <w:bookmarkEnd w:id="31"/>
    <w:bookmarkStart w:id="32" w:name="principe-de-compatibilité-future"/>
    <w:p>
      <w:pPr>
        <w:pStyle w:val="Heading1"/>
      </w:pPr>
      <w:r>
        <w:t xml:space="preserve">PRINCIPE DE COMPATIBILITÉ FUTURE</w:t>
      </w:r>
    </w:p>
    <w:p>
      <w:pPr>
        <w:pStyle w:val="FirstParagraph"/>
      </w:pPr>
      <w:r>
        <w:t xml:space="preserve">Les documents produits aujourd’hui doivent rester compatibles avec :</w:t>
      </w:r>
    </w:p>
    <w:p>
      <w:pPr>
        <w:pStyle w:val="Compact"/>
        <w:numPr>
          <w:ilvl w:val="0"/>
          <w:numId w:val="1011"/>
        </w:numPr>
      </w:pPr>
      <w:r>
        <w:t xml:space="preserve">Snowflake ;</w:t>
      </w:r>
    </w:p>
    <w:p>
      <w:pPr>
        <w:pStyle w:val="Compact"/>
        <w:numPr>
          <w:ilvl w:val="0"/>
          <w:numId w:val="1011"/>
        </w:numPr>
      </w:pPr>
      <w:r>
        <w:t xml:space="preserve">RAG ;</w:t>
      </w:r>
    </w:p>
    <w:p>
      <w:pPr>
        <w:pStyle w:val="Compact"/>
        <w:numPr>
          <w:ilvl w:val="0"/>
          <w:numId w:val="1011"/>
        </w:numPr>
      </w:pPr>
      <w:r>
        <w:t xml:space="preserve">Multi-Agent Systems ;</w:t>
      </w:r>
    </w:p>
    <w:p>
      <w:pPr>
        <w:pStyle w:val="Compact"/>
        <w:numPr>
          <w:ilvl w:val="0"/>
          <w:numId w:val="1011"/>
        </w:numPr>
      </w:pPr>
      <w:r>
        <w:t xml:space="preserve">LLMOps ;</w:t>
      </w:r>
    </w:p>
    <w:p>
      <w:pPr>
        <w:pStyle w:val="Compact"/>
        <w:numPr>
          <w:ilvl w:val="0"/>
          <w:numId w:val="1011"/>
        </w:numPr>
      </w:pPr>
      <w:r>
        <w:t xml:space="preserve">futurs modèles IA ;</w:t>
      </w:r>
    </w:p>
    <w:p>
      <w:pPr>
        <w:pStyle w:val="Compact"/>
        <w:numPr>
          <w:ilvl w:val="0"/>
          <w:numId w:val="1011"/>
        </w:numPr>
      </w:pPr>
      <w:r>
        <w:t xml:space="preserve">nouveaux outils ;</w:t>
      </w:r>
    </w:p>
    <w:p>
      <w:pPr>
        <w:pStyle w:val="Compact"/>
        <w:numPr>
          <w:ilvl w:val="0"/>
          <w:numId w:val="1011"/>
        </w:numPr>
      </w:pPr>
      <w:r>
        <w:t xml:space="preserve">futures architectures ;</w:t>
      </w:r>
    </w:p>
    <w:p>
      <w:pPr>
        <w:pStyle w:val="Compact"/>
        <w:numPr>
          <w:ilvl w:val="0"/>
          <w:numId w:val="1011"/>
        </w:numPr>
      </w:pPr>
      <w:r>
        <w:t xml:space="preserve">futures versions de CS GREFFE OS ;</w:t>
      </w:r>
    </w:p>
    <w:p>
      <w:pPr>
        <w:pStyle w:val="Compact"/>
        <w:numPr>
          <w:ilvl w:val="0"/>
          <w:numId w:val="1011"/>
        </w:numPr>
      </w:pPr>
      <w:r>
        <w:t xml:space="preserve">Strategic Greffe Governance Command Center ;</w:t>
      </w:r>
    </w:p>
    <w:p>
      <w:pPr>
        <w:pStyle w:val="Compact"/>
        <w:numPr>
          <w:ilvl w:val="0"/>
          <w:numId w:val="1011"/>
        </w:numPr>
      </w:pPr>
      <w:r>
        <w:t xml:space="preserve">Judicial Governance Command Center ;</w:t>
      </w:r>
    </w:p>
    <w:p>
      <w:pPr>
        <w:pStyle w:val="Compact"/>
        <w:numPr>
          <w:ilvl w:val="0"/>
          <w:numId w:val="1011"/>
        </w:numPr>
      </w:pPr>
      <w:r>
        <w:t xml:space="preserve">Living Governance Platforms Framework.</w:t>
      </w:r>
    </w:p>
    <w:p>
      <w:r>
        <w:pict>
          <v:rect style="width:0;height:1.5pt" o:hralign="center" o:hrstd="t" o:hr="t"/>
        </w:pict>
      </w:r>
    </w:p>
    <w:bookmarkEnd w:id="32"/>
    <w:bookmarkStart w:id="33" w:name="maxime-de-la-phase-1"/>
    <w:p>
      <w:pPr>
        <w:pStyle w:val="Heading1"/>
      </w:pPr>
      <w:r>
        <w:t xml:space="preserve">MAXIME DE LA PHASE 1</w:t>
      </w:r>
    </w:p>
    <w:p>
      <w:pPr>
        <w:pStyle w:val="FirstParagraph"/>
      </w:pPr>
      <w:r>
        <w:t xml:space="preserve">La mémoire ne doit pas seulement préserver le passé.</w:t>
      </w:r>
    </w:p>
    <w:p>
      <w:pPr>
        <w:pStyle w:val="BodyText"/>
      </w:pPr>
      <w:r>
        <w:t xml:space="preserve">Elle doit préparer l’avenir.</w:t>
      </w:r>
    </w:p>
    <w:p>
      <w:pPr>
        <w:pStyle w:val="BodyText"/>
      </w:pPr>
      <w:r>
        <w:t xml:space="preserve">La mémoire doit être :</w:t>
      </w:r>
    </w:p>
    <w:p>
      <w:pPr>
        <w:pStyle w:val="BodyText"/>
      </w:pPr>
      <w:r>
        <w:t xml:space="preserve">vivante,</w:t>
      </w:r>
    </w:p>
    <w:p>
      <w:pPr>
        <w:pStyle w:val="BodyText"/>
      </w:pPr>
      <w:r>
        <w:t xml:space="preserve">portable,</w:t>
      </w:r>
    </w:p>
    <w:p>
      <w:pPr>
        <w:pStyle w:val="BodyText"/>
      </w:pPr>
      <w:r>
        <w:t xml:space="preserve">gouvernée,</w:t>
      </w:r>
    </w:p>
    <w:p>
      <w:pPr>
        <w:pStyle w:val="BodyText"/>
      </w:pPr>
      <w:r>
        <w:t xml:space="preserve">téléchargeable,</w:t>
      </w:r>
    </w:p>
    <w:p>
      <w:pPr>
        <w:pStyle w:val="BodyText"/>
      </w:pPr>
      <w:r>
        <w:t xml:space="preserve">évolutive,</w:t>
      </w:r>
    </w:p>
    <w:p>
      <w:pPr>
        <w:pStyle w:val="BodyText"/>
      </w:pPr>
      <w:r>
        <w:t xml:space="preserve">et transmissible.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2026-06-15T13:14:31Z</dcterms:created>
  <dcterms:modified xsi:type="dcterms:W3CDTF">2026-06-15T13:14:31Z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