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mprovement_backlog_v1.md"/>
    <w:p>
      <w:pPr>
        <w:pStyle w:val="Heading1"/>
      </w:pPr>
      <w:r>
        <w:t xml:space="preserve">IMPROVEMENT_BACKLOG_V1.md</w:t>
      </w:r>
    </w:p>
    <w:bookmarkEnd w:id="20"/>
    <w:bookmarkStart w:id="27" w:name="teeo-v2.7-improvement-backlog"/>
    <w:p>
      <w:pPr>
        <w:pStyle w:val="Heading1"/>
      </w:pPr>
      <w:r>
        <w:t xml:space="preserve">TEEO V2.7 — Improvement Backlog</w:t>
      </w:r>
    </w:p>
    <w:bookmarkStart w:id="21" w:name="principe-directeur"/>
    <w:p>
      <w:pPr>
        <w:pStyle w:val="Heading2"/>
      </w:pPr>
      <w:r>
        <w:t xml:space="preserve">Principe directeur</w:t>
      </w:r>
    </w:p>
    <w:p>
      <w:pPr>
        <w:pStyle w:val="FirstParagraph"/>
      </w:pPr>
      <w:r>
        <w:rPr>
          <w:b/>
          <w:bCs/>
        </w:rPr>
        <w:t xml:space="preserve">Learning before Expansion</w:t>
      </w:r>
    </w:p>
    <w:p>
      <w:pPr>
        <w:pStyle w:val="BodyText"/>
      </w:pPr>
      <w:r>
        <w:t xml:space="preserve">Le corpus TEEO ne doit pas s’étendre avant d’avoir démontré que les usages, les retours et les observations produisent des améliorations réelles.</w:t>
      </w:r>
    </w:p>
    <w:p>
      <w:r>
        <w:pict>
          <v:rect style="width:0;height:1.5pt" o:hralign="center" o:hrstd="t" o:hr="t"/>
        </w:pict>
      </w:r>
    </w:p>
    <w:bookmarkEnd w:id="21"/>
    <w:bookmarkStart w:id="22" w:name="statut"/>
    <w:p>
      <w:pPr>
        <w:pStyle w:val="Heading2"/>
      </w:pPr>
      <w:r>
        <w:t xml:space="preserve">Statut</w:t>
      </w:r>
    </w:p>
    <w:p>
      <w:pPr>
        <w:pStyle w:val="SourceCode"/>
      </w:pPr>
      <w:r>
        <w:rPr>
          <w:rStyle w:val="VerbatimChar"/>
        </w:rPr>
        <w:t xml:space="preserve">Corpus : TEEO</w:t>
      </w:r>
      <w:r>
        <w:br/>
      </w:r>
      <w:r>
        <w:rPr>
          <w:rStyle w:val="VerbatimChar"/>
        </w:rPr>
        <w:t xml:space="preserve">Version : V2.7</w:t>
      </w:r>
      <w:r>
        <w:br/>
      </w:r>
      <w:r>
        <w:rPr>
          <w:rStyle w:val="VerbatimChar"/>
        </w:rPr>
        <w:t xml:space="preserve">Niveau actuel : D</w:t>
      </w:r>
      <w:r>
        <w:br/>
      </w:r>
      <w:r>
        <w:rPr>
          <w:rStyle w:val="VerbatimChar"/>
        </w:rPr>
        <w:t xml:space="preserve">Objectif : préparer le passage progressif vers le niveau C</w:t>
      </w:r>
      <w:r>
        <w:br/>
      </w:r>
      <w:r>
        <w:rPr>
          <w:rStyle w:val="VerbatimChar"/>
        </w:rPr>
        <w:t xml:space="preserve">Expansion : gelée</w:t>
      </w:r>
      <w:r>
        <w:br/>
      </w:r>
      <w:r>
        <w:rPr>
          <w:rStyle w:val="VerbatimChar"/>
        </w:rPr>
        <w:t xml:space="preserve">Nouvelle matière : interdite</w:t>
      </w:r>
      <w:r>
        <w:br/>
      </w:r>
      <w:r>
        <w:rPr>
          <w:rStyle w:val="VerbatimChar"/>
        </w:rPr>
        <w:t xml:space="preserve">Release 0.2 : interdite</w:t>
      </w:r>
    </w:p>
    <w:p>
      <w:r>
        <w:pict>
          <v:rect style="width:0;height:1.5pt" o:hralign="center" o:hrstd="t" o:hr="t"/>
        </w:pict>
      </w:r>
    </w:p>
    <w:bookmarkEnd w:id="22"/>
    <w:bookmarkStart w:id="23" w:name="règle-de-gouvernance"/>
    <w:p>
      <w:pPr>
        <w:pStyle w:val="Heading2"/>
      </w:pPr>
      <w:r>
        <w:t xml:space="preserve">Règle de gouvernance</w:t>
      </w:r>
    </w:p>
    <w:p>
      <w:pPr>
        <w:pStyle w:val="FirstParagraph"/>
      </w:pPr>
      <w:r>
        <w:t xml:space="preserve">Aucune amélioration ne doit être acceptée sans préciser :</w:t>
      </w:r>
    </w:p>
    <w:p>
      <w:pPr>
        <w:pStyle w:val="Compact"/>
        <w:numPr>
          <w:ilvl w:val="0"/>
          <w:numId w:val="1001"/>
        </w:numPr>
      </w:pPr>
      <w:r>
        <w:t xml:space="preserve">le problème constaté ;</w:t>
      </w:r>
    </w:p>
    <w:p>
      <w:pPr>
        <w:pStyle w:val="Compact"/>
        <w:numPr>
          <w:ilvl w:val="0"/>
          <w:numId w:val="1001"/>
        </w:numPr>
      </w:pPr>
      <w:r>
        <w:t xml:space="preserve">l’origine du constat ;</w:t>
      </w:r>
    </w:p>
    <w:p>
      <w:pPr>
        <w:pStyle w:val="Compact"/>
        <w:numPr>
          <w:ilvl w:val="0"/>
          <w:numId w:val="1001"/>
        </w:numPr>
      </w:pPr>
      <w:r>
        <w:t xml:space="preserve">la priorité ;</w:t>
      </w:r>
    </w:p>
    <w:p>
      <w:pPr>
        <w:pStyle w:val="Compact"/>
        <w:numPr>
          <w:ilvl w:val="0"/>
          <w:numId w:val="1001"/>
        </w:numPr>
      </w:pPr>
      <w:r>
        <w:t xml:space="preserve">la décision ;</w:t>
      </w:r>
    </w:p>
    <w:p>
      <w:pPr>
        <w:pStyle w:val="Compact"/>
        <w:numPr>
          <w:ilvl w:val="0"/>
          <w:numId w:val="1001"/>
        </w:numPr>
      </w:pPr>
      <w:r>
        <w:t xml:space="preserve">le statut ;</w:t>
      </w:r>
    </w:p>
    <w:p>
      <w:pPr>
        <w:pStyle w:val="Compact"/>
        <w:numPr>
          <w:ilvl w:val="0"/>
          <w:numId w:val="1001"/>
        </w:numPr>
      </w:pPr>
      <w:r>
        <w:t xml:space="preserve">la preuve attendue.</w:t>
      </w:r>
    </w:p>
    <w:p>
      <w:r>
        <w:pict>
          <v:rect style="width:0;height:1.5pt" o:hralign="center" o:hrstd="t" o:hr="t"/>
        </w:pict>
      </w:r>
    </w:p>
    <w:bookmarkEnd w:id="23"/>
    <w:bookmarkStart w:id="24" w:name="backlog-des-améliorations"/>
    <w:p>
      <w:pPr>
        <w:pStyle w:val="Heading2"/>
      </w:pPr>
      <w:r>
        <w:t xml:space="preserve">Backlog des améliorations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Problème constaté</w:t>
            </w:r>
          </w:p>
        </w:tc>
        <w:tc>
          <w:tcPr/>
          <w:p>
            <w:pPr>
              <w:pStyle w:val="Compact"/>
            </w:pPr>
            <w:r>
              <w:t xml:space="preserve">Origine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Preuve attendue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IMP-001</w:t>
            </w:r>
          </w:p>
        </w:tc>
        <w:tc>
          <w:tcPr/>
          <w:p>
            <w:pPr>
              <w:pStyle w:val="Compact"/>
            </w:pPr>
            <w:r>
              <w:t xml:space="preserve">Les contenus TEEO restent au niveau D faute de sources accessibles et de pages vérifiées.</w:t>
            </w:r>
          </w:p>
        </w:tc>
        <w:tc>
          <w:tcPr/>
          <w:p>
            <w:pPr>
              <w:pStyle w:val="Compact"/>
            </w:pPr>
            <w:r>
              <w:t xml:space="preserve">Source Access Log / Source Mapping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Obtenir ou monter les supports TEEO réels.</w:t>
            </w:r>
          </w:p>
        </w:tc>
        <w:tc>
          <w:tcPr/>
          <w:p>
            <w:pPr>
              <w:pStyle w:val="Compact"/>
            </w:pPr>
            <w:r>
              <w:t xml:space="preserve">Ouvert</w:t>
            </w:r>
          </w:p>
        </w:tc>
        <w:tc>
          <w:tcPr/>
          <w:p>
            <w:pPr>
              <w:pStyle w:val="Compact"/>
            </w:pPr>
            <w:r>
              <w:t xml:space="preserve">Sources accessibles + pages renseignées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IMP-002</w:t>
            </w:r>
          </w:p>
        </w:tc>
        <w:tc>
          <w:tcPr/>
          <w:p>
            <w:pPr>
              <w:pStyle w:val="Compact"/>
            </w:pPr>
            <w:r>
              <w:t xml:space="preserve">Les fiches, QCM et cas pratiques ne sont pas encore reliés à des pages sources.</w:t>
            </w:r>
          </w:p>
        </w:tc>
        <w:tc>
          <w:tcPr/>
          <w:p>
            <w:pPr>
              <w:pStyle w:val="Compact"/>
            </w:pPr>
            <w:r>
              <w:t xml:space="preserve">Artifact Validation Matrix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Relier chaque artefact à une source et à une page.</w:t>
            </w:r>
          </w:p>
        </w:tc>
        <w:tc>
          <w:tcPr/>
          <w:p>
            <w:pPr>
              <w:pStyle w:val="Compact"/>
            </w:pPr>
            <w:r>
              <w:t xml:space="preserve">Ouvert</w:t>
            </w:r>
          </w:p>
        </w:tc>
        <w:tc>
          <w:tcPr/>
          <w:p>
            <w:pPr>
              <w:pStyle w:val="Compact"/>
            </w:pPr>
            <w:r>
              <w:t xml:space="preserve">Mapping artefact → source →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IMP-003</w:t>
            </w:r>
          </w:p>
        </w:tc>
        <w:tc>
          <w:tcPr/>
          <w:p>
            <w:pPr>
              <w:pStyle w:val="Compact"/>
            </w:pPr>
            <w:r>
              <w:t xml:space="preserve">Le feedback utilisateur réel est absent.</w:t>
            </w:r>
          </w:p>
        </w:tc>
        <w:tc>
          <w:tcPr/>
          <w:p>
            <w:pPr>
              <w:pStyle w:val="Compact"/>
            </w:pPr>
            <w:r>
              <w:t xml:space="preserve">User Feedback Register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Recueillir au moins un retour d’élève greffier ou utilisateur test.</w:t>
            </w:r>
          </w:p>
        </w:tc>
        <w:tc>
          <w:tcPr/>
          <w:p>
            <w:pPr>
              <w:pStyle w:val="Compact"/>
            </w:pPr>
            <w:r>
              <w:t xml:space="preserve">Ouvert</w:t>
            </w:r>
          </w:p>
        </w:tc>
        <w:tc>
          <w:tcPr/>
          <w:p>
            <w:pPr>
              <w:pStyle w:val="Compact"/>
            </w:pPr>
            <w:r>
              <w:t xml:space="preserve">Feedback daté et exploitable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IMP-004</w:t>
            </w:r>
          </w:p>
        </w:tc>
        <w:tc>
          <w:tcPr/>
          <w:p>
            <w:pPr>
              <w:pStyle w:val="Compact"/>
            </w:pPr>
            <w:r>
              <w:t xml:space="preserve">La valeur réelle du corpus reste attendue, non démontrée.</w:t>
            </w:r>
          </w:p>
        </w:tc>
        <w:tc>
          <w:tcPr/>
          <w:p>
            <w:pPr>
              <w:pStyle w:val="Compact"/>
            </w:pPr>
            <w:r>
              <w:t xml:space="preserve">Value Register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Documenter un usage réel et son résultat.</w:t>
            </w:r>
          </w:p>
        </w:tc>
        <w:tc>
          <w:tcPr/>
          <w:p>
            <w:pPr>
              <w:pStyle w:val="Compact"/>
            </w:pPr>
            <w:r>
              <w:t xml:space="preserve">Ouvert</w:t>
            </w:r>
          </w:p>
        </w:tc>
        <w:tc>
          <w:tcPr/>
          <w:p>
            <w:pPr>
              <w:pStyle w:val="Compact"/>
            </w:pPr>
            <w:r>
              <w:t xml:space="preserve">Usage log +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IMP-005</w:t>
            </w:r>
          </w:p>
        </w:tc>
        <w:tc>
          <w:tcPr/>
          <w:p>
            <w:pPr>
              <w:pStyle w:val="Compact"/>
            </w:pPr>
            <w:r>
              <w:t xml:space="preserve">Les QCM peuvent contenir des formulations ambiguës faute de correction humaine.</w:t>
            </w:r>
          </w:p>
        </w:tc>
        <w:tc>
          <w:tcPr/>
          <w:p>
            <w:pPr>
              <w:pStyle w:val="Compact"/>
            </w:pPr>
            <w:r>
              <w:t xml:space="preserve">QCM V2 / Validation humaine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Relire les 50 QCM avant toute canonisation.</w:t>
            </w:r>
          </w:p>
        </w:tc>
        <w:tc>
          <w:tcPr/>
          <w:p>
            <w:pPr>
              <w:pStyle w:val="Compact"/>
            </w:pPr>
            <w:r>
              <w:t xml:space="preserve">Ouvert</w:t>
            </w:r>
          </w:p>
        </w:tc>
        <w:tc>
          <w:tcPr/>
          <w:p>
            <w:pPr>
              <w:pStyle w:val="Compact"/>
            </w:pPr>
            <w:r>
              <w:t xml:space="preserve">QCM corrigés ou annotés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IMP-006</w:t>
            </w:r>
          </w:p>
        </w:tc>
        <w:tc>
          <w:tcPr/>
          <w:p>
            <w:pPr>
              <w:pStyle w:val="Compact"/>
            </w:pPr>
            <w:r>
              <w:t xml:space="preserve">Les cas pratiques doivent être alignés avec les attentes INFJ.</w:t>
            </w:r>
          </w:p>
        </w:tc>
        <w:tc>
          <w:tcPr/>
          <w:p>
            <w:pPr>
              <w:pStyle w:val="Compact"/>
            </w:pPr>
            <w:r>
              <w:t xml:space="preserve">Cas pratiques V2 / Support INFJ attendu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Vérifier les cas avec un support ou une relecture pédagogique.</w:t>
            </w:r>
          </w:p>
        </w:tc>
        <w:tc>
          <w:tcPr/>
          <w:p>
            <w:pPr>
              <w:pStyle w:val="Compact"/>
            </w:pPr>
            <w:r>
              <w:t xml:space="preserve">Ouvert</w:t>
            </w:r>
          </w:p>
        </w:tc>
        <w:tc>
          <w:tcPr/>
          <w:p>
            <w:pPr>
              <w:pStyle w:val="Compact"/>
            </w:pPr>
            <w:r>
              <w:t xml:space="preserve">Cas validés ou corrigés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IMP-007</w:t>
            </w:r>
          </w:p>
        </w:tc>
        <w:tc>
          <w:tcPr/>
          <w:p>
            <w:pPr>
              <w:pStyle w:val="Compact"/>
            </w:pPr>
            <w:r>
              <w:t xml:space="preserve">Le scorecard reste bloqué à 48%.</w:t>
            </w:r>
          </w:p>
        </w:tc>
        <w:tc>
          <w:tcPr/>
          <w:p>
            <w:pPr>
              <w:pStyle w:val="Compact"/>
            </w:pPr>
            <w:r>
              <w:t xml:space="preserve">Corpus Progress Scorecard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  <w:tc>
          <w:tcPr/>
          <w:p>
            <w:pPr>
              <w:pStyle w:val="Compact"/>
            </w:pPr>
            <w:r>
              <w:t xml:space="preserve">Ne pas augmenter le score sans source, usage et feedback.</w:t>
            </w:r>
          </w:p>
        </w:tc>
        <w:tc>
          <w:tcPr/>
          <w:p>
            <w:pPr>
              <w:pStyle w:val="Compact"/>
            </w:pPr>
            <w:r>
              <w:t xml:space="preserve">Gelé</w:t>
            </w:r>
          </w:p>
        </w:tc>
        <w:tc>
          <w:tcPr/>
          <w:p>
            <w:pPr>
              <w:pStyle w:val="Compact"/>
            </w:pPr>
            <w:r>
              <w:t xml:space="preserve">Score maintenu jusqu’à preuve réelle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iorité-immédiate"/>
    <w:p>
      <w:pPr>
        <w:pStyle w:val="Heading2"/>
      </w:pPr>
      <w:r>
        <w:t xml:space="preserve">Priorité immédiate</w:t>
      </w:r>
    </w:p>
    <w:p>
      <w:pPr>
        <w:pStyle w:val="FirstParagraph"/>
      </w:pPr>
      <w:r>
        <w:t xml:space="preserve">La priorité absolue est :</w:t>
      </w:r>
    </w:p>
    <w:p>
      <w:pPr>
        <w:pStyle w:val="SourceCode"/>
      </w:pPr>
      <w:r>
        <w:rPr>
          <w:rStyle w:val="VerbatimChar"/>
        </w:rPr>
        <w:t xml:space="preserve">IMP-001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IMP-002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IMP-003</w:t>
      </w:r>
    </w:p>
    <w:p>
      <w:r>
        <w:pict>
          <v:rect style="width:0;height:1.5pt" o:hralign="center" o:hrstd="t" o:hr="t"/>
        </w:pict>
      </w:r>
    </w:p>
    <w:bookmarkEnd w:id="25"/>
    <w:bookmarkStart w:id="26" w:name="exclusions"/>
    <w:p>
      <w:pPr>
        <w:pStyle w:val="Heading2"/>
      </w:pPr>
      <w:r>
        <w:t xml:space="preserve">Exclusions</w:t>
      </w:r>
    </w:p>
    <w:p>
      <w:pPr>
        <w:pStyle w:val="FirstParagraph"/>
      </w:pPr>
      <w:r>
        <w:t xml:space="preserve">Ne pas :</w:t>
      </w:r>
    </w:p>
    <w:p>
      <w:pPr>
        <w:pStyle w:val="Compact"/>
        <w:numPr>
          <w:ilvl w:val="0"/>
          <w:numId w:val="1002"/>
        </w:numPr>
      </w:pPr>
      <w:r>
        <w:t xml:space="preserve">créer TEEO V3 ;</w:t>
      </w:r>
    </w:p>
    <w:p>
      <w:pPr>
        <w:pStyle w:val="Compact"/>
        <w:numPr>
          <w:ilvl w:val="0"/>
          <w:numId w:val="1002"/>
        </w:numPr>
      </w:pPr>
      <w:r>
        <w:t xml:space="preserve">ajouter de nouveaux QCM ;</w:t>
      </w:r>
    </w:p>
    <w:p>
      <w:pPr>
        <w:pStyle w:val="Compact"/>
        <w:numPr>
          <w:ilvl w:val="0"/>
          <w:numId w:val="1002"/>
        </w:numPr>
      </w:pPr>
      <w:r>
        <w:t xml:space="preserve">ajouter de nouveaux cas pratiques ;</w:t>
      </w:r>
    </w:p>
    <w:p>
      <w:pPr>
        <w:pStyle w:val="Compact"/>
        <w:numPr>
          <w:ilvl w:val="0"/>
          <w:numId w:val="1002"/>
        </w:numPr>
      </w:pPr>
      <w:r>
        <w:t xml:space="preserve">ouvrir une autre matière ;</w:t>
      </w:r>
    </w:p>
    <w:p>
      <w:pPr>
        <w:pStyle w:val="Compact"/>
        <w:numPr>
          <w:ilvl w:val="0"/>
          <w:numId w:val="1002"/>
        </w:numPr>
      </w:pPr>
      <w:r>
        <w:t xml:space="preserve">lancer Release 0.2 ;</w:t>
      </w:r>
    </w:p>
    <w:p>
      <w:pPr>
        <w:pStyle w:val="Compact"/>
        <w:numPr>
          <w:ilvl w:val="0"/>
          <w:numId w:val="1002"/>
        </w:numPr>
      </w:pPr>
      <w:r>
        <w:t xml:space="preserve">créer un nouveau module ;</w:t>
      </w:r>
    </w:p>
    <w:p>
      <w:pPr>
        <w:pStyle w:val="Compact"/>
        <w:numPr>
          <w:ilvl w:val="0"/>
          <w:numId w:val="1002"/>
        </w:numPr>
      </w:pPr>
      <w:r>
        <w:t xml:space="preserve">déclarer TEEO niveau C.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2026-06-16T16:57:33Z</dcterms:created>
  <dcterms:modified xsi:type="dcterms:W3CDTF">2026-06-16T16:57:33Z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