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971db01a86a671c2b2ba7f28b6410ba1601b0f"/>
    <w:p>
      <w:pPr>
        <w:pStyle w:val="Heading1"/>
      </w:pPr>
      <w:r>
        <w:t xml:space="preserve">INSTRUCTION D’EXÉCUTION — TEEO V2.5 SOURÇAGE</w:t>
      </w:r>
    </w:p>
    <w:bookmarkStart w:id="20" w:name="principe-directeur"/>
    <w:p>
      <w:pPr>
        <w:pStyle w:val="Heading2"/>
      </w:pPr>
      <w:r>
        <w:t xml:space="preserve">Principe directeur</w:t>
      </w:r>
    </w:p>
    <w:p>
      <w:pPr>
        <w:pStyle w:val="FirstParagraph"/>
      </w:pPr>
      <w:r>
        <w:rPr>
          <w:b/>
          <w:bCs/>
        </w:rPr>
        <w:t xml:space="preserve">Trust before Expansion</w:t>
      </w:r>
    </w:p>
    <w:p>
      <w:pPr>
        <w:pStyle w:val="BodyText"/>
      </w:pPr>
      <w:r>
        <w:t xml:space="preserve">Le volume du corpus ne doit jamais croître plus vite que son niveau de confiance.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Le corpus TEEO V2 existe.</w:t>
      </w:r>
    </w:p>
    <w:p>
      <w:pPr>
        <w:pStyle w:val="BodyText"/>
      </w:pPr>
      <w:r>
        <w:t xml:space="preserve">Les éléments suivants sont déjà disponibles :</w:t>
      </w:r>
    </w:p>
    <w:p>
      <w:pPr>
        <w:pStyle w:val="Compact"/>
        <w:numPr>
          <w:ilvl w:val="0"/>
          <w:numId w:val="1001"/>
        </w:numPr>
      </w:pPr>
      <w:r>
        <w:t xml:space="preserve">cours enrichi ;</w:t>
      </w:r>
    </w:p>
    <w:p>
      <w:pPr>
        <w:pStyle w:val="Compact"/>
        <w:numPr>
          <w:ilvl w:val="0"/>
          <w:numId w:val="1001"/>
        </w:numPr>
      </w:pPr>
      <w:r>
        <w:t xml:space="preserve">fiches de révision ;</w:t>
      </w:r>
    </w:p>
    <w:p>
      <w:pPr>
        <w:pStyle w:val="Compact"/>
        <w:numPr>
          <w:ilvl w:val="0"/>
          <w:numId w:val="1001"/>
        </w:numPr>
      </w:pPr>
      <w:r>
        <w:t xml:space="preserve">QCM ;</w:t>
      </w:r>
    </w:p>
    <w:p>
      <w:pPr>
        <w:pStyle w:val="Compact"/>
        <w:numPr>
          <w:ilvl w:val="0"/>
          <w:numId w:val="1001"/>
        </w:numPr>
      </w:pPr>
      <w:r>
        <w:t xml:space="preserve">cas pratiques ;</w:t>
      </w:r>
    </w:p>
    <w:p>
      <w:pPr>
        <w:pStyle w:val="Compact"/>
        <w:numPr>
          <w:ilvl w:val="0"/>
          <w:numId w:val="1001"/>
        </w:numPr>
      </w:pPr>
      <w:r>
        <w:t xml:space="preserve">références ;</w:t>
      </w:r>
    </w:p>
    <w:p>
      <w:pPr>
        <w:pStyle w:val="Compact"/>
        <w:numPr>
          <w:ilvl w:val="0"/>
          <w:numId w:val="1001"/>
        </w:numPr>
      </w:pPr>
      <w:r>
        <w:t xml:space="preserve">versioning ;</w:t>
      </w:r>
    </w:p>
    <w:p>
      <w:pPr>
        <w:pStyle w:val="Compact"/>
        <w:numPr>
          <w:ilvl w:val="0"/>
          <w:numId w:val="1001"/>
        </w:numPr>
      </w:pPr>
      <w:r>
        <w:t xml:space="preserve">feedback template ;</w:t>
      </w:r>
    </w:p>
    <w:p>
      <w:pPr>
        <w:pStyle w:val="Compact"/>
        <w:numPr>
          <w:ilvl w:val="0"/>
          <w:numId w:val="1001"/>
        </w:numPr>
      </w:pPr>
      <w:r>
        <w:t xml:space="preserve">scorecard ;</w:t>
      </w:r>
    </w:p>
    <w:p>
      <w:pPr>
        <w:pStyle w:val="Compact"/>
        <w:numPr>
          <w:ilvl w:val="0"/>
          <w:numId w:val="1001"/>
        </w:numPr>
      </w:pPr>
      <w:r>
        <w:t xml:space="preserve">contrôles de qualité.</w:t>
      </w:r>
    </w:p>
    <w:p>
      <w:pPr>
        <w:pStyle w:val="FirstParagraph"/>
      </w:pPr>
      <w:r>
        <w:t xml:space="preserve">Le goulot d’étranglement du projet n’est plus la production de contenu mais la traçabilité des connaissances.</w:t>
      </w:r>
    </w:p>
    <w:p>
      <w:pPr>
        <w:pStyle w:val="BodyText"/>
      </w:pPr>
      <w:r>
        <w:t xml:space="preserve">Le projet entre donc dans :</w:t>
      </w:r>
    </w:p>
    <w:bookmarkEnd w:id="22"/>
    <w:bookmarkStart w:id="23" w:name="teeo-v2.5-sourçage"/>
    <w:p>
      <w:pPr>
        <w:pStyle w:val="Heading1"/>
      </w:pPr>
      <w:r>
        <w:t xml:space="preserve">TEEO V2.5 — SOURÇAGE</w:t>
      </w:r>
    </w:p>
    <w:p>
      <w:r>
        <w:pict>
          <v:rect style="width:0;height:1.5pt" o:hralign="center" o:hrstd="t" o:hr="t"/>
        </w:pict>
      </w:r>
    </w:p>
    <w:bookmarkEnd w:id="23"/>
    <w:bookmarkStart w:id="24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Transformer TEEO :</w:t>
      </w:r>
    </w:p>
    <w:p>
      <w:pPr>
        <w:pStyle w:val="BodyText"/>
      </w:pPr>
      <w:r>
        <w:t xml:space="preserve">Niveau D (corpus enrichi)</w:t>
      </w:r>
    </w:p>
    <w:p>
      <w:pPr>
        <w:pStyle w:val="BodyText"/>
      </w:pPr>
      <w:r>
        <w:t xml:space="preserve">vers</w:t>
      </w:r>
    </w:p>
    <w:p>
      <w:pPr>
        <w:pStyle w:val="BodyText"/>
      </w:pPr>
      <w:r>
        <w:t xml:space="preserve">Niveau C (corpus vérifiable et traçable).</w:t>
      </w:r>
    </w:p>
    <w:p>
      <w:r>
        <w:pict>
          <v:rect style="width:0;height:1.5pt" o:hralign="center" o:hrstd="t" o:hr="t"/>
        </w:pict>
      </w:r>
    </w:p>
    <w:bookmarkEnd w:id="24"/>
    <w:bookmarkStart w:id="25" w:name="séquence-obligatoire"/>
    <w:p>
      <w:pPr>
        <w:pStyle w:val="Heading1"/>
      </w:pPr>
      <w:r>
        <w:t xml:space="preserve">Séquence obligatoire</w:t>
      </w:r>
    </w:p>
    <w:p>
      <w:pPr>
        <w:pStyle w:val="FirstParagraph"/>
      </w:pPr>
      <w:r>
        <w:t xml:space="preserve">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Chapitre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Artefacts dérivés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 humaine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Feedback utilisateur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Niveau C</w:t>
      </w:r>
    </w:p>
    <w:p>
      <w:r>
        <w:pict>
          <v:rect style="width:0;height:1.5pt" o:hralign="center" o:hrstd="t" o:hr="t"/>
        </w:pict>
      </w:r>
    </w:p>
    <w:bookmarkEnd w:id="25"/>
    <w:bookmarkStart w:id="32" w:name="livrables-obligatoires"/>
    <w:p>
      <w:pPr>
        <w:pStyle w:val="Heading1"/>
      </w:pPr>
      <w:r>
        <w:t xml:space="preserve">Livrables obligatoires</w:t>
      </w:r>
    </w:p>
    <w:bookmarkStart w:id="26" w:name="teeo_source_master_index_v1.md"/>
    <w:p>
      <w:pPr>
        <w:pStyle w:val="Heading2"/>
      </w:pPr>
      <w:r>
        <w:t xml:space="preserve">1. TEEO_SOURCE_MASTER_INDEX_V1.md</w:t>
      </w:r>
    </w:p>
    <w:p>
      <w:pPr>
        <w:pStyle w:val="FirstParagraph"/>
      </w:pPr>
      <w:r>
        <w:t xml:space="preserve">Inventaire complet des sources disponibles.</w:t>
      </w:r>
    </w:p>
    <w:p>
      <w:pPr>
        <w:pStyle w:val="BodyText"/>
      </w:pPr>
      <w:r>
        <w:t xml:space="preserve">Pour chaque source :</w:t>
      </w:r>
    </w:p>
    <w:p>
      <w:pPr>
        <w:pStyle w:val="Compact"/>
        <w:numPr>
          <w:ilvl w:val="0"/>
          <w:numId w:val="1002"/>
        </w:numPr>
      </w:pPr>
      <w:r>
        <w:t xml:space="preserve">identifiant ;</w:t>
      </w:r>
    </w:p>
    <w:p>
      <w:pPr>
        <w:pStyle w:val="Compact"/>
        <w:numPr>
          <w:ilvl w:val="0"/>
          <w:numId w:val="1002"/>
        </w:numPr>
      </w:pPr>
      <w:r>
        <w:t xml:space="preserve">titre ;</w:t>
      </w:r>
    </w:p>
    <w:p>
      <w:pPr>
        <w:pStyle w:val="Compact"/>
        <w:numPr>
          <w:ilvl w:val="0"/>
          <w:numId w:val="1002"/>
        </w:numPr>
      </w:pPr>
      <w:r>
        <w:t xml:space="preserve">auteur ou autorité ;</w:t>
      </w:r>
    </w:p>
    <w:p>
      <w:pPr>
        <w:pStyle w:val="Compact"/>
        <w:numPr>
          <w:ilvl w:val="0"/>
          <w:numId w:val="1002"/>
        </w:numPr>
      </w:pPr>
      <w:r>
        <w:t xml:space="preserve">année ;</w:t>
      </w:r>
    </w:p>
    <w:p>
      <w:pPr>
        <w:pStyle w:val="Compact"/>
        <w:numPr>
          <w:ilvl w:val="0"/>
          <w:numId w:val="1002"/>
        </w:numPr>
      </w:pPr>
      <w:r>
        <w:t xml:space="preserve">type ;</w:t>
      </w:r>
    </w:p>
    <w:p>
      <w:pPr>
        <w:pStyle w:val="Compact"/>
        <w:numPr>
          <w:ilvl w:val="0"/>
          <w:numId w:val="1002"/>
        </w:numPr>
      </w:pPr>
      <w:r>
        <w:t xml:space="preserve">niveau de confiance ;</w:t>
      </w:r>
    </w:p>
    <w:p>
      <w:pPr>
        <w:pStyle w:val="Compact"/>
        <w:numPr>
          <w:ilvl w:val="0"/>
          <w:numId w:val="1002"/>
        </w:numPr>
      </w:pPr>
      <w:r>
        <w:t xml:space="preserve">statut ;</w:t>
      </w:r>
    </w:p>
    <w:p>
      <w:pPr>
        <w:pStyle w:val="Compact"/>
        <w:numPr>
          <w:ilvl w:val="0"/>
          <w:numId w:val="1002"/>
        </w:numPr>
      </w:pPr>
      <w:r>
        <w:t xml:space="preserve">accessibilité.</w:t>
      </w:r>
    </w:p>
    <w:p>
      <w:r>
        <w:pict>
          <v:rect style="width:0;height:1.5pt" o:hralign="center" o:hrstd="t" o:hr="t"/>
        </w:pict>
      </w:r>
    </w:p>
    <w:bookmarkEnd w:id="26"/>
    <w:bookmarkStart w:id="27" w:name="teeo_source_mapping_v1.md"/>
    <w:p>
      <w:pPr>
        <w:pStyle w:val="Heading2"/>
      </w:pPr>
      <w:r>
        <w:t xml:space="preserve">2. TEEO_SOURCE_MAPPING_V1.md</w:t>
      </w:r>
    </w:p>
    <w:p>
      <w:pPr>
        <w:pStyle w:val="FirstParagraph"/>
      </w:pPr>
      <w:r>
        <w:t xml:space="preserve">Associer :</w:t>
      </w:r>
    </w:p>
    <w:p>
      <w:pPr>
        <w:pStyle w:val="BodyText"/>
      </w:pPr>
      <w:r>
        <w:t xml:space="preserve">Chapitre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Fiches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QCM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Cas pratiques</w:t>
      </w:r>
    </w:p>
    <w:p>
      <w:r>
        <w:pict>
          <v:rect style="width:0;height:1.5pt" o:hralign="center" o:hrstd="t" o:hr="t"/>
        </w:pict>
      </w:r>
    </w:p>
    <w:bookmarkEnd w:id="27"/>
    <w:bookmarkStart w:id="28" w:name="coverage_matrix_v1.md"/>
    <w:p>
      <w:pPr>
        <w:pStyle w:val="Heading2"/>
      </w:pPr>
      <w:r>
        <w:t xml:space="preserve">3. COVERAGE_MATRIX_V1.md</w:t>
      </w:r>
    </w:p>
    <w:p>
      <w:pPr>
        <w:pStyle w:val="FirstParagraph"/>
      </w:pPr>
      <w:r>
        <w:t xml:space="preserve">Identifier :</w:t>
      </w:r>
    </w:p>
    <w:p>
      <w:pPr>
        <w:pStyle w:val="Compact"/>
        <w:numPr>
          <w:ilvl w:val="0"/>
          <w:numId w:val="1003"/>
        </w:numPr>
      </w:pPr>
      <w:r>
        <w:t xml:space="preserve">éléments couverts ;</w:t>
      </w:r>
    </w:p>
    <w:p>
      <w:pPr>
        <w:pStyle w:val="Compact"/>
        <w:numPr>
          <w:ilvl w:val="0"/>
          <w:numId w:val="1003"/>
        </w:numPr>
      </w:pPr>
      <w:r>
        <w:t xml:space="preserve">éléments partiellement couverts ;</w:t>
      </w:r>
    </w:p>
    <w:p>
      <w:pPr>
        <w:pStyle w:val="Compact"/>
        <w:numPr>
          <w:ilvl w:val="0"/>
          <w:numId w:val="1003"/>
        </w:numPr>
      </w:pPr>
      <w:r>
        <w:t xml:space="preserve">éléments non couverts ;</w:t>
      </w:r>
    </w:p>
    <w:p>
      <w:pPr>
        <w:pStyle w:val="Compact"/>
        <w:numPr>
          <w:ilvl w:val="0"/>
          <w:numId w:val="1003"/>
        </w:numPr>
      </w:pPr>
      <w:r>
        <w:t xml:space="preserve">éléments à corriger.</w:t>
      </w:r>
    </w:p>
    <w:p>
      <w:r>
        <w:pict>
          <v:rect style="width:0;height:1.5pt" o:hralign="center" o:hrstd="t" o:hr="t"/>
        </w:pict>
      </w:r>
    </w:p>
    <w:bookmarkEnd w:id="28"/>
    <w:bookmarkStart w:id="29" w:name="validation-des-artefacts"/>
    <w:p>
      <w:pPr>
        <w:pStyle w:val="Heading2"/>
      </w:pPr>
      <w:r>
        <w:t xml:space="preserve">4. Validation des artefacts</w:t>
      </w:r>
    </w:p>
    <w:p>
      <w:pPr>
        <w:pStyle w:val="FirstParagraph"/>
      </w:pPr>
      <w:r>
        <w:t xml:space="preserve">Attribuer à chaque élément :</w:t>
      </w:r>
    </w:p>
    <w:p>
      <w:pPr>
        <w:pStyle w:val="BodyText"/>
      </w:pPr>
      <w:r>
        <w:t xml:space="preserve">A : source officielle + pages identifiées ;</w:t>
      </w:r>
    </w:p>
    <w:p>
      <w:pPr>
        <w:pStyle w:val="BodyText"/>
      </w:pPr>
      <w:r>
        <w:t xml:space="preserve">B : source officielle identifiée ;</w:t>
      </w:r>
    </w:p>
    <w:p>
      <w:pPr>
        <w:pStyle w:val="BodyText"/>
      </w:pPr>
      <w:r>
        <w:t xml:space="preserve">C : support pédagogique ;</w:t>
      </w:r>
    </w:p>
    <w:p>
      <w:pPr>
        <w:pStyle w:val="BodyText"/>
      </w:pPr>
      <w:r>
        <w:t xml:space="preserve">D : synthèse interne ;</w:t>
      </w:r>
    </w:p>
    <w:p>
      <w:pPr>
        <w:pStyle w:val="BodyText"/>
      </w:pPr>
      <w:r>
        <w:t xml:space="preserve">E : hypothèse ou élément prospectif.</w:t>
      </w:r>
    </w:p>
    <w:p>
      <w:r>
        <w:pict>
          <v:rect style="width:0;height:1.5pt" o:hralign="center" o:hrstd="t" o:hr="t"/>
        </w:pict>
      </w:r>
    </w:p>
    <w:bookmarkEnd w:id="29"/>
    <w:bookmarkStart w:id="30" w:name="validation-humaine"/>
    <w:p>
      <w:pPr>
        <w:pStyle w:val="Heading2"/>
      </w:pPr>
      <w:r>
        <w:t xml:space="preserve">5. Validation humaine</w:t>
      </w:r>
    </w:p>
    <w:p>
      <w:pPr>
        <w:pStyle w:val="FirstParagraph"/>
      </w:pPr>
      <w:r>
        <w:t xml:space="preserve">Vérifier :</w:t>
      </w:r>
    </w:p>
    <w:p>
      <w:pPr>
        <w:pStyle w:val="Compact"/>
        <w:numPr>
          <w:ilvl w:val="0"/>
          <w:numId w:val="1004"/>
        </w:numPr>
      </w:pPr>
      <w:r>
        <w:t xml:space="preserve">les fiches ;</w:t>
      </w:r>
    </w:p>
    <w:p>
      <w:pPr>
        <w:pStyle w:val="Compact"/>
        <w:numPr>
          <w:ilvl w:val="0"/>
          <w:numId w:val="1004"/>
        </w:numPr>
      </w:pPr>
      <w:r>
        <w:t xml:space="preserve">les QCM ;</w:t>
      </w:r>
    </w:p>
    <w:p>
      <w:pPr>
        <w:pStyle w:val="Compact"/>
        <w:numPr>
          <w:ilvl w:val="0"/>
          <w:numId w:val="1004"/>
        </w:numPr>
      </w:pPr>
      <w:r>
        <w:t xml:space="preserve">les cas pratiques ;</w:t>
      </w:r>
    </w:p>
    <w:p>
      <w:pPr>
        <w:pStyle w:val="Compact"/>
        <w:numPr>
          <w:ilvl w:val="0"/>
          <w:numId w:val="1004"/>
        </w:numPr>
      </w:pPr>
      <w:r>
        <w:t xml:space="preserve">les références.</w:t>
      </w:r>
    </w:p>
    <w:p>
      <w:r>
        <w:pict>
          <v:rect style="width:0;height:1.5pt" o:hralign="center" o:hrstd="t" o:hr="t"/>
        </w:pict>
      </w:r>
    </w:p>
    <w:bookmarkEnd w:id="30"/>
    <w:bookmarkStart w:id="31" w:name="premier-feedback-utilisateur"/>
    <w:p>
      <w:pPr>
        <w:pStyle w:val="Heading2"/>
      </w:pPr>
      <w:r>
        <w:t xml:space="preserve">6. Premier feedback utilisateur</w:t>
      </w:r>
    </w:p>
    <w:p>
      <w:pPr>
        <w:pStyle w:val="FirstParagraph"/>
      </w:pPr>
      <w:r>
        <w:t xml:space="preserve">Recueillir les observations des utilisateurs :</w:t>
      </w:r>
    </w:p>
    <w:p>
      <w:pPr>
        <w:pStyle w:val="Compact"/>
        <w:numPr>
          <w:ilvl w:val="0"/>
          <w:numId w:val="1005"/>
        </w:numPr>
      </w:pPr>
      <w:r>
        <w:t xml:space="preserve">élèves greffiers ;</w:t>
      </w:r>
    </w:p>
    <w:p>
      <w:pPr>
        <w:pStyle w:val="Compact"/>
        <w:numPr>
          <w:ilvl w:val="0"/>
          <w:numId w:val="1005"/>
        </w:numPr>
      </w:pPr>
      <w:r>
        <w:t xml:space="preserve">utilisateurs du MVP ;</w:t>
      </w:r>
    </w:p>
    <w:p>
      <w:pPr>
        <w:pStyle w:val="Compact"/>
        <w:numPr>
          <w:ilvl w:val="0"/>
          <w:numId w:val="1005"/>
        </w:numPr>
      </w:pPr>
      <w:r>
        <w:t xml:space="preserve">collègues.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ditions-de-passage-au-niveau-c"/>
    <w:p>
      <w:pPr>
        <w:pStyle w:val="Heading1"/>
      </w:pPr>
      <w:r>
        <w:t xml:space="preserve">Conditions de passage au Niveau C</w:t>
      </w:r>
    </w:p>
    <w:p>
      <w:pPr>
        <w:pStyle w:val="FirstParagraph"/>
      </w:pPr>
      <w:r>
        <w:t xml:space="preserve">Le passage au Niveau C est autorisé uniquement si :</w:t>
      </w:r>
    </w:p>
    <w:p>
      <w:pPr>
        <w:pStyle w:val="BodyText"/>
      </w:pPr>
      <w:r>
        <w:t xml:space="preserve">✓ les sources sont accessibles ;</w:t>
      </w:r>
    </w:p>
    <w:p>
      <w:pPr>
        <w:pStyle w:val="BodyText"/>
      </w:pPr>
      <w:r>
        <w:t xml:space="preserve">✓ les pages sont identifiées ;</w:t>
      </w:r>
    </w:p>
    <w:p>
      <w:pPr>
        <w:pStyle w:val="BodyText"/>
      </w:pPr>
      <w:r>
        <w:t xml:space="preserve">✓ les artefacts sont reliés aux sources ;</w:t>
      </w:r>
    </w:p>
    <w:p>
      <w:pPr>
        <w:pStyle w:val="BodyText"/>
      </w:pPr>
      <w:r>
        <w:t xml:space="preserve">✓ une relecture humaine a été effectuée ;</w:t>
      </w:r>
    </w:p>
    <w:p>
      <w:pPr>
        <w:pStyle w:val="BodyText"/>
      </w:pPr>
      <w:r>
        <w:t xml:space="preserve">✓ un premier feedback utilisateur a été obtenu.</w:t>
      </w:r>
    </w:p>
    <w:p>
      <w:r>
        <w:pict>
          <v:rect style="width:0;height:1.5pt" o:hralign="center" o:hrstd="t" o:hr="t"/>
        </w:pict>
      </w:r>
    </w:p>
    <w:bookmarkEnd w:id="33"/>
    <w:bookmarkStart w:id="34" w:name="interdictions-pendant-teeo-v2.5"/>
    <w:p>
      <w:pPr>
        <w:pStyle w:val="Heading1"/>
      </w:pPr>
      <w:r>
        <w:t xml:space="preserve">Interdictions pendant TEEO V2.5</w:t>
      </w:r>
    </w:p>
    <w:p>
      <w:pPr>
        <w:pStyle w:val="FirstParagraph"/>
      </w:pPr>
      <w:r>
        <w:t xml:space="preserve">Il est interdit de :</w:t>
      </w:r>
    </w:p>
    <w:p>
      <w:pPr>
        <w:pStyle w:val="Compact"/>
        <w:numPr>
          <w:ilvl w:val="0"/>
          <w:numId w:val="1006"/>
        </w:numPr>
      </w:pPr>
      <w:r>
        <w:t xml:space="preserve">ouvrir une autre matière CS Learn ;</w:t>
      </w:r>
    </w:p>
    <w:p>
      <w:pPr>
        <w:pStyle w:val="Compact"/>
        <w:numPr>
          <w:ilvl w:val="0"/>
          <w:numId w:val="1006"/>
        </w:numPr>
      </w:pPr>
      <w:r>
        <w:t xml:space="preserve">produire TEEO V3 ;</w:t>
      </w:r>
    </w:p>
    <w:p>
      <w:pPr>
        <w:pStyle w:val="Compact"/>
        <w:numPr>
          <w:ilvl w:val="0"/>
          <w:numId w:val="1006"/>
        </w:numPr>
      </w:pPr>
      <w:r>
        <w:t xml:space="preserve">augmenter le volume des QCM ;</w:t>
      </w:r>
    </w:p>
    <w:p>
      <w:pPr>
        <w:pStyle w:val="Compact"/>
        <w:numPr>
          <w:ilvl w:val="0"/>
          <w:numId w:val="1006"/>
        </w:numPr>
      </w:pPr>
      <w:r>
        <w:t xml:space="preserve">augmenter le volume des cas pratiques ;</w:t>
      </w:r>
    </w:p>
    <w:p>
      <w:pPr>
        <w:pStyle w:val="Compact"/>
        <w:numPr>
          <w:ilvl w:val="0"/>
          <w:numId w:val="1006"/>
        </w:numPr>
      </w:pPr>
      <w:r>
        <w:t xml:space="preserve">ouvrir Release 0.2 ;</w:t>
      </w:r>
    </w:p>
    <w:p>
      <w:pPr>
        <w:pStyle w:val="Compact"/>
        <w:numPr>
          <w:ilvl w:val="0"/>
          <w:numId w:val="1006"/>
        </w:numPr>
      </w:pPr>
      <w:r>
        <w:t xml:space="preserve">créer un nouveau module ;</w:t>
      </w:r>
    </w:p>
    <w:p>
      <w:pPr>
        <w:pStyle w:val="Compact"/>
        <w:numPr>
          <w:ilvl w:val="0"/>
          <w:numId w:val="1006"/>
        </w:numPr>
      </w:pPr>
      <w:r>
        <w:t xml:space="preserve">étendre l’architecture ;</w:t>
      </w:r>
    </w:p>
    <w:p>
      <w:pPr>
        <w:pStyle w:val="Compact"/>
        <w:numPr>
          <w:ilvl w:val="0"/>
          <w:numId w:val="1006"/>
        </w:numPr>
      </w:pPr>
      <w:r>
        <w:t xml:space="preserve">déclarer TEEO comme corpus de référence.</w:t>
      </w:r>
    </w:p>
    <w:p>
      <w:r>
        <w:pict>
          <v:rect style="width:0;height:1.5pt" o:hralign="center" o:hrstd="t" o:hr="t"/>
        </w:pict>
      </w:r>
    </w:p>
    <w:bookmarkEnd w:id="34"/>
    <w:bookmarkStart w:id="35" w:name="règle-permanente"/>
    <w:p>
      <w:pPr>
        <w:pStyle w:val="Heading1"/>
      </w:pPr>
      <w:r>
        <w:t xml:space="preserve">Règle permanente</w:t>
      </w:r>
    </w:p>
    <w:p>
      <w:pPr>
        <w:pStyle w:val="FirstParagraph"/>
      </w:pPr>
      <w:r>
        <w:t xml:space="preserve">Tant qu’un corpus pilote n’a pas atteint le Niveau C, aucune nouvelle matière ne doit être ouverte.</w:t>
      </w:r>
    </w:p>
    <w:p>
      <w:pPr>
        <w:pStyle w:val="BodyText"/>
      </w:pPr>
      <w:r>
        <w:t xml:space="preserve">Le volume ne doit jamais croître plus vite que la confiance.</w:t>
      </w:r>
    </w:p>
    <w:p>
      <w:r>
        <w:pict>
          <v:rect style="width:0;height:1.5pt" o:hralign="center" o:hrstd="t" o:hr="t"/>
        </w:pict>
      </w:r>
    </w:p>
    <w:bookmarkEnd w:id="35"/>
    <w:bookmarkStart w:id="36" w:name="première-action-à-exécuter"/>
    <w:p>
      <w:pPr>
        <w:pStyle w:val="Heading1"/>
      </w:pPr>
      <w:r>
        <w:t xml:space="preserve">Première action à exécuter</w:t>
      </w:r>
    </w:p>
    <w:p>
      <w:pPr>
        <w:pStyle w:val="FirstParagraph"/>
      </w:pPr>
      <w:r>
        <w:t xml:space="preserve">Rendre accessibles les supports réels :</w:t>
      </w:r>
    </w:p>
    <w:p>
      <w:pPr>
        <w:pStyle w:val="Compact"/>
        <w:numPr>
          <w:ilvl w:val="0"/>
          <w:numId w:val="1007"/>
        </w:numPr>
      </w:pPr>
      <w:r>
        <w:t xml:space="preserve">TEEO CS INFJ 2026 ;</w:t>
      </w:r>
    </w:p>
    <w:p>
      <w:pPr>
        <w:pStyle w:val="Compact"/>
        <w:numPr>
          <w:ilvl w:val="0"/>
          <w:numId w:val="1007"/>
        </w:numPr>
      </w:pPr>
      <w:r>
        <w:t xml:space="preserve">Techniques d’Expression Écrite et Orale ;</w:t>
      </w:r>
    </w:p>
    <w:p>
      <w:pPr>
        <w:pStyle w:val="FirstParagraph"/>
      </w:pPr>
      <w:r>
        <w:t xml:space="preserve">puis compléter :</w:t>
      </w:r>
    </w:p>
    <w:bookmarkEnd w:id="36"/>
    <w:bookmarkStart w:id="37" w:name="teeo_source_mapping_v1.md-1"/>
    <w:p>
      <w:pPr>
        <w:pStyle w:val="Heading1"/>
      </w:pPr>
      <w:r>
        <w:t xml:space="preserve">TEEO_SOURCE_MAPPING_V1.md</w:t>
      </w:r>
    </w:p>
    <w:p>
      <w:pPr>
        <w:pStyle w:val="FirstParagraph"/>
      </w:pPr>
      <w:r>
        <w:t xml:space="preserve">avant toute autre expansion du projet.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2026-06-16T12:45:54Z</dcterms:created>
  <dcterms:modified xsi:type="dcterms:W3CDTF">2026-06-16T12:45:54Z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