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living-governance-engineering"/>
    <w:p>
      <w:pPr>
        <w:pStyle w:val="Heading1"/>
      </w:pPr>
      <w:r>
        <w:t xml:space="preserve">LIVING GOVERNANCE ENGINEERING</w:t>
      </w:r>
    </w:p>
    <w:bookmarkStart w:id="22" w:name="résumé-exécutif"/>
    <w:p>
      <w:pPr>
        <w:pStyle w:val="Heading2"/>
      </w:pPr>
      <w:r>
        <w:t xml:space="preserve">Résumé exécutif</w:t>
      </w:r>
    </w:p>
    <w:p>
      <w:pPr>
        <w:pStyle w:val="FirstParagraph"/>
      </w:pPr>
      <w:r>
        <w:t xml:space="preserve">Le manuscrit demandé a été rédigé en français comme un</w:t>
      </w:r>
      <w:r>
        <w:t xml:space="preserve"> </w:t>
      </w:r>
      <w:r>
        <w:rPr>
          <w:b/>
          <w:bCs/>
        </w:rPr>
        <w:t xml:space="preserve">ouvrage structurant</w:t>
      </w:r>
      <w:r>
        <w:t xml:space="preserve"> </w:t>
      </w:r>
      <w:r>
        <w:t xml:space="preserve">sur la conception de plateformes vivantes de gouvernance, à partir des cas d’école que sont le</w:t>
      </w:r>
      <w:r>
        <w:t xml:space="preserve"> </w:t>
      </w:r>
      <w:r>
        <w:rPr>
          <w:b/>
          <w:bCs/>
        </w:rPr>
        <w:t xml:space="preserve">Strategic Doctoral Governance Command Center</w:t>
      </w:r>
      <w:r>
        <w:t xml:space="preserve">, le</w:t>
      </w:r>
      <w:r>
        <w:t xml:space="preserve"> </w:t>
      </w:r>
      <w:r>
        <w:rPr>
          <w:b/>
          <w:bCs/>
        </w:rPr>
        <w:t xml:space="preserve">DIPS Living Intelligence Platform</w:t>
      </w:r>
      <w:r>
        <w:t xml:space="preserve"> </w:t>
      </w:r>
      <w:r>
        <w:t xml:space="preserve">et</w:t>
      </w:r>
      <w:r>
        <w:t xml:space="preserve"> </w:t>
      </w:r>
      <w:r>
        <w:rPr>
          <w:b/>
          <w:bCs/>
        </w:rPr>
        <w:t xml:space="preserve">CS GREFFE OS</w:t>
      </w:r>
      <w:r>
        <w:t xml:space="preserve">. Son architecture intellectuelle repose sur un noyau de sources primaires et institutionnelles convergentes : mission et structuration de l’INFJ, contexte de digitalisation de la justice en Côte d’Ivoire, lignes directrices de la CEPEJ sur la cyberjustice, Charte éthique européenne sur l’IA dans les systèmes judiciaires, Convention-cadre du Conseil de l’Europe sur l’IA, règlement européen sur l’IA, AI RMF du NIST, principes de l’OCDE, documentation officielle Snowflake, ainsi que des travaux de référence sur le RAG et les agents. Cette convergence justifie une doctrine centrée sur</w:t>
      </w:r>
      <w:r>
        <w:t xml:space="preserve"> </w:t>
      </w:r>
      <w:r>
        <w:rPr>
          <w:b/>
          <w:bCs/>
        </w:rPr>
        <w:t xml:space="preserve">Memory before Code</w:t>
      </w:r>
      <w:r>
        <w:t xml:space="preserve">,</w:t>
      </w:r>
      <w:r>
        <w:t xml:space="preserve"> </w:t>
      </w:r>
      <w:r>
        <w:rPr>
          <w:b/>
          <w:bCs/>
        </w:rPr>
        <w:t xml:space="preserve">Governance before Automation</w:t>
      </w:r>
      <w:r>
        <w:t xml:space="preserve">,</w:t>
      </w:r>
      <w:r>
        <w:t xml:space="preserve"> </w:t>
      </w:r>
      <w:r>
        <w:rPr>
          <w:b/>
          <w:bCs/>
        </w:rPr>
        <w:t xml:space="preserve">Human-in-the-loop</w:t>
      </w:r>
      <w:r>
        <w:t xml:space="preserve">,</w:t>
      </w:r>
      <w:r>
        <w:t xml:space="preserve"> </w:t>
      </w:r>
      <w:r>
        <w:rPr>
          <w:b/>
          <w:bCs/>
        </w:rPr>
        <w:t xml:space="preserve">Identity before Complexity</w:t>
      </w:r>
      <w:r>
        <w:t xml:space="preserve"> </w:t>
      </w:r>
      <w:r>
        <w:t xml:space="preserve">et</w:t>
      </w:r>
      <w:r>
        <w:t xml:space="preserve"> </w:t>
      </w:r>
      <w:r>
        <w:rPr>
          <w:b/>
          <w:bCs/>
        </w:rPr>
        <w:t xml:space="preserve">Traceability before Performance</w:t>
      </w:r>
      <w:r>
        <w:t xml:space="preserve">.</w:t>
      </w:r>
      <w:r>
        <w:t xml:space="preserve"> </w:t>
      </w:r>
      <w:hyperlink r:id="rId21">
        <w:r>
          <w:rPr>
            <w:rStyle w:val="Hyperlink"/>
          </w:rPr>
          <w:t xml:space="preserve">[1]</w:t>
        </w:r>
      </w:hyperlink>
    </w:p>
    <w:p>
      <w:pPr>
        <w:pStyle w:val="BodyText"/>
      </w:pPr>
      <w:r>
        <w:t xml:space="preserve">Le résultat produit n’est pas un simple plan ou une note de cadrage. C’est un</w:t>
      </w:r>
      <w:r>
        <w:t xml:space="preserve"> </w:t>
      </w:r>
      <w:r>
        <w:rPr>
          <w:b/>
          <w:bCs/>
        </w:rPr>
        <w:t xml:space="preserve">manuscrit complet</w:t>
      </w:r>
      <w:r>
        <w:t xml:space="preserve"> </w:t>
      </w:r>
      <w:r>
        <w:t xml:space="preserve">avec préface, chapitres I à IX, conclusion, annexes, diagrammes Mermaid, tableaux, matrices, templates, checklists, SQL minimal Snowflake et tests documentaires. Il a été généré en trois formats téléchargeables — Markdown, DOCX et PDF — accompagnés d’un README de conversion et d’un bundle compressé. Les artefacts ont été vérifiés localement, et les tests documentaires passent.</w:t>
      </w:r>
    </w:p>
    <w:bookmarkEnd w:id="22"/>
    <w:bookmarkStart w:id="25" w:name="fondements-de-recherche"/>
    <w:p>
      <w:pPr>
        <w:pStyle w:val="Heading2"/>
      </w:pPr>
      <w:r>
        <w:t xml:space="preserve">Fondements de recherche</w:t>
      </w:r>
    </w:p>
    <w:p>
      <w:pPr>
        <w:pStyle w:val="FirstParagraph"/>
      </w:pPr>
      <w:r>
        <w:t xml:space="preserve">Le volet « justice et greffe » du manuscrit s’appuie d’abord sur les sources ivoiriennes et francophones disponibles. L’INFJ indique assurer le recrutement ainsi que la formation initiale et continue des magistrats, greffiers et autres professionnels judiciaires ; le décret de 2016 précise officiellement cette mission et la place de l’institut sous la tutelle technique du ministère chargé de la Justice. Les pages officielles sur les concours et les matières montrent en outre que la pratique du greffe, les registres, les archives, le RCCM, le casier judiciaire, la mise en œuvre des procédures et le rôle du greffier dans la marche des instances font bien partie du cœur du domaine. Le ministère ivoirien de la Justice annonce par ailleurs une plateforme de sécurisation et de digitalisation des actes de justice, ce qui confirme que le contexte national est déjà engagé dans une logique de transformation numérique. La loi ivoirienne n°2013-450 relative à la protection des données à caractère personnel fournit enfin un ancrage indispensable pour la conformité et la sécurité du futur système.</w:t>
      </w:r>
      <w:r>
        <w:t xml:space="preserve"> </w:t>
      </w:r>
      <w:hyperlink r:id="rId21">
        <w:r>
          <w:rPr>
            <w:rStyle w:val="Hyperlink"/>
          </w:rPr>
          <w:t xml:space="preserve">[2]</w:t>
        </w:r>
      </w:hyperlink>
    </w:p>
    <w:p>
      <w:pPr>
        <w:pStyle w:val="BodyText"/>
      </w:pPr>
      <w:r>
        <w:t xml:space="preserve">Le volet « cyberjustice et gouvernance de l’IA » s’appuie surtout sur le Conseil de l’Europe, la CEPEJ, le NIST, l’OCDE et l’Union européenne. La CEPEJ rappelle que la cyberjustice doit être pensée comme un</w:t>
      </w:r>
      <w:r>
        <w:t xml:space="preserve"> </w:t>
      </w:r>
      <w:r>
        <w:rPr>
          <w:b/>
          <w:bCs/>
        </w:rPr>
        <w:t xml:space="preserve">moyen</w:t>
      </w:r>
      <w:r>
        <w:t xml:space="preserve"> </w:t>
      </w:r>
      <w:r>
        <w:t xml:space="preserve">d’améliorer la qualité et l’efficacité de la justice, non comme une fin autonome, et recommande de commencer par des objectifs clairs, mesurables et vérifiables, puis d’associer étroitement les utilisateurs tout au long du projet. Sa Charte éthique sur l’IA dans les systèmes judiciaires énonce aussi des principes de respect des droits fondamentaux, non-discrimination, qualité et sécurité, transparence et maîtrise par l’utilisateur. Le Conseil de l’Europe a depuis adopté une Convention-cadre sur l’IA couvrant l’ensemble du cycle de vie des systèmes, tandis que le règlement européen sur l’IA renforce les obligations de transparence, de documentation et de supervision humaine. Le NIST AI RMF 1.0, complété par le profil Generative AI, insiste de son côté sur la gouvernance, la mesure et la gestion continue des risques, ainsi que sur des attributs comme la fiabilité, la sécurité, la résilience, l’explicabilité et l’accountability. Les principes de l’OCDE convergent vers une IA digne de confiance et centrée sur l’humain.</w:t>
      </w:r>
      <w:r>
        <w:t xml:space="preserve"> </w:t>
      </w:r>
      <w:hyperlink r:id="rId23">
        <w:r>
          <w:rPr>
            <w:rStyle w:val="Hyperlink"/>
          </w:rPr>
          <w:t xml:space="preserve">[3]</w:t>
        </w:r>
      </w:hyperlink>
    </w:p>
    <w:p>
      <w:pPr>
        <w:pStyle w:val="BodyText"/>
      </w:pPr>
      <w:r>
        <w:t xml:space="preserve">Le volet « architecture data/IA » s’appuie sur la documentation Snowflake et sur la littérature scientifique de base relative au RAG et aux agents. Snowflake documente explicitement Streamlit in Snowflake pour créer et partager des applications sans déplacer les données hors de la plateforme, Cortex Search pour des usages de recherche sémantique et de RAG, Horizon Catalog pour le catalogage, le contexte sémantique, le lineage et les garde-fous de gouvernance, ainsi que le RBAC, l’object tagging et la protection fine des données. Le papier fondateur de Lewis et al. montre que le RAG combine mémoire paramétrique et mémoire non paramétrique indexée ; ReAct formalise de son côté l’articulation entre raisonnement et action outillée. Enfin, les travaux de la Banque mondiale sur la transformation numérique des juridictions montrent qu’un système de gestion d’affaires bien conçu améliore la standardisation procédurale, le suivi des délais, la qualité des statistiques et la capacité de pilotage.</w:t>
      </w:r>
      <w:r>
        <w:t xml:space="preserve"> </w:t>
      </w:r>
      <w:hyperlink r:id="rId24">
        <w:r>
          <w:rPr>
            <w:rStyle w:val="Hyperlink"/>
          </w:rPr>
          <w:t xml:space="preserve">[4]</w:t>
        </w:r>
      </w:hyperlink>
    </w:p>
    <w:bookmarkEnd w:id="25"/>
    <w:bookmarkStart w:id="27" w:name="ce-que-contient-le-manuscrit-produit"/>
    <w:p>
      <w:pPr>
        <w:pStyle w:val="Heading2"/>
      </w:pPr>
      <w:r>
        <w:t xml:space="preserve">Ce que contient le manuscrit produit</w:t>
      </w:r>
    </w:p>
    <w:p>
      <w:pPr>
        <w:pStyle w:val="FirstParagraph"/>
      </w:pPr>
      <w:r>
        <w:t xml:space="preserve">Le manuscrit présente d’abord une</w:t>
      </w:r>
      <w:r>
        <w:t xml:space="preserve"> </w:t>
      </w:r>
      <w:r>
        <w:rPr>
          <w:b/>
          <w:bCs/>
        </w:rPr>
        <w:t xml:space="preserve">théorie générale</w:t>
      </w:r>
      <w:r>
        <w:t xml:space="preserve"> </w:t>
      </w:r>
      <w:r>
        <w:t xml:space="preserve">des Living Governance Platforms. Il formalise la notion de mémoire vivante, d’architecture vivante, de donnée vivante, de connaissance vivante, d’agents vivants, de tableaux de bord vivants et de command centers vivants. Il propose ensuite un</w:t>
      </w:r>
      <w:r>
        <w:t xml:space="preserve"> </w:t>
      </w:r>
      <w:r>
        <w:rPr>
          <w:b/>
          <w:bCs/>
        </w:rPr>
        <w:t xml:space="preserve">modèle de maturité</w:t>
      </w:r>
      <w:r>
        <w:t xml:space="preserve"> </w:t>
      </w:r>
      <w:r>
        <w:t xml:space="preserve">allant des documents au meta-governance platform, ainsi qu’une</w:t>
      </w:r>
      <w:r>
        <w:t xml:space="preserve"> </w:t>
      </w:r>
      <w:r>
        <w:rPr>
          <w:b/>
          <w:bCs/>
        </w:rPr>
        <w:t xml:space="preserve">architecture générique en couches</w:t>
      </w:r>
      <w:r>
        <w:t xml:space="preserve"> </w:t>
      </w:r>
      <w:r>
        <w:t xml:space="preserve">: Human Governance, Domain Governance, AI Governance, Data Governance, Knowledge Governance, Business Layer, Agent Layer, Application Layer, Dashboard Layer et Command Center. Cette structuration suit directement les enseignements de la CEPEJ, des cadres de gouvernance IA et des pratiques contemporaines de gouvernance data.</w:t>
      </w:r>
      <w:r>
        <w:t xml:space="preserve"> </w:t>
      </w:r>
      <w:hyperlink r:id="rId23">
        <w:r>
          <w:rPr>
            <w:rStyle w:val="Hyperlink"/>
          </w:rPr>
          <w:t xml:space="preserve">[5]</w:t>
        </w:r>
      </w:hyperlink>
    </w:p>
    <w:p>
      <w:pPr>
        <w:pStyle w:val="BodyText"/>
      </w:pPr>
      <w:r>
        <w:t xml:space="preserve">Le cœur opérationnel du manuscrit est orienté vers l’usage judiciaire et le greffe. Il comprend des cas d’usage concrets pour la</w:t>
      </w:r>
      <w:r>
        <w:t xml:space="preserve"> </w:t>
      </w:r>
      <w:r>
        <w:rPr>
          <w:b/>
          <w:bCs/>
        </w:rPr>
        <w:t xml:space="preserve">formation INFJ</w:t>
      </w:r>
      <w:r>
        <w:t xml:space="preserve">, les</w:t>
      </w:r>
      <w:r>
        <w:t xml:space="preserve"> </w:t>
      </w:r>
      <w:r>
        <w:rPr>
          <w:b/>
          <w:bCs/>
        </w:rPr>
        <w:t xml:space="preserve">procédures civiles et pénales</w:t>
      </w:r>
      <w:r>
        <w:t xml:space="preserve">, la</w:t>
      </w:r>
      <w:r>
        <w:t xml:space="preserve"> </w:t>
      </w:r>
      <w:r>
        <w:rPr>
          <w:b/>
          <w:bCs/>
        </w:rPr>
        <w:t xml:space="preserve">rédaction assistée d’actes</w:t>
      </w:r>
      <w:r>
        <w:t xml:space="preserve">, la</w:t>
      </w:r>
      <w:r>
        <w:t xml:space="preserve"> </w:t>
      </w:r>
      <w:r>
        <w:rPr>
          <w:b/>
          <w:bCs/>
        </w:rPr>
        <w:t xml:space="preserve">tenue des registres</w:t>
      </w:r>
      <w:r>
        <w:t xml:space="preserve">, la</w:t>
      </w:r>
      <w:r>
        <w:t xml:space="preserve"> </w:t>
      </w:r>
      <w:r>
        <w:rPr>
          <w:b/>
          <w:bCs/>
        </w:rPr>
        <w:t xml:space="preserve">gestion des archives</w:t>
      </w:r>
      <w:r>
        <w:t xml:space="preserve"> </w:t>
      </w:r>
      <w:r>
        <w:t xml:space="preserve">et les</w:t>
      </w:r>
      <w:r>
        <w:t xml:space="preserve"> </w:t>
      </w:r>
      <w:r>
        <w:rPr>
          <w:b/>
          <w:bCs/>
        </w:rPr>
        <w:t xml:space="preserve">KPI de pilotage</w:t>
      </w:r>
      <w:r>
        <w:t xml:space="preserve">. Il comprend aussi une matrice de normalisation des modules, un tableau comparatif des priorités, dépendances, livrables et budgets — volontairement marqués comme non spécifiés — ainsi qu’un patron d’architecture centré sur</w:t>
      </w:r>
      <w:r>
        <w:t xml:space="preserve"> </w:t>
      </w:r>
      <w:r>
        <w:rPr>
          <w:b/>
          <w:bCs/>
        </w:rPr>
        <w:t xml:space="preserve">RAW / CURATED / SEMANTIC / AI</w:t>
      </w:r>
      <w:r>
        <w:t xml:space="preserve"> </w:t>
      </w:r>
      <w:r>
        <w:t xml:space="preserve">pour faire de la donnée gouvernée le socle de la plateforme. Ce choix est cohérent avec les besoins de standardisation, de qualité, de remontée statistique et de pilotage relevés dans les travaux sur le case management judiciaire et avec les capacités de gouvernance/lineage/sécurité documentées par Snowflake.</w:t>
      </w:r>
      <w:r>
        <w:t xml:space="preserve"> </w:t>
      </w:r>
      <w:hyperlink r:id="rId26">
        <w:r>
          <w:rPr>
            <w:rStyle w:val="Hyperlink"/>
          </w:rPr>
          <w:t xml:space="preserve">[6]</w:t>
        </w:r>
      </w:hyperlink>
    </w:p>
    <w:p>
      <w:pPr>
        <w:pStyle w:val="BodyText"/>
      </w:pPr>
      <w:r>
        <w:t xml:space="preserve">Le manuscrit inclut aussi une section explicite sur les</w:t>
      </w:r>
      <w:r>
        <w:t xml:space="preserve"> </w:t>
      </w:r>
      <w:r>
        <w:rPr>
          <w:b/>
          <w:bCs/>
        </w:rPr>
        <w:t xml:space="preserve">patterns et anti-patterns</w:t>
      </w:r>
      <w:r>
        <w:t xml:space="preserve">. Elle transforme en doctrine de conception les avertissements institutionnels déjà formulés par la CEPEJ et les cadres de gestion des risques IA : éviter le « code first », éviter le projet réduit à un simple chatbot, éviter le RAG non documenté, éviter les accès implicites, éviter toute automatisation cachée sans validation humaine ; privilégier au contraire les patrons Memory First, Governance Layer, Snowflake Core, Human Review Workbench, Agent Registry et Progressive Command Center.</w:t>
      </w:r>
      <w:r>
        <w:t xml:space="preserve"> </w:t>
      </w:r>
      <w:hyperlink r:id="rId23">
        <w:r>
          <w:rPr>
            <w:rStyle w:val="Hyperlink"/>
          </w:rPr>
          <w:t xml:space="preserve">[7]</w:t>
        </w:r>
      </w:hyperlink>
    </w:p>
    <w:bookmarkEnd w:id="27"/>
    <w:bookmarkStart w:id="33" w:name="livrables-téléchargeables"/>
    <w:p>
      <w:pPr>
        <w:pStyle w:val="Heading2"/>
      </w:pPr>
      <w:r>
        <w:t xml:space="preserve">Livrables téléchargeables</w:t>
      </w:r>
    </w:p>
    <w:p>
      <w:pPr>
        <w:pStyle w:val="FirstParagraph"/>
      </w:pPr>
      <w:r>
        <w:t xml:space="preserve">Les fichiers prêts au téléchargement sont les suivants :</w:t>
      </w:r>
    </w:p>
    <w:p>
      <w:pPr>
        <w:pStyle w:val="Compact"/>
        <w:numPr>
          <w:ilvl w:val="0"/>
          <w:numId w:val="1001"/>
        </w:numPr>
      </w:pPr>
      <w:hyperlink r:id="rId28">
        <w:r>
          <w:rPr>
            <w:rStyle w:val="Hyperlink"/>
          </w:rPr>
          <w:t xml:space="preserve">Markdown —</w:t>
        </w:r>
        <w:r>
          <w:rPr>
            <w:rStyle w:val="Hyperlink"/>
          </w:rPr>
          <w:t xml:space="preserve"> </w:t>
        </w:r>
        <w:r>
          <w:rPr>
            <w:rStyle w:val="VerbatimChar"/>
          </w:rPr>
          <w:t xml:space="preserve">living_governance_engineering/LIVING_GOVERNANCE_ENGINEERING_MANUSCRIT.md</w:t>
        </w:r>
      </w:hyperlink>
    </w:p>
    <w:p>
      <w:pPr>
        <w:pStyle w:val="Compact"/>
        <w:numPr>
          <w:ilvl w:val="0"/>
          <w:numId w:val="1001"/>
        </w:numPr>
      </w:pPr>
      <w:hyperlink r:id="rId29">
        <w:r>
          <w:rPr>
            <w:rStyle w:val="Hyperlink"/>
          </w:rPr>
          <w:t xml:space="preserve">DOCX —</w:t>
        </w:r>
        <w:r>
          <w:rPr>
            <w:rStyle w:val="Hyperlink"/>
          </w:rPr>
          <w:t xml:space="preserve"> </w:t>
        </w:r>
        <w:r>
          <w:rPr>
            <w:rStyle w:val="VerbatimChar"/>
          </w:rPr>
          <w:t xml:space="preserve">living_governance_engineering/LIVING_GOVERNANCE_ENGINEERING_MANUSCRIT.docx</w:t>
        </w:r>
      </w:hyperlink>
    </w:p>
    <w:p>
      <w:pPr>
        <w:pStyle w:val="Compact"/>
        <w:numPr>
          <w:ilvl w:val="0"/>
          <w:numId w:val="1001"/>
        </w:numPr>
      </w:pPr>
      <w:hyperlink r:id="rId30">
        <w:r>
          <w:rPr>
            <w:rStyle w:val="Hyperlink"/>
          </w:rPr>
          <w:t xml:space="preserve">PDF —</w:t>
        </w:r>
        <w:r>
          <w:rPr>
            <w:rStyle w:val="Hyperlink"/>
          </w:rPr>
          <w:t xml:space="preserve"> </w:t>
        </w:r>
        <w:r>
          <w:rPr>
            <w:rStyle w:val="VerbatimChar"/>
          </w:rPr>
          <w:t xml:space="preserve">living_governance_engineering/LIVING_GOVERNANCE_ENGINEERING_MANUSCRIT.pdf</w:t>
        </w:r>
      </w:hyperlink>
    </w:p>
    <w:p>
      <w:pPr>
        <w:pStyle w:val="Compact"/>
        <w:numPr>
          <w:ilvl w:val="0"/>
          <w:numId w:val="1001"/>
        </w:numPr>
      </w:pPr>
      <w:hyperlink r:id="rId31">
        <w:r>
          <w:rPr>
            <w:rStyle w:val="Hyperlink"/>
          </w:rPr>
          <w:t xml:space="preserve">README d’accompagnement —</w:t>
        </w:r>
        <w:r>
          <w:rPr>
            <w:rStyle w:val="Hyperlink"/>
          </w:rPr>
          <w:t xml:space="preserve"> </w:t>
        </w:r>
        <w:r>
          <w:rPr>
            <w:rStyle w:val="VerbatimChar"/>
          </w:rPr>
          <w:t xml:space="preserve">living_governance_engineering/README_ACCOMPAGNEMENT.md</w:t>
        </w:r>
      </w:hyperlink>
    </w:p>
    <w:p>
      <w:pPr>
        <w:pStyle w:val="Compact"/>
        <w:numPr>
          <w:ilvl w:val="0"/>
          <w:numId w:val="1001"/>
        </w:numPr>
      </w:pPr>
      <w:hyperlink r:id="rId32">
        <w:r>
          <w:rPr>
            <w:rStyle w:val="Hyperlink"/>
          </w:rPr>
          <w:t xml:space="preserve">Bundle complet ZIP —</w:t>
        </w:r>
        <w:r>
          <w:rPr>
            <w:rStyle w:val="Hyperlink"/>
          </w:rPr>
          <w:t xml:space="preserve"> </w:t>
        </w:r>
        <w:r>
          <w:rPr>
            <w:rStyle w:val="VerbatimChar"/>
          </w:rPr>
          <w:t xml:space="preserve">living_governance_engineering_bundle.zip</w:t>
        </w:r>
      </w:hyperlink>
    </w:p>
    <w:p>
      <w:pPr>
        <w:pStyle w:val="FirstParagraph"/>
      </w:pPr>
      <w:r>
        <w:t xml:space="preserve">Le bundle contient également les annexes techniques et documentaires demandées :</w:t>
      </w:r>
    </w:p>
    <w:p>
      <w:pPr>
        <w:pStyle w:val="Compact"/>
        <w:numPr>
          <w:ilvl w:val="0"/>
          <w:numId w:val="1002"/>
        </w:numPr>
      </w:pPr>
      <w:r>
        <w:rPr>
          <w:rStyle w:val="VerbatimChar"/>
        </w:rPr>
        <w:t xml:space="preserve">annexes/sql/snowflake_foundation_minimal.sql</w:t>
      </w:r>
    </w:p>
    <w:p>
      <w:pPr>
        <w:pStyle w:val="Compact"/>
        <w:numPr>
          <w:ilvl w:val="0"/>
          <w:numId w:val="1002"/>
        </w:numPr>
      </w:pPr>
      <w:r>
        <w:rPr>
          <w:rStyle w:val="VerbatimChar"/>
        </w:rPr>
        <w:t xml:space="preserve">annexes/tests/test_living_governance_engineering_docs.py</w:t>
      </w:r>
    </w:p>
    <w:p>
      <w:pPr>
        <w:pStyle w:val="Compact"/>
        <w:numPr>
          <w:ilvl w:val="0"/>
          <w:numId w:val="1002"/>
        </w:numPr>
      </w:pPr>
      <w:r>
        <w:rPr>
          <w:rStyle w:val="VerbatimChar"/>
        </w:rPr>
        <w:t xml:space="preserve">annexes/docs/RESOURCE_INDEX_SAMPLE_V1.md</w:t>
      </w:r>
    </w:p>
    <w:p>
      <w:pPr>
        <w:pStyle w:val="Compact"/>
        <w:numPr>
          <w:ilvl w:val="0"/>
          <w:numId w:val="1002"/>
        </w:numPr>
      </w:pPr>
      <w:r>
        <w:rPr>
          <w:rStyle w:val="VerbatimChar"/>
        </w:rPr>
        <w:t xml:space="preserve">annexes/templates/PROJECT_CHARTER_TEMPLATE.md</w:t>
      </w:r>
    </w:p>
    <w:p>
      <w:pPr>
        <w:pStyle w:val="Compact"/>
        <w:numPr>
          <w:ilvl w:val="0"/>
          <w:numId w:val="1002"/>
        </w:numPr>
      </w:pPr>
      <w:r>
        <w:rPr>
          <w:rStyle w:val="VerbatimChar"/>
        </w:rPr>
        <w:t xml:space="preserve">annexes/templates/ROADMAP_TEMPLATE.md</w:t>
      </w:r>
    </w:p>
    <w:p>
      <w:pPr>
        <w:pStyle w:val="Compact"/>
        <w:numPr>
          <w:ilvl w:val="0"/>
          <w:numId w:val="1002"/>
        </w:numPr>
      </w:pPr>
      <w:r>
        <w:rPr>
          <w:rStyle w:val="VerbatimChar"/>
        </w:rPr>
        <w:t xml:space="preserve">annexes/templates/AGENTS_EXCERPT.md</w:t>
      </w:r>
    </w:p>
    <w:bookmarkEnd w:id="33"/>
    <w:bookmarkStart w:id="35" w:name="vérifications-et-hypothèses"/>
    <w:p>
      <w:pPr>
        <w:pStyle w:val="Heading2"/>
      </w:pPr>
      <w:r>
        <w:t xml:space="preserve">Vérifications et hypothèses</w:t>
      </w:r>
    </w:p>
    <w:p>
      <w:pPr>
        <w:pStyle w:val="FirstParagraph"/>
      </w:pPr>
      <w:r>
        <w:t xml:space="preserve">Les trois formats ont été effectivement générés. Le test documentaire fourni avec le bundle a été exécuté localement et passe intégralement. L’échantillon d’index documentaire inclus dépasse largement l’exigence minimale de 120 documents. Le README détaille les hypothèses retenues : public cible non spécifié, budget non spécifié, contexte ivoirien explicitement noté, langue française, et usage des commandes Pandoc/XeLaTeX avec alternative HTML + wkhtmltopdf.</w:t>
      </w:r>
    </w:p>
    <w:p>
      <w:pPr>
        <w:pStyle w:val="BodyText"/>
      </w:pPr>
      <w:r>
        <w:t xml:space="preserve">Sur le plan doctrinal, le manuscrit se présente comme un</w:t>
      </w:r>
      <w:r>
        <w:t xml:space="preserve"> </w:t>
      </w:r>
      <w:r>
        <w:rPr>
          <w:b/>
          <w:bCs/>
        </w:rPr>
        <w:t xml:space="preserve">cadre de conception</w:t>
      </w:r>
      <w:r>
        <w:t xml:space="preserve"> </w:t>
      </w:r>
      <w:r>
        <w:t xml:space="preserve">et non comme un avis juridique opposable. Toute diffusion institutionnelle, tout usage dans une juridiction réelle ou tout déploiement sur données sensibles doivent rester soumis à validation humaine et à revue de conformité, ce qui est pleinement cohérent avec la CEPEJ, le Conseil de l’Europe, le règlement européen sur l’IA et le NIST AI RMF.</w:t>
      </w:r>
      <w:r>
        <w:t xml:space="preserve"> </w:t>
      </w:r>
      <w:hyperlink r:id="rId34">
        <w:r>
          <w:rPr>
            <w:rStyle w:val="Hyperlink"/>
          </w:rPr>
          <w:t xml:space="preserve">[8]</w:t>
        </w:r>
      </w:hyperlink>
    </w:p>
    <w:bookmarkEnd w:id="35"/>
    <w:bookmarkStart w:id="36" w:name="sources-de-référence-mobilisées"/>
    <w:p>
      <w:pPr>
        <w:pStyle w:val="Heading2"/>
      </w:pPr>
      <w:r>
        <w:t xml:space="preserve">Sources de référence mobilisées</w:t>
      </w:r>
    </w:p>
    <w:p>
      <w:pPr>
        <w:pStyle w:val="FirstParagraph"/>
      </w:pPr>
      <w:r>
        <w:t xml:space="preserve">Le corpus mobilisé a été volontairement priorisé vers des</w:t>
      </w:r>
      <w:r>
        <w:t xml:space="preserve"> </w:t>
      </w:r>
      <w:r>
        <w:rPr>
          <w:b/>
          <w:bCs/>
        </w:rPr>
        <w:t xml:space="preserve">sources primaires et officielles</w:t>
      </w:r>
      <w:r>
        <w:t xml:space="preserve">, en français lorsqu’elles étaient disponibles : INFJ, décret ivoirien de 2016, ministère ivoirien de la Justice, ARTCI, CEPEJ et Conseil de l’Europe, règlement européen sur l’IA, NIST, OCDE, documentation officielle Snowflake, Banque mondiale, UNODC, plus les papiers fondateurs de Lewis et al. sur le RAG et de Yao et al. sur ReAct. Cette combinaison permet d’articuler sans conflit un contexte métier local — le greffe et la formation INFJ — avec des exigences internationales de cyberjustice, de gestion des risques IA, de protection des données, de pilotage statistique et de gouvernance des plateformes.</w:t>
      </w:r>
      <w:r>
        <w:t xml:space="preserve"> </w:t>
      </w:r>
      <w:hyperlink r:id="rId21">
        <w:r>
          <w:rPr>
            <w:rStyle w:val="Hyperlink"/>
          </w:rPr>
          <w:t xml:space="preserve">[9]</w:t>
        </w:r>
      </w:hyperlink>
    </w:p>
    <w:bookmarkEnd w:id="36"/>
    <w:bookmarkEnd w:id="37"/>
    <w:bookmarkEnd w:id="38"/>
    <w:p>
      <w:r>
        <w:pict>
          <v:rect style="width:0;height:1.5pt" o:hralign="center" o:hrstd="t" o:hr="t"/>
        </w:pict>
      </w:r>
    </w:p>
    <w:bookmarkStart w:id="3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[9]</w:t>
        </w:r>
      </w:hyperlink>
      <w:r>
        <w:t xml:space="preserve"> </w:t>
      </w:r>
      <w:r>
        <w:t xml:space="preserve">Institut National de Formation Judiciaire</w:t>
      </w:r>
    </w:p>
    <w:p>
      <w:pPr>
        <w:pStyle w:val="BodyText"/>
      </w:pPr>
      <w:hyperlink r:id="rId21">
        <w:r>
          <w:rPr>
            <w:rStyle w:val="Hyperlink"/>
          </w:rPr>
          <w:t xml:space="preserve">https://infj.ci/a-propos.php?utm_source=chatgpt.com</w:t>
        </w:r>
      </w:hyperlink>
    </w:p>
    <w:p>
      <w:pPr>
        <w:pStyle w:val="BodyText"/>
      </w:pPr>
      <w:hyperlink r:id="rId23">
        <w:r>
          <w:rPr>
            <w:rStyle w:val="Hyperlink"/>
          </w:rPr>
          <w:t xml:space="preserve">[3]</w:t>
        </w:r>
      </w:hyperlink>
      <w:r>
        <w:t xml:space="preserve"> </w:t>
      </w:r>
      <w:hyperlink r:id="rId23">
        <w:r>
          <w:rPr>
            <w:rStyle w:val="Hyperlink"/>
          </w:rPr>
          <w:t xml:space="preserve">[5]</w:t>
        </w:r>
      </w:hyperlink>
      <w:r>
        <w:t xml:space="preserve"> </w:t>
      </w:r>
      <w:hyperlink r:id="rId23">
        <w:r>
          <w:rPr>
            <w:rStyle w:val="Hyperlink"/>
          </w:rPr>
          <w:t xml:space="preserve">[7]</w:t>
        </w:r>
      </w:hyperlink>
      <w:r>
        <w:t xml:space="preserve"> </w:t>
      </w:r>
      <w:r>
        <w:t xml:space="preserve">https://edoc.coe.int/fr/module/ec_addformat/download?cle=a3c788c57e423fa9c177544a4d5d1239&amp;k=f5da30cbdb48b90cb63472a0616d87c5</w:t>
      </w:r>
    </w:p>
    <w:p>
      <w:pPr>
        <w:pStyle w:val="BodyText"/>
      </w:pPr>
      <w:hyperlink r:id="rId23">
        <w:r>
          <w:rPr>
            <w:rStyle w:val="Hyperlink"/>
          </w:rPr>
          <w:t xml:space="preserve">https://edoc.coe.int/fr/module/ec_addformat/download?cle=a3c788c57e423fa9c177544a4d5d1239&amp;k=f5da30cbdb48b90cb63472a0616d87c5</w:t>
        </w:r>
      </w:hyperlink>
    </w:p>
    <w:p>
      <w:pPr>
        <w:pStyle w:val="BodyText"/>
      </w:pPr>
      <w:hyperlink r:id="rId24">
        <w:r>
          <w:rPr>
            <w:rStyle w:val="Hyperlink"/>
          </w:rPr>
          <w:t xml:space="preserve">[4]</w:t>
        </w:r>
      </w:hyperlink>
      <w:r>
        <w:t xml:space="preserve"> </w:t>
      </w:r>
      <w:r>
        <w:t xml:space="preserve">https://docs.snowflake.com/en/developer-guide/streamlit/about-streamlit</w:t>
      </w:r>
    </w:p>
    <w:p>
      <w:pPr>
        <w:pStyle w:val="BodyText"/>
      </w:pPr>
      <w:hyperlink r:id="rId24">
        <w:r>
          <w:rPr>
            <w:rStyle w:val="Hyperlink"/>
          </w:rPr>
          <w:t xml:space="preserve">https://docs.snowflake.com/en/developer-guide/streamlit/about-streamlit</w:t>
        </w:r>
      </w:hyperlink>
    </w:p>
    <w:p>
      <w:pPr>
        <w:pStyle w:val="BodyText"/>
      </w:pPr>
      <w:hyperlink r:id="rId26">
        <w:r>
          <w:rPr>
            <w:rStyle w:val="Hyperlink"/>
          </w:rPr>
          <w:t xml:space="preserve">[6]</w:t>
        </w:r>
      </w:hyperlink>
      <w:r>
        <w:t xml:space="preserve"> </w:t>
      </w:r>
      <w:r>
        <w:t xml:space="preserve">administrateur des greffes et parquets (cycle superieur)</w:t>
      </w:r>
    </w:p>
    <w:p>
      <w:pPr>
        <w:pStyle w:val="BodyText"/>
      </w:pPr>
      <w:hyperlink r:id="rId26">
        <w:r>
          <w:rPr>
            <w:rStyle w:val="Hyperlink"/>
          </w:rPr>
          <w:t xml:space="preserve">https://infj.ci/affiche-concours.php?d=CONCOURS+PROFESSIONNELS&amp;f=MATIERES+AUX+CONCOURS&amp;utm_source=chatgpt.com</w:t>
        </w:r>
      </w:hyperlink>
    </w:p>
    <w:p>
      <w:pPr>
        <w:pStyle w:val="BodyText"/>
      </w:pPr>
      <w:hyperlink r:id="rId34">
        <w:r>
          <w:rPr>
            <w:rStyle w:val="Hyperlink"/>
          </w:rPr>
          <w:t xml:space="preserve">[8]</w:t>
        </w:r>
      </w:hyperlink>
      <w:r>
        <w:t xml:space="preserve"> </w:t>
      </w:r>
      <w:r>
        <w:t xml:space="preserve">https://www.coe.int/fr/web/cepej/cepej-european-ethical-charter-on-the-use-of-artificial-intelligence-ai-in-judicial-systems-and-their-environment</w:t>
      </w:r>
    </w:p>
    <w:p>
      <w:pPr>
        <w:pStyle w:val="BodyText"/>
      </w:pPr>
      <w:hyperlink r:id="rId34">
        <w:r>
          <w:rPr>
            <w:rStyle w:val="Hyperlink"/>
          </w:rPr>
          <w:t xml:space="preserve">https://www.coe.int/fr/web/cepej/cepej-european-ethical-charter-on-the-use-of-artificial-intelligence-ai-in-judicial-systems-and-their-environment</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docs.snowflake.com/en/developer-guide/streamlit/about-streamlit" TargetMode="External" /><Relationship Type="http://schemas.openxmlformats.org/officeDocument/2006/relationships/hyperlink" Id="rId23" Target="https://edoc.coe.int/fr/module/ec_addformat/download?cle=a3c788c57e423fa9c177544a4d5d1239&amp;k=f5da30cbdb48b90cb63472a0616d87c5" TargetMode="External" /><Relationship Type="http://schemas.openxmlformats.org/officeDocument/2006/relationships/hyperlink" Id="rId21" Target="https://infj.ci/a-propos.php?utm_source=chatgpt.com" TargetMode="External" /><Relationship Type="http://schemas.openxmlformats.org/officeDocument/2006/relationships/hyperlink" Id="rId26" Target="https://infj.ci/affiche-concours.php?d=CONCOURS+PROFESSIONNELS&amp;f=MATIERES+AUX+CONCOURS&amp;utm_source=chatgpt.com" TargetMode="External" /><Relationship Type="http://schemas.openxmlformats.org/officeDocument/2006/relationships/hyperlink" Id="rId34" Target="https://www.coe.int/fr/web/cepej/cepej-european-ethical-charter-on-the-use-of-artificial-intelligence-ai-in-judicial-systems-and-their-environment" TargetMode="External" /><Relationship Type="http://schemas.openxmlformats.org/officeDocument/2006/relationships/hyperlink" Id="rId29" Target="sandbox:/mnt/data/living_governance_engineering/LIVING_GOVERNANCE_ENGINEERING_MANUSCRIT.docx" TargetMode="External" /><Relationship Type="http://schemas.openxmlformats.org/officeDocument/2006/relationships/hyperlink" Id="rId28" Target="sandbox:/mnt/data/living_governance_engineering/LIVING_GOVERNANCE_ENGINEERING_MANUSCRIT.md" TargetMode="External" /><Relationship Type="http://schemas.openxmlformats.org/officeDocument/2006/relationships/hyperlink" Id="rId30" Target="sandbox:/mnt/data/living_governance_engineering/LIVING_GOVERNANCE_ENGINEERING_MANUSCRIT.pdf" TargetMode="External" /><Relationship Type="http://schemas.openxmlformats.org/officeDocument/2006/relationships/hyperlink" Id="rId31" Target="sandbox:/mnt/data/living_governance_engineering/README_ACCOMPAGNEMENT.md" TargetMode="External" /><Relationship Type="http://schemas.openxmlformats.org/officeDocument/2006/relationships/hyperlink" Id="rId32" Target="sandbox:/mnt/data/living_governance_engineering_bundle.zip" TargetMode="External" /></Relationships>
</file>

<file path=word/_rels/footnotes.xml.rels><?xml version="1.0" encoding="UTF-8"?><Relationships xmlns="http://schemas.openxmlformats.org/package/2006/relationships"><Relationship Type="http://schemas.openxmlformats.org/officeDocument/2006/relationships/hyperlink" Id="rId24" Target="https://docs.snowflake.com/en/developer-guide/streamlit/about-streamlit" TargetMode="External" /><Relationship Type="http://schemas.openxmlformats.org/officeDocument/2006/relationships/hyperlink" Id="rId23" Target="https://edoc.coe.int/fr/module/ec_addformat/download?cle=a3c788c57e423fa9c177544a4d5d1239&amp;k=f5da30cbdb48b90cb63472a0616d87c5" TargetMode="External" /><Relationship Type="http://schemas.openxmlformats.org/officeDocument/2006/relationships/hyperlink" Id="rId21" Target="https://infj.ci/a-propos.php?utm_source=chatgpt.com" TargetMode="External" /><Relationship Type="http://schemas.openxmlformats.org/officeDocument/2006/relationships/hyperlink" Id="rId26" Target="https://infj.ci/affiche-concours.php?d=CONCOURS+PROFESSIONNELS&amp;f=MATIERES+AUX+CONCOURS&amp;utm_source=chatgpt.com" TargetMode="External" /><Relationship Type="http://schemas.openxmlformats.org/officeDocument/2006/relationships/hyperlink" Id="rId34" Target="https://www.coe.int/fr/web/cepej/cepej-european-ethical-charter-on-the-use-of-artificial-intelligence-ai-in-judicial-systems-and-their-environment" TargetMode="External" /><Relationship Type="http://schemas.openxmlformats.org/officeDocument/2006/relationships/hyperlink" Id="rId29" Target="sandbox:/mnt/data/living_governance_engineering/LIVING_GOVERNANCE_ENGINEERING_MANUSCRIT.docx" TargetMode="External" /><Relationship Type="http://schemas.openxmlformats.org/officeDocument/2006/relationships/hyperlink" Id="rId28" Target="sandbox:/mnt/data/living_governance_engineering/LIVING_GOVERNANCE_ENGINEERING_MANUSCRIT.md" TargetMode="External" /><Relationship Type="http://schemas.openxmlformats.org/officeDocument/2006/relationships/hyperlink" Id="rId30" Target="sandbox:/mnt/data/living_governance_engineering/LIVING_GOVERNANCE_ENGINEERING_MANUSCRIT.pdf" TargetMode="External" /><Relationship Type="http://schemas.openxmlformats.org/officeDocument/2006/relationships/hyperlink" Id="rId31" Target="sandbox:/mnt/data/living_governance_engineering/README_ACCOMPAGNEMENT.md" TargetMode="External" /><Relationship Type="http://schemas.openxmlformats.org/officeDocument/2006/relationships/hyperlink" Id="rId32" Target="sandbox:/mnt/data/living_governance_engineering_bundle.z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2026-06-14T20:43:51Z</dcterms:created>
  <dcterms:modified xsi:type="dcterms:W3CDTF">2026-06-14T20:43:51Z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