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ie-xvi"/>
    <w:p>
      <w:pPr>
        <w:pStyle w:val="Heading1"/>
      </w:pPr>
      <w:r>
        <w:t xml:space="preserve">PARTIE XVI</w:t>
      </w:r>
    </w:p>
    <w:bookmarkEnd w:id="20"/>
    <w:bookmarkStart w:id="22" w:name="phase-14-command-center-foundation"/>
    <w:p>
      <w:pPr>
        <w:pStyle w:val="Heading1"/>
      </w:pPr>
      <w:r>
        <w:t xml:space="preserve">PHASE 14 — COMMAND CENTER FOUNDATION</w:t>
      </w:r>
    </w:p>
    <w:bookmarkStart w:id="21" w:name="X47a91037eeca088675ff824c06e3731960e37d7"/>
    <w:p>
      <w:pPr>
        <w:pStyle w:val="Heading2"/>
      </w:pPr>
      <w:r>
        <w:t xml:space="preserve">Transformer les dashboards gouvernés en dispositif de pilotage institutionnel</w:t>
      </w:r>
    </w:p>
    <w:p>
      <w:r>
        <w:pict>
          <v:rect style="width:0;height:1.5pt" o:hralign="center" o:hrstd="t" o:hr="t"/>
        </w:pict>
      </w:r>
    </w:p>
    <w:bookmarkEnd w:id="21"/>
    <w:bookmarkEnd w:id="22"/>
    <w:bookmarkStart w:id="24" w:name="chapitre-177"/>
    <w:p>
      <w:pPr>
        <w:pStyle w:val="Heading1"/>
      </w:pPr>
      <w:r>
        <w:t xml:space="preserve">Chapitre 177</w:t>
      </w:r>
    </w:p>
    <w:bookmarkStart w:id="23" w:name="contexte-de-la-phase-14"/>
    <w:p>
      <w:pPr>
        <w:pStyle w:val="Heading2"/>
      </w:pPr>
      <w:r>
        <w:t xml:space="preserve">Contexte de la Phase 14</w:t>
      </w:r>
    </w:p>
    <w:p>
      <w:pPr>
        <w:pStyle w:val="FirstParagraph"/>
      </w:pPr>
      <w:r>
        <w:t xml:space="preserve">La Phase 13 — Dashboards Foundation a marqué l’entrée de CS GREFFE OS dans la logique du pilotage.</w:t>
      </w:r>
    </w:p>
    <w:p>
      <w:pPr>
        <w:pStyle w:val="BodyText"/>
      </w:pPr>
      <w:r>
        <w:t xml:space="preserve">Après avoir préparé les applications gouvernées en Phase 12, le projet a organisé les dashboards comme objets de gouvernance. Il ne s’agissait pas de produire de simples graphiques, mais de définir des métriques, des indicateurs, des règles de calcul, des sources, des responsabilités humaines, des niveaux d’accès, des alertes, des limites d’interprétation et des exigences de traçabilité.</w:t>
      </w:r>
    </w:p>
    <w:p>
      <w:pPr>
        <w:pStyle w:val="BodyText"/>
      </w:pPr>
      <w:r>
        <w:t xml:space="preserve">La Phase 13 a introduit le principe :</w:t>
      </w:r>
    </w:p>
    <w:p>
      <w:pPr>
        <w:pStyle w:val="BlockText"/>
      </w:pPr>
      <w:r>
        <w:t xml:space="preserve">Governed Metrics before Command Centers.</w:t>
      </w:r>
    </w:p>
    <w:p>
      <w:pPr>
        <w:pStyle w:val="FirstParagraph"/>
      </w:pPr>
      <w:r>
        <w:t xml:space="preserve">Ce principe signifiait qu’un Command Center ne doit jamais être construit sur des métriques fragiles, ambiguës ou non documentées.</w:t>
      </w:r>
    </w:p>
    <w:p>
      <w:pPr>
        <w:pStyle w:val="BodyText"/>
      </w:pPr>
      <w:r>
        <w:t xml:space="preserve">La Phase 13 a également introduit un principe opérationnel complémentaire :</w:t>
      </w:r>
    </w:p>
    <w:p>
      <w:pPr>
        <w:pStyle w:val="BlockText"/>
      </w:pPr>
      <w:r>
        <w:t xml:space="preserve">Cloud-to-Local Continuity before Local Execution.</w:t>
      </w:r>
    </w:p>
    <w:p>
      <w:pPr>
        <w:pStyle w:val="FirstParagraph"/>
      </w:pPr>
      <w:r>
        <w:t xml:space="preserve">Ce principe a permis d’intégrer dans la méthode la continuité entre l’environnement cloud, GitHub et le Mac local, afin d’éviter la perte de dossiers, les divergences d’arborescence et les ruptures de mémoire documentaire.</w:t>
      </w:r>
    </w:p>
    <w:p>
      <w:pPr>
        <w:pStyle w:val="BodyText"/>
      </w:pPr>
      <w:r>
        <w:t xml:space="preserve">À ce stade, CS GREFFE OS dispose donc :</w:t>
      </w:r>
    </w:p>
    <w:p>
      <w:pPr>
        <w:pStyle w:val="Compact"/>
        <w:numPr>
          <w:ilvl w:val="0"/>
          <w:numId w:val="1001"/>
        </w:numPr>
      </w:pPr>
      <w:r>
        <w:t xml:space="preserve">d’une fondation intellectuelle ;</w:t>
      </w:r>
    </w:p>
    <w:p>
      <w:pPr>
        <w:pStyle w:val="Compact"/>
        <w:numPr>
          <w:ilvl w:val="0"/>
          <w:numId w:val="1001"/>
        </w:numPr>
      </w:pPr>
      <w:r>
        <w:t xml:space="preserve">d’une mémoire vivante ;</w:t>
      </w:r>
    </w:p>
    <w:p>
      <w:pPr>
        <w:pStyle w:val="Compact"/>
        <w:numPr>
          <w:ilvl w:val="0"/>
          <w:numId w:val="1001"/>
        </w:numPr>
      </w:pPr>
      <w:r>
        <w:t xml:space="preserve">d’une architecture documentaire ;</w:t>
      </w:r>
    </w:p>
    <w:p>
      <w:pPr>
        <w:pStyle w:val="Compact"/>
        <w:numPr>
          <w:ilvl w:val="0"/>
          <w:numId w:val="1001"/>
        </w:numPr>
      </w:pPr>
      <w:r>
        <w:t xml:space="preserve">d’une gouvernance des connaissances ;</w:t>
      </w:r>
    </w:p>
    <w:p>
      <w:pPr>
        <w:pStyle w:val="Compact"/>
        <w:numPr>
          <w:ilvl w:val="0"/>
          <w:numId w:val="1001"/>
        </w:numPr>
      </w:pPr>
      <w:r>
        <w:t xml:space="preserve">d’un Justice Data Governance Office ;</w:t>
      </w:r>
    </w:p>
    <w:p>
      <w:pPr>
        <w:pStyle w:val="Compact"/>
        <w:numPr>
          <w:ilvl w:val="0"/>
          <w:numId w:val="1001"/>
        </w:numPr>
      </w:pPr>
      <w:r>
        <w:t xml:space="preserve">d’une plateforme de données gouvernées ;</w:t>
      </w:r>
    </w:p>
    <w:p>
      <w:pPr>
        <w:pStyle w:val="Compact"/>
        <w:numPr>
          <w:ilvl w:val="0"/>
          <w:numId w:val="1001"/>
        </w:numPr>
      </w:pPr>
      <w:r>
        <w:t xml:space="preserve">d’une couche sémantique Snowflake ;</w:t>
      </w:r>
    </w:p>
    <w:p>
      <w:pPr>
        <w:pStyle w:val="Compact"/>
        <w:numPr>
          <w:ilvl w:val="0"/>
          <w:numId w:val="1001"/>
        </w:numPr>
      </w:pPr>
      <w:r>
        <w:t xml:space="preserve">d’une fondation RAG ;</w:t>
      </w:r>
    </w:p>
    <w:p>
      <w:pPr>
        <w:pStyle w:val="Compact"/>
        <w:numPr>
          <w:ilvl w:val="0"/>
          <w:numId w:val="1001"/>
        </w:numPr>
      </w:pPr>
      <w:r>
        <w:t xml:space="preserve">d’une fondation multi-agent ;</w:t>
      </w:r>
    </w:p>
    <w:p>
      <w:pPr>
        <w:pStyle w:val="Compact"/>
        <w:numPr>
          <w:ilvl w:val="0"/>
          <w:numId w:val="1001"/>
        </w:numPr>
      </w:pPr>
      <w:r>
        <w:t xml:space="preserve">d’une gouvernance IA ;</w:t>
      </w:r>
    </w:p>
    <w:p>
      <w:pPr>
        <w:pStyle w:val="Compact"/>
        <w:numPr>
          <w:ilvl w:val="0"/>
          <w:numId w:val="1001"/>
        </w:numPr>
      </w:pPr>
      <w:r>
        <w:t xml:space="preserve">d’une fondation LLMOps ;</w:t>
      </w:r>
    </w:p>
    <w:p>
      <w:pPr>
        <w:pStyle w:val="Compact"/>
        <w:numPr>
          <w:ilvl w:val="0"/>
          <w:numId w:val="1001"/>
        </w:numPr>
      </w:pPr>
      <w:r>
        <w:t xml:space="preserve">de modules métier ;</w:t>
      </w:r>
    </w:p>
    <w:p>
      <w:pPr>
        <w:pStyle w:val="Compact"/>
        <w:numPr>
          <w:ilvl w:val="0"/>
          <w:numId w:val="1001"/>
        </w:numPr>
      </w:pPr>
      <w:r>
        <w:t xml:space="preserve">de fondations applicatives ;</w:t>
      </w:r>
    </w:p>
    <w:p>
      <w:pPr>
        <w:pStyle w:val="Compact"/>
        <w:numPr>
          <w:ilvl w:val="0"/>
          <w:numId w:val="1001"/>
        </w:numPr>
      </w:pPr>
      <w:r>
        <w:t xml:space="preserve">de dashboards gouvernés.</w:t>
      </w:r>
    </w:p>
    <w:p>
      <w:pPr>
        <w:pStyle w:val="FirstParagraph"/>
      </w:pPr>
      <w:r>
        <w:t xml:space="preserve">Il devient alors possible de préparer le Command Center.</w:t>
      </w:r>
    </w:p>
    <w:p>
      <w:pPr>
        <w:pStyle w:val="BodyText"/>
      </w:pPr>
      <w:r>
        <w:t xml:space="preserve">Mais cette étape exige une prudence particulière.</w:t>
      </w:r>
    </w:p>
    <w:p>
      <w:pPr>
        <w:pStyle w:val="BodyText"/>
      </w:pPr>
      <w:r>
        <w:t xml:space="preserve">Un Command Center n’est pas seulement une salle de contrôle.</w:t>
      </w:r>
    </w:p>
    <w:p>
      <w:pPr>
        <w:pStyle w:val="BodyText"/>
      </w:pPr>
      <w:r>
        <w:t xml:space="preserve">Ce n’est pas seulement un écran central.</w:t>
      </w:r>
    </w:p>
    <w:p>
      <w:pPr>
        <w:pStyle w:val="BodyText"/>
      </w:pPr>
      <w:r>
        <w:t xml:space="preserve">Ce n’est pas seulement une agrégation de dashboards.</w:t>
      </w:r>
    </w:p>
    <w:p>
      <w:pPr>
        <w:pStyle w:val="BodyText"/>
      </w:pPr>
      <w:r>
        <w:t xml:space="preserve">Dans Living Governance Engineering, un Command Center est un dispositif de pilotage institutionnel gouverné.</w:t>
      </w:r>
    </w:p>
    <w:p>
      <w:pPr>
        <w:pStyle w:val="BodyText"/>
      </w:pPr>
      <w:r>
        <w:t xml:space="preserve">Il relie les données, les métriques, les dashboards, les risques, les alertes, les responsabilités humaines, les arbitrages, les décisions, la mémoire et la continuité institutionnelle.</w:t>
      </w:r>
    </w:p>
    <w:p>
      <w:pPr>
        <w:pStyle w:val="BodyText"/>
      </w:pPr>
      <w:r>
        <w:t xml:space="preserve">C’est cette exigence qui donne naissance à la Phase 14 :</w:t>
      </w:r>
    </w:p>
    <w:bookmarkEnd w:id="23"/>
    <w:bookmarkEnd w:id="24"/>
    <w:bookmarkStart w:id="25" w:name="command-center-foundation."/>
    <w:p>
      <w:pPr>
        <w:pStyle w:val="Heading1"/>
      </w:pPr>
      <w:r>
        <w:t xml:space="preserve">Command Center Foundation.</w:t>
      </w:r>
    </w:p>
    <w:p>
      <w:r>
        <w:pict>
          <v:rect style="width:0;height:1.5pt" o:hralign="center" o:hrstd="t" o:hr="t"/>
        </w:pict>
      </w:r>
    </w:p>
    <w:bookmarkEnd w:id="25"/>
    <w:bookmarkStart w:id="27" w:name="chapitre-178"/>
    <w:p>
      <w:pPr>
        <w:pStyle w:val="Heading1"/>
      </w:pPr>
      <w:r>
        <w:t xml:space="preserve">Chapitre 178</w:t>
      </w:r>
    </w:p>
    <w:bookmarkStart w:id="26" w:name="X32bb6f8f93b2e12a834e8bbbc2f4e896ff03f33"/>
    <w:p>
      <w:pPr>
        <w:pStyle w:val="Heading2"/>
      </w:pPr>
      <w:r>
        <w:t xml:space="preserve">Pourquoi la Phase 14 intervient maintenant</w:t>
      </w:r>
    </w:p>
    <w:p>
      <w:pPr>
        <w:pStyle w:val="FirstParagraph"/>
      </w:pPr>
      <w:r>
        <w:t xml:space="preserve">La Phase 14 ne pouvait pas intervenir avant la Phase 13.</w:t>
      </w:r>
    </w:p>
    <w:p>
      <w:pPr>
        <w:pStyle w:val="BodyText"/>
      </w:pPr>
      <w:r>
        <w:t xml:space="preserve">Il aurait été dangereux de préparer un Command Center avant d’avoir défini les dashboards, les indicateurs et les métriques gouvernées.</w:t>
      </w:r>
    </w:p>
    <w:p>
      <w:pPr>
        <w:pStyle w:val="BodyText"/>
      </w:pPr>
      <w:r>
        <w:t xml:space="preserve">Un Command Center construit trop tôt risque de devenir un espace de visibilité sans maîtrise.</w:t>
      </w:r>
    </w:p>
    <w:p>
      <w:pPr>
        <w:pStyle w:val="BodyText"/>
      </w:pPr>
      <w:r>
        <w:t xml:space="preserve">Il peut centraliser des informations non validées.</w:t>
      </w:r>
    </w:p>
    <w:p>
      <w:pPr>
        <w:pStyle w:val="BodyText"/>
      </w:pPr>
      <w:r>
        <w:t xml:space="preserve">Il peut afficher des alertes sans seuils gouvernés.</w:t>
      </w:r>
    </w:p>
    <w:p>
      <w:pPr>
        <w:pStyle w:val="BodyText"/>
      </w:pPr>
      <w:r>
        <w:t xml:space="preserve">Il peut donner une impression de pilotage stratégique alors que les données sources ne sont pas fiables.</w:t>
      </w:r>
    </w:p>
    <w:p>
      <w:pPr>
        <w:pStyle w:val="BodyText"/>
      </w:pPr>
      <w:r>
        <w:t xml:space="preserve">Il peut produire une concentration de pouvoir sans responsabilité clairement définie.</w:t>
      </w:r>
    </w:p>
    <w:p>
      <w:pPr>
        <w:pStyle w:val="BodyText"/>
      </w:pPr>
      <w:r>
        <w:t xml:space="preserve">Il peut transformer des tableaux de bord en instruments de décision automatique.</w:t>
      </w:r>
    </w:p>
    <w:p>
      <w:pPr>
        <w:pStyle w:val="BodyText"/>
      </w:pPr>
      <w:r>
        <w:t xml:space="preserve">La Phase 14 intervient donc seulement après que les couches nécessaires ont été préparées.</w:t>
      </w:r>
    </w:p>
    <w:p>
      <w:pPr>
        <w:pStyle w:val="BodyText"/>
      </w:pPr>
      <w:r>
        <w:t xml:space="preserve">Elle arrive après les applications.</w:t>
      </w:r>
    </w:p>
    <w:p>
      <w:pPr>
        <w:pStyle w:val="BodyText"/>
      </w:pPr>
      <w:r>
        <w:t xml:space="preserve">Elle arrive après les dashboards.</w:t>
      </w:r>
    </w:p>
    <w:p>
      <w:pPr>
        <w:pStyle w:val="BodyText"/>
      </w:pPr>
      <w:r>
        <w:t xml:space="preserve">Elle arrive après les métriques gouvernées.</w:t>
      </w:r>
    </w:p>
    <w:p>
      <w:pPr>
        <w:pStyle w:val="BodyText"/>
      </w:pPr>
      <w:r>
        <w:t xml:space="preserve">Elle arrive après la clarification de la continuité cloud-local.</w:t>
      </w:r>
    </w:p>
    <w:p>
      <w:pPr>
        <w:pStyle w:val="BodyText"/>
      </w:pPr>
      <w:r>
        <w:t xml:space="preserve">Elle ne crée pas encore le Command Center opérationnel final.</w:t>
      </w:r>
    </w:p>
    <w:p>
      <w:pPr>
        <w:pStyle w:val="BodyText"/>
      </w:pPr>
      <w:r>
        <w:t xml:space="preserve">Elle en pose les fondations conceptuelles, documentaires, organisationnelles et éthiques.</w:t>
      </w:r>
    </w:p>
    <w:p>
      <w:r>
        <w:pict>
          <v:rect style="width:0;height:1.5pt" o:hralign="center" o:hrstd="t" o:hr="t"/>
        </w:pict>
      </w:r>
    </w:p>
    <w:bookmarkEnd w:id="26"/>
    <w:bookmarkEnd w:id="27"/>
    <w:bookmarkStart w:id="29" w:name="chapitre-179"/>
    <w:p>
      <w:pPr>
        <w:pStyle w:val="Heading1"/>
      </w:pPr>
      <w:r>
        <w:t xml:space="preserve">Chapitre 179</w:t>
      </w:r>
    </w:p>
    <w:bookmarkStart w:id="28" w:name="X4531309499215676b4f97c95a7581afcc23ed56"/>
    <w:p>
      <w:pPr>
        <w:pStyle w:val="Heading2"/>
      </w:pPr>
      <w:r>
        <w:t xml:space="preserve">Le problème spécifique résolu par la Phase 14</w:t>
      </w:r>
    </w:p>
    <w:p>
      <w:pPr>
        <w:pStyle w:val="FirstParagraph"/>
      </w:pPr>
      <w:r>
        <w:t xml:space="preserve">Le problème central de la Phase 14 est celui de la coordination institutionnelle.</w:t>
      </w:r>
    </w:p>
    <w:p>
      <w:pPr>
        <w:pStyle w:val="BodyText"/>
      </w:pPr>
      <w:r>
        <w:t xml:space="preserve">Une fois les dashboards préparés, une nouvelle question apparaît :</w:t>
      </w:r>
    </w:p>
    <w:p>
      <w:pPr>
        <w:pStyle w:val="BodyText"/>
      </w:pPr>
      <w:r>
        <w:t xml:space="preserve">Comment organiser le pilotage d’ensemble ?</w:t>
      </w:r>
    </w:p>
    <w:p>
      <w:pPr>
        <w:pStyle w:val="BodyText"/>
      </w:pPr>
      <w:r>
        <w:t xml:space="preserve">Comment relier les indicateurs aux décisions ?</w:t>
      </w:r>
    </w:p>
    <w:p>
      <w:pPr>
        <w:pStyle w:val="BodyText"/>
      </w:pPr>
      <w:r>
        <w:t xml:space="preserve">Comment suivre les risques ?</w:t>
      </w:r>
    </w:p>
    <w:p>
      <w:pPr>
        <w:pStyle w:val="BodyText"/>
      </w:pPr>
      <w:r>
        <w:t xml:space="preserve">Comment hiérarchiser les alertes ?</w:t>
      </w:r>
    </w:p>
    <w:p>
      <w:pPr>
        <w:pStyle w:val="BodyText"/>
      </w:pPr>
      <w:r>
        <w:t xml:space="preserve">Comment éviter qu’une information visible soit interprétée comme une décision automatique ?</w:t>
      </w:r>
    </w:p>
    <w:p>
      <w:pPr>
        <w:pStyle w:val="BodyText"/>
      </w:pPr>
      <w:r>
        <w:t xml:space="preserve">Comment garantir que le Command Center reste un instrument d’aide à la décision humaine, et non un mécanisme de substitution à l’autorité institutionnelle ?</w:t>
      </w:r>
    </w:p>
    <w:p>
      <w:pPr>
        <w:pStyle w:val="BodyText"/>
      </w:pPr>
      <w:r>
        <w:t xml:space="preserve">La Phase 14 répond à ce problème en posant le Command Center comme un dispositif de gouvernance.</w:t>
      </w:r>
    </w:p>
    <w:p>
      <w:pPr>
        <w:pStyle w:val="BodyText"/>
      </w:pPr>
      <w:r>
        <w:t xml:space="preserve">Il ne s’agit pas seulement de voir.</w:t>
      </w:r>
    </w:p>
    <w:p>
      <w:pPr>
        <w:pStyle w:val="BodyText"/>
      </w:pPr>
      <w:r>
        <w:t xml:space="preserve">Il s’agit de comprendre, coordonner, prioriser, documenter, alerter, arbitrer et suivre.</w:t>
      </w:r>
    </w:p>
    <w:p>
      <w:pPr>
        <w:pStyle w:val="BodyText"/>
      </w:pPr>
      <w:r>
        <w:t xml:space="preserve">Le Command Center doit transformer les dashboards gouvernés en capacité institutionnelle de pilotage.</w:t>
      </w:r>
    </w:p>
    <w:p>
      <w:pPr>
        <w:pStyle w:val="BodyText"/>
      </w:pPr>
      <w:r>
        <w:t xml:space="preserve">Mais il doit le faire sans effacer la responsabilité humaine.</w:t>
      </w:r>
    </w:p>
    <w:p>
      <w:r>
        <w:pict>
          <v:rect style="width:0;height:1.5pt" o:hralign="center" o:hrstd="t" o:hr="t"/>
        </w:pict>
      </w:r>
    </w:p>
    <w:bookmarkEnd w:id="28"/>
    <w:bookmarkEnd w:id="29"/>
    <w:bookmarkStart w:id="31" w:name="chapitre-180"/>
    <w:p>
      <w:pPr>
        <w:pStyle w:val="Heading1"/>
      </w:pPr>
      <w:r>
        <w:t xml:space="preserve">Chapitre 180</w:t>
      </w:r>
    </w:p>
    <w:bookmarkStart w:id="30" w:name="le-principe-directeur-de-la-phase-14"/>
    <w:p>
      <w:pPr>
        <w:pStyle w:val="Heading2"/>
      </w:pPr>
      <w:r>
        <w:t xml:space="preserve">Le principe directeur de la Phase 14</w:t>
      </w:r>
    </w:p>
    <w:p>
      <w:pPr>
        <w:pStyle w:val="FirstParagraph"/>
      </w:pPr>
      <w:r>
        <w:t xml:space="preserve">La Phase 14 introduit un nouveau principe de Living Governance Engineering :</w:t>
      </w:r>
    </w:p>
    <w:p>
      <w:pPr>
        <w:pStyle w:val="BlockText"/>
      </w:pPr>
      <w:r>
        <w:t xml:space="preserve">Governed Command Centers before Institutional Decision Support.</w:t>
      </w:r>
    </w:p>
    <w:p>
      <w:pPr>
        <w:pStyle w:val="FirstParagraph"/>
      </w:pPr>
      <w:r>
        <w:t xml:space="preserve">Autrement dit :</w:t>
      </w:r>
    </w:p>
    <w:p>
      <w:pPr>
        <w:pStyle w:val="BlockText"/>
      </w:pPr>
      <w:r>
        <w:t xml:space="preserve">Les Command Centers gouvernés doivent précéder l’aide institutionnelle à la décision.</w:t>
      </w:r>
    </w:p>
    <w:p>
      <w:pPr>
        <w:pStyle w:val="FirstParagraph"/>
      </w:pPr>
      <w:r>
        <w:t xml:space="preserve">Ce principe affirme qu’un Command Center ne doit pas être conçu d’abord comme un outil de décision.</w:t>
      </w:r>
    </w:p>
    <w:p>
      <w:pPr>
        <w:pStyle w:val="BodyText"/>
      </w:pPr>
      <w:r>
        <w:t xml:space="preserve">Il doit d’abord être conçu comme un cadre de gouvernance.</w:t>
      </w:r>
    </w:p>
    <w:p>
      <w:pPr>
        <w:pStyle w:val="BodyText"/>
      </w:pPr>
      <w:r>
        <w:t xml:space="preserve">Avant de soutenir des décisions institutionnelles, il doit définir :</w:t>
      </w:r>
    </w:p>
    <w:p>
      <w:pPr>
        <w:pStyle w:val="Compact"/>
        <w:numPr>
          <w:ilvl w:val="0"/>
          <w:numId w:val="1002"/>
        </w:numPr>
      </w:pPr>
      <w:r>
        <w:t xml:space="preserve">ses finalités ;</w:t>
      </w:r>
    </w:p>
    <w:p>
      <w:pPr>
        <w:pStyle w:val="Compact"/>
        <w:numPr>
          <w:ilvl w:val="0"/>
          <w:numId w:val="1002"/>
        </w:numPr>
      </w:pPr>
      <w:r>
        <w:t xml:space="preserve">ses périmètres ;</w:t>
      </w:r>
    </w:p>
    <w:p>
      <w:pPr>
        <w:pStyle w:val="Compact"/>
        <w:numPr>
          <w:ilvl w:val="0"/>
          <w:numId w:val="1002"/>
        </w:numPr>
      </w:pPr>
      <w:r>
        <w:t xml:space="preserve">ses utilisateurs ;</w:t>
      </w:r>
    </w:p>
    <w:p>
      <w:pPr>
        <w:pStyle w:val="Compact"/>
        <w:numPr>
          <w:ilvl w:val="0"/>
          <w:numId w:val="1002"/>
        </w:numPr>
      </w:pPr>
      <w:r>
        <w:t xml:space="preserve">ses droits d’accès ;</w:t>
      </w:r>
    </w:p>
    <w:p>
      <w:pPr>
        <w:pStyle w:val="Compact"/>
        <w:numPr>
          <w:ilvl w:val="0"/>
          <w:numId w:val="1002"/>
        </w:numPr>
      </w:pPr>
      <w:r>
        <w:t xml:space="preserve">ses dashboards sources ;</w:t>
      </w:r>
    </w:p>
    <w:p>
      <w:pPr>
        <w:pStyle w:val="Compact"/>
        <w:numPr>
          <w:ilvl w:val="0"/>
          <w:numId w:val="1002"/>
        </w:numPr>
      </w:pPr>
      <w:r>
        <w:t xml:space="preserve">ses métriques ;</w:t>
      </w:r>
    </w:p>
    <w:p>
      <w:pPr>
        <w:pStyle w:val="Compact"/>
        <w:numPr>
          <w:ilvl w:val="0"/>
          <w:numId w:val="1002"/>
        </w:numPr>
      </w:pPr>
      <w:r>
        <w:t xml:space="preserve">ses alertes ;</w:t>
      </w:r>
    </w:p>
    <w:p>
      <w:pPr>
        <w:pStyle w:val="Compact"/>
        <w:numPr>
          <w:ilvl w:val="0"/>
          <w:numId w:val="1002"/>
        </w:numPr>
      </w:pPr>
      <w:r>
        <w:t xml:space="preserve">ses seuils ;</w:t>
      </w:r>
    </w:p>
    <w:p>
      <w:pPr>
        <w:pStyle w:val="Compact"/>
        <w:numPr>
          <w:ilvl w:val="0"/>
          <w:numId w:val="1002"/>
        </w:numPr>
      </w:pPr>
      <w:r>
        <w:t xml:space="preserve">ses responsabilités humaines ;</w:t>
      </w:r>
    </w:p>
    <w:p>
      <w:pPr>
        <w:pStyle w:val="Compact"/>
        <w:numPr>
          <w:ilvl w:val="0"/>
          <w:numId w:val="1002"/>
        </w:numPr>
      </w:pPr>
      <w:r>
        <w:t xml:space="preserve">ses limites d’interprétation ;</w:t>
      </w:r>
    </w:p>
    <w:p>
      <w:pPr>
        <w:pStyle w:val="Compact"/>
        <w:numPr>
          <w:ilvl w:val="0"/>
          <w:numId w:val="1002"/>
        </w:numPr>
      </w:pPr>
      <w:r>
        <w:t xml:space="preserve">ses procédures d’escalade ;</w:t>
      </w:r>
    </w:p>
    <w:p>
      <w:pPr>
        <w:pStyle w:val="Compact"/>
        <w:numPr>
          <w:ilvl w:val="0"/>
          <w:numId w:val="1002"/>
        </w:numPr>
      </w:pPr>
      <w:r>
        <w:t xml:space="preserve">ses règles de traçabilité ;</w:t>
      </w:r>
    </w:p>
    <w:p>
      <w:pPr>
        <w:pStyle w:val="Compact"/>
        <w:numPr>
          <w:ilvl w:val="0"/>
          <w:numId w:val="1002"/>
        </w:numPr>
      </w:pPr>
      <w:r>
        <w:t xml:space="preserve">ses conditions de validation ;</w:t>
      </w:r>
    </w:p>
    <w:p>
      <w:pPr>
        <w:pStyle w:val="Compact"/>
        <w:numPr>
          <w:ilvl w:val="0"/>
          <w:numId w:val="1002"/>
        </w:numPr>
      </w:pPr>
      <w:r>
        <w:t xml:space="preserve">ses règles de continuité.</w:t>
      </w:r>
    </w:p>
    <w:p>
      <w:pPr>
        <w:pStyle w:val="FirstParagraph"/>
      </w:pPr>
      <w:r>
        <w:t xml:space="preserve">La Phase 14 affirme ainsi que l’aide à la décision ne doit jamais précéder la gouvernance du dispositif qui la porte.</w:t>
      </w:r>
    </w:p>
    <w:p>
      <w:r>
        <w:pict>
          <v:rect style="width:0;height:1.5pt" o:hralign="center" o:hrstd="t" o:hr="t"/>
        </w:pict>
      </w:r>
    </w:p>
    <w:bookmarkEnd w:id="30"/>
    <w:bookmarkEnd w:id="31"/>
    <w:bookmarkStart w:id="33" w:name="chapitre-181"/>
    <w:p>
      <w:pPr>
        <w:pStyle w:val="Heading1"/>
      </w:pPr>
      <w:r>
        <w:t xml:space="preserve">Chapitre 181</w:t>
      </w:r>
    </w:p>
    <w:bookmarkStart w:id="32" w:name="les-objectifs-de-la-phase-14"/>
    <w:p>
      <w:pPr>
        <w:pStyle w:val="Heading2"/>
      </w:pPr>
      <w:r>
        <w:t xml:space="preserve">Les objectifs de la Phase 14</w:t>
      </w:r>
    </w:p>
    <w:p>
      <w:pPr>
        <w:pStyle w:val="FirstParagraph"/>
      </w:pPr>
      <w:r>
        <w:t xml:space="preserve">La Phase 14 vise à construire la couche documentaire et conceptuelle du Command Center de CS GREFFE OS.</w:t>
      </w:r>
    </w:p>
    <w:p>
      <w:pPr>
        <w:pStyle w:val="BodyText"/>
      </w:pPr>
      <w:r>
        <w:t xml:space="preserve">Elle doit préparer :</w:t>
      </w:r>
    </w:p>
    <w:p>
      <w:pPr>
        <w:pStyle w:val="Compact"/>
        <w:numPr>
          <w:ilvl w:val="0"/>
          <w:numId w:val="1003"/>
        </w:numPr>
      </w:pPr>
      <w:r>
        <w:t xml:space="preserve">le modèle conceptuel du Command Center ;</w:t>
      </w:r>
    </w:p>
    <w:p>
      <w:pPr>
        <w:pStyle w:val="Compact"/>
        <w:numPr>
          <w:ilvl w:val="0"/>
          <w:numId w:val="1003"/>
        </w:numPr>
      </w:pPr>
      <w:r>
        <w:t xml:space="preserve">ses missions ;</w:t>
      </w:r>
    </w:p>
    <w:p>
      <w:pPr>
        <w:pStyle w:val="Compact"/>
        <w:numPr>
          <w:ilvl w:val="0"/>
          <w:numId w:val="1003"/>
        </w:numPr>
      </w:pPr>
      <w:r>
        <w:t xml:space="preserve">ses niveaux de pilotage ;</w:t>
      </w:r>
    </w:p>
    <w:p>
      <w:pPr>
        <w:pStyle w:val="Compact"/>
        <w:numPr>
          <w:ilvl w:val="0"/>
          <w:numId w:val="1003"/>
        </w:numPr>
      </w:pPr>
      <w:r>
        <w:t xml:space="preserve">ses utilisateurs ;</w:t>
      </w:r>
    </w:p>
    <w:p>
      <w:pPr>
        <w:pStyle w:val="Compact"/>
        <w:numPr>
          <w:ilvl w:val="0"/>
          <w:numId w:val="1003"/>
        </w:numPr>
      </w:pPr>
      <w:r>
        <w:t xml:space="preserve">ses rôles ;</w:t>
      </w:r>
    </w:p>
    <w:p>
      <w:pPr>
        <w:pStyle w:val="Compact"/>
        <w:numPr>
          <w:ilvl w:val="0"/>
          <w:numId w:val="1003"/>
        </w:numPr>
      </w:pPr>
      <w:r>
        <w:t xml:space="preserve">ses responsabilités humaines ;</w:t>
      </w:r>
    </w:p>
    <w:p>
      <w:pPr>
        <w:pStyle w:val="Compact"/>
        <w:numPr>
          <w:ilvl w:val="0"/>
          <w:numId w:val="1003"/>
        </w:numPr>
      </w:pPr>
      <w:r>
        <w:t xml:space="preserve">ses liens avec les dashboards ;</w:t>
      </w:r>
    </w:p>
    <w:p>
      <w:pPr>
        <w:pStyle w:val="Compact"/>
        <w:numPr>
          <w:ilvl w:val="0"/>
          <w:numId w:val="1003"/>
        </w:numPr>
      </w:pPr>
      <w:r>
        <w:t xml:space="preserve">ses liens avec les applications ;</w:t>
      </w:r>
    </w:p>
    <w:p>
      <w:pPr>
        <w:pStyle w:val="Compact"/>
        <w:numPr>
          <w:ilvl w:val="0"/>
          <w:numId w:val="1003"/>
        </w:numPr>
      </w:pPr>
      <w:r>
        <w:t xml:space="preserve">ses liens avec les modules métier ;</w:t>
      </w:r>
    </w:p>
    <w:p>
      <w:pPr>
        <w:pStyle w:val="Compact"/>
        <w:numPr>
          <w:ilvl w:val="0"/>
          <w:numId w:val="1003"/>
        </w:numPr>
      </w:pPr>
      <w:r>
        <w:t xml:space="preserve">ses liens avec JDGO ;</w:t>
      </w:r>
    </w:p>
    <w:p>
      <w:pPr>
        <w:pStyle w:val="Compact"/>
        <w:numPr>
          <w:ilvl w:val="0"/>
          <w:numId w:val="1003"/>
        </w:numPr>
      </w:pPr>
      <w:r>
        <w:t xml:space="preserve">ses liens avec AI Governance ;</w:t>
      </w:r>
    </w:p>
    <w:p>
      <w:pPr>
        <w:pStyle w:val="Compact"/>
        <w:numPr>
          <w:ilvl w:val="0"/>
          <w:numId w:val="1003"/>
        </w:numPr>
      </w:pPr>
      <w:r>
        <w:t xml:space="preserve">ses liens avec LLMOps ;</w:t>
      </w:r>
    </w:p>
    <w:p>
      <w:pPr>
        <w:pStyle w:val="Compact"/>
        <w:numPr>
          <w:ilvl w:val="0"/>
          <w:numId w:val="1003"/>
        </w:numPr>
      </w:pPr>
      <w:r>
        <w:t xml:space="preserve">ses mécanismes d’alerte ;</w:t>
      </w:r>
    </w:p>
    <w:p>
      <w:pPr>
        <w:pStyle w:val="Compact"/>
        <w:numPr>
          <w:ilvl w:val="0"/>
          <w:numId w:val="1003"/>
        </w:numPr>
      </w:pPr>
      <w:r>
        <w:t xml:space="preserve">ses règles d’escalade ;</w:t>
      </w:r>
    </w:p>
    <w:p>
      <w:pPr>
        <w:pStyle w:val="Compact"/>
        <w:numPr>
          <w:ilvl w:val="0"/>
          <w:numId w:val="1003"/>
        </w:numPr>
      </w:pPr>
      <w:r>
        <w:t xml:space="preserve">ses mécanismes de suivi des décisions ;</w:t>
      </w:r>
    </w:p>
    <w:p>
      <w:pPr>
        <w:pStyle w:val="Compact"/>
        <w:numPr>
          <w:ilvl w:val="0"/>
          <w:numId w:val="1003"/>
        </w:numPr>
      </w:pPr>
      <w:r>
        <w:t xml:space="preserve">ses limites ;</w:t>
      </w:r>
    </w:p>
    <w:p>
      <w:pPr>
        <w:pStyle w:val="Compact"/>
        <w:numPr>
          <w:ilvl w:val="0"/>
          <w:numId w:val="1003"/>
        </w:numPr>
      </w:pPr>
      <w:r>
        <w:t xml:space="preserve">ses risques ;</w:t>
      </w:r>
    </w:p>
    <w:p>
      <w:pPr>
        <w:pStyle w:val="Compact"/>
        <w:numPr>
          <w:ilvl w:val="0"/>
          <w:numId w:val="1003"/>
        </w:numPr>
      </w:pPr>
      <w:r>
        <w:t xml:space="preserve">ses règles de sécurité ;</w:t>
      </w:r>
    </w:p>
    <w:p>
      <w:pPr>
        <w:pStyle w:val="Compact"/>
        <w:numPr>
          <w:ilvl w:val="0"/>
          <w:numId w:val="1003"/>
        </w:numPr>
      </w:pPr>
      <w:r>
        <w:t xml:space="preserve">ses règles de traçabilité ;</w:t>
      </w:r>
    </w:p>
    <w:p>
      <w:pPr>
        <w:pStyle w:val="Compact"/>
        <w:numPr>
          <w:ilvl w:val="0"/>
          <w:numId w:val="1003"/>
        </w:numPr>
      </w:pPr>
      <w:r>
        <w:t xml:space="preserve">son modèle de maturité ;</w:t>
      </w:r>
    </w:p>
    <w:p>
      <w:pPr>
        <w:pStyle w:val="Compact"/>
        <w:numPr>
          <w:ilvl w:val="0"/>
          <w:numId w:val="1003"/>
        </w:numPr>
      </w:pPr>
      <w:r>
        <w:t xml:space="preserve">la préparation de la Phase 15.</w:t>
      </w:r>
    </w:p>
    <w:p>
      <w:pPr>
        <w:pStyle w:val="FirstParagraph"/>
      </w:pPr>
      <w:r>
        <w:t xml:space="preserve">La Phase 14 ne développe pas encore le Command Center final.</w:t>
      </w:r>
    </w:p>
    <w:p>
      <w:pPr>
        <w:pStyle w:val="BodyText"/>
      </w:pPr>
      <w:r>
        <w:t xml:space="preserve">Elle ne crée pas encore une interface opérationnelle.</w:t>
      </w:r>
    </w:p>
    <w:p>
      <w:pPr>
        <w:pStyle w:val="BodyText"/>
      </w:pPr>
      <w:r>
        <w:t xml:space="preserve">Elle ne centralise pas encore de données réelles sensibles.</w:t>
      </w:r>
    </w:p>
    <w:p>
      <w:pPr>
        <w:pStyle w:val="BodyText"/>
      </w:pPr>
      <w:r>
        <w:t xml:space="preserve">Elle prépare le Command Center comme objet de gouvernance institutionnelle.</w:t>
      </w:r>
    </w:p>
    <w:p>
      <w:r>
        <w:pict>
          <v:rect style="width:0;height:1.5pt" o:hralign="center" o:hrstd="t" o:hr="t"/>
        </w:pict>
      </w:r>
    </w:p>
    <w:bookmarkEnd w:id="32"/>
    <w:bookmarkEnd w:id="33"/>
    <w:bookmarkStart w:id="35" w:name="chapitre-182"/>
    <w:p>
      <w:pPr>
        <w:pStyle w:val="Heading1"/>
      </w:pPr>
      <w:r>
        <w:t xml:space="preserve">Chapitre 182</w:t>
      </w:r>
    </w:p>
    <w:bookmarkStart w:id="34" w:name="du-dashboard-au-command-center"/>
    <w:p>
      <w:pPr>
        <w:pStyle w:val="Heading2"/>
      </w:pPr>
      <w:r>
        <w:t xml:space="preserve">Du dashboard au Command Center</w:t>
      </w:r>
    </w:p>
    <w:p>
      <w:pPr>
        <w:pStyle w:val="FirstParagraph"/>
      </w:pPr>
      <w:r>
        <w:t xml:space="preserve">La Phase 13 avait établi la chaîne suivante :</w:t>
      </w:r>
    </w:p>
    <w:p>
      <w:pPr>
        <w:pStyle w:val="SourceCode"/>
      </w:pPr>
      <w:r>
        <w:rPr>
          <w:rStyle w:val="VerbatimChar"/>
        </w:rPr>
        <w:t xml:space="preserve">Application</w:t>
      </w:r>
      <w:r>
        <w:br/>
      </w:r>
      <w:r>
        <w:rPr>
          <w:rStyle w:val="VerbatimChar"/>
        </w:rPr>
        <w:t xml:space="preserve">↓</w:t>
      </w:r>
      <w:r>
        <w:br/>
      </w:r>
      <w:r>
        <w:rPr>
          <w:rStyle w:val="VerbatimChar"/>
        </w:rPr>
        <w:t xml:space="preserve">Workflow</w:t>
      </w:r>
      <w:r>
        <w:br/>
      </w:r>
      <w:r>
        <w:rPr>
          <w:rStyle w:val="VerbatimChar"/>
        </w:rPr>
        <w:t xml:space="preserve">↓</w:t>
      </w:r>
      <w:r>
        <w:br/>
      </w:r>
      <w:r>
        <w:rPr>
          <w:rStyle w:val="VerbatimChar"/>
        </w:rPr>
        <w:t xml:space="preserve">Trace</w:t>
      </w:r>
      <w:r>
        <w:br/>
      </w:r>
      <w:r>
        <w:rPr>
          <w:rStyle w:val="VerbatimChar"/>
        </w:rPr>
        <w:t xml:space="preserve">↓</w:t>
      </w:r>
      <w:r>
        <w:br/>
      </w:r>
      <w:r>
        <w:rPr>
          <w:rStyle w:val="VerbatimChar"/>
        </w:rPr>
        <w:t xml:space="preserve">Data</w:t>
      </w:r>
      <w:r>
        <w:br/>
      </w:r>
      <w:r>
        <w:rPr>
          <w:rStyle w:val="VerbatimChar"/>
        </w:rPr>
        <w:t xml:space="preserve">↓</w:t>
      </w:r>
      <w:r>
        <w:br/>
      </w:r>
      <w:r>
        <w:rPr>
          <w:rStyle w:val="VerbatimChar"/>
        </w:rPr>
        <w:t xml:space="preserve">Metric</w:t>
      </w:r>
      <w:r>
        <w:br/>
      </w:r>
      <w:r>
        <w:rPr>
          <w:rStyle w:val="VerbatimChar"/>
        </w:rPr>
        <w:t xml:space="preserve">↓</w:t>
      </w:r>
      <w:r>
        <w:br/>
      </w:r>
      <w:r>
        <w:rPr>
          <w:rStyle w:val="VerbatimChar"/>
        </w:rPr>
        <w:t xml:space="preserve">Indicator</w:t>
      </w:r>
      <w:r>
        <w:br/>
      </w:r>
      <w:r>
        <w:rPr>
          <w:rStyle w:val="VerbatimChar"/>
        </w:rPr>
        <w:t xml:space="preserve">↓</w:t>
      </w:r>
      <w:r>
        <w:br/>
      </w:r>
      <w:r>
        <w:rPr>
          <w:rStyle w:val="VerbatimChar"/>
        </w:rPr>
        <w:t xml:space="preserve">Dashboard</w:t>
      </w:r>
      <w:r>
        <w:br/>
      </w:r>
      <w:r>
        <w:rPr>
          <w:rStyle w:val="VerbatimChar"/>
        </w:rPr>
        <w:t xml:space="preserve">↓</w:t>
      </w:r>
      <w:r>
        <w:br/>
      </w:r>
      <w:r>
        <w:rPr>
          <w:rStyle w:val="VerbatimChar"/>
        </w:rPr>
        <w:t xml:space="preserve">Decision Support</w:t>
      </w:r>
    </w:p>
    <w:p>
      <w:pPr>
        <w:pStyle w:val="FirstParagraph"/>
      </w:pPr>
      <w:r>
        <w:t xml:space="preserve">La Phase 14 ajoute une nouvelle couche :</w:t>
      </w:r>
    </w:p>
    <w:p>
      <w:pPr>
        <w:pStyle w:val="SourceCode"/>
      </w:pPr>
      <w:r>
        <w:rPr>
          <w:rStyle w:val="VerbatimChar"/>
        </w:rPr>
        <w:t xml:space="preserve">Dashboards</w:t>
      </w:r>
      <w:r>
        <w:br/>
      </w:r>
      <w:r>
        <w:rPr>
          <w:rStyle w:val="VerbatimChar"/>
        </w:rPr>
        <w:t xml:space="preserve">↓</w:t>
      </w:r>
      <w:r>
        <w:br/>
      </w:r>
      <w:r>
        <w:rPr>
          <w:rStyle w:val="VerbatimChar"/>
        </w:rPr>
        <w:t xml:space="preserve">Command Center</w:t>
      </w:r>
      <w:r>
        <w:br/>
      </w:r>
      <w:r>
        <w:rPr>
          <w:rStyle w:val="VerbatimChar"/>
        </w:rPr>
        <w:t xml:space="preserve">↓</w:t>
      </w:r>
      <w:r>
        <w:br/>
      </w:r>
      <w:r>
        <w:rPr>
          <w:rStyle w:val="VerbatimChar"/>
        </w:rPr>
        <w:t xml:space="preserve">Institutional Coordination</w:t>
      </w:r>
      <w:r>
        <w:br/>
      </w:r>
      <w:r>
        <w:rPr>
          <w:rStyle w:val="VerbatimChar"/>
        </w:rPr>
        <w:t xml:space="preserve">↓</w:t>
      </w:r>
      <w:r>
        <w:br/>
      </w:r>
      <w:r>
        <w:rPr>
          <w:rStyle w:val="VerbatimChar"/>
        </w:rPr>
        <w:t xml:space="preserve">Human Decision Support</w:t>
      </w:r>
    </w:p>
    <w:p>
      <w:pPr>
        <w:pStyle w:val="FirstParagraph"/>
      </w:pPr>
      <w:r>
        <w:t xml:space="preserve">Cette progression est importante.</w:t>
      </w:r>
    </w:p>
    <w:p>
      <w:pPr>
        <w:pStyle w:val="BodyText"/>
      </w:pPr>
      <w:r>
        <w:t xml:space="preserve">Un dashboard montre un domaine.</w:t>
      </w:r>
    </w:p>
    <w:p>
      <w:pPr>
        <w:pStyle w:val="BodyText"/>
      </w:pPr>
      <w:r>
        <w:t xml:space="preserve">Un Command Center relie plusieurs domaines.</w:t>
      </w:r>
    </w:p>
    <w:p>
      <w:pPr>
        <w:pStyle w:val="BodyText"/>
      </w:pPr>
      <w:r>
        <w:t xml:space="preserve">Un dashboard suit des indicateurs.</w:t>
      </w:r>
    </w:p>
    <w:p>
      <w:pPr>
        <w:pStyle w:val="BodyText"/>
      </w:pPr>
      <w:r>
        <w:t xml:space="preserve">Un Command Center organise la coordination.</w:t>
      </w:r>
    </w:p>
    <w:p>
      <w:pPr>
        <w:pStyle w:val="BodyText"/>
      </w:pPr>
      <w:r>
        <w:t xml:space="preserve">Un dashboard informe.</w:t>
      </w:r>
    </w:p>
    <w:p>
      <w:pPr>
        <w:pStyle w:val="BodyText"/>
      </w:pPr>
      <w:r>
        <w:t xml:space="preserve">Un Command Center aide à prioriser, alerter, arbitrer et documenter.</w:t>
      </w:r>
    </w:p>
    <w:p>
      <w:pPr>
        <w:pStyle w:val="BodyText"/>
      </w:pPr>
      <w:r>
        <w:t xml:space="preserve">Mais il ne décide pas seul.</w:t>
      </w:r>
    </w:p>
    <w:p>
      <w:pPr>
        <w:pStyle w:val="BodyText"/>
      </w:pPr>
      <w:r>
        <w:t xml:space="preserve">Il ne remplace pas l’autorité humaine.</w:t>
      </w:r>
    </w:p>
    <w:p>
      <w:pPr>
        <w:pStyle w:val="BodyText"/>
      </w:pPr>
      <w:r>
        <w:t xml:space="preserve">Il ne produit pas une décision institutionnelle automatique.</w:t>
      </w:r>
    </w:p>
    <w:p>
      <w:pPr>
        <w:pStyle w:val="BodyText"/>
      </w:pPr>
      <w:r>
        <w:t xml:space="preserve">Il soutient la décision humaine en rendant visibles les informations gouvernées.</w:t>
      </w:r>
    </w:p>
    <w:p>
      <w:r>
        <w:pict>
          <v:rect style="width:0;height:1.5pt" o:hralign="center" o:hrstd="t" o:hr="t"/>
        </w:pict>
      </w:r>
    </w:p>
    <w:bookmarkEnd w:id="34"/>
    <w:bookmarkEnd w:id="35"/>
    <w:bookmarkStart w:id="37" w:name="chapitre-183"/>
    <w:p>
      <w:pPr>
        <w:pStyle w:val="Heading1"/>
      </w:pPr>
      <w:r>
        <w:t xml:space="preserve">Chapitre 183</w:t>
      </w:r>
    </w:p>
    <w:bookmarkStart w:id="36" w:name="les-niveaux-de-command-center"/>
    <w:p>
      <w:pPr>
        <w:pStyle w:val="Heading2"/>
      </w:pPr>
      <w:r>
        <w:t xml:space="preserve">Les niveaux de Command Center</w:t>
      </w:r>
    </w:p>
    <w:p>
      <w:pPr>
        <w:pStyle w:val="FirstParagraph"/>
      </w:pPr>
      <w:r>
        <w:t xml:space="preserve">La Phase 14 doit distinguer plusieurs niveaux de Command Center.</w:t>
      </w:r>
    </w:p>
    <w:p>
      <w:pPr>
        <w:pStyle w:val="BodyText"/>
      </w:pPr>
      <w:r>
        <w:t xml:space="preserve">Le premier niveau est opérationnel.</w:t>
      </w:r>
    </w:p>
    <w:p>
      <w:pPr>
        <w:pStyle w:val="BodyText"/>
      </w:pPr>
      <w:r>
        <w:t xml:space="preserve">Il suit les activités courantes, les flux, les incidents, les alertes et les actions immédiates.</w:t>
      </w:r>
    </w:p>
    <w:p>
      <w:pPr>
        <w:pStyle w:val="BodyText"/>
      </w:pPr>
      <w:r>
        <w:t xml:space="preserve">Le deuxième niveau est tactique.</w:t>
      </w:r>
    </w:p>
    <w:p>
      <w:pPr>
        <w:pStyle w:val="BodyText"/>
      </w:pPr>
      <w:r>
        <w:t xml:space="preserve">Il permet aux responsables intermédiaires de suivre les tendances, les blocages, les priorités et les capacités.</w:t>
      </w:r>
    </w:p>
    <w:p>
      <w:pPr>
        <w:pStyle w:val="BodyText"/>
      </w:pPr>
      <w:r>
        <w:t xml:space="preserve">Le troisième niveau est stratégique.</w:t>
      </w:r>
    </w:p>
    <w:p>
      <w:pPr>
        <w:pStyle w:val="BodyText"/>
      </w:pPr>
      <w:r>
        <w:t xml:space="preserve">Il permet aux décideurs de comprendre les grandes dynamiques, les risques majeurs, les arbitrages nécessaires et les orientations institutionnelles.</w:t>
      </w:r>
    </w:p>
    <w:p>
      <w:pPr>
        <w:pStyle w:val="BodyText"/>
      </w:pPr>
      <w:r>
        <w:t xml:space="preserve">Le quatrième niveau est gouvernance.</w:t>
      </w:r>
    </w:p>
    <w:p>
      <w:pPr>
        <w:pStyle w:val="BodyText"/>
      </w:pPr>
      <w:r>
        <w:t xml:space="preserve">Il suit la conformité, la qualité, les décisions, les risques, les responsabilités, les validations et les principes du système.</w:t>
      </w:r>
    </w:p>
    <w:p>
      <w:pPr>
        <w:pStyle w:val="BodyText"/>
      </w:pPr>
      <w:r>
        <w:t xml:space="preserve">Le Command Center de CS GREFFE OS devra préparer ces niveaux sans les confondre.</w:t>
      </w:r>
    </w:p>
    <w:p>
      <w:pPr>
        <w:pStyle w:val="BodyText"/>
      </w:pPr>
      <w:r>
        <w:t xml:space="preserve">Chaque niveau doit avoir ses propres utilisateurs, droits, indicateurs, limites et responsabilités.</w:t>
      </w:r>
    </w:p>
    <w:p>
      <w:r>
        <w:pict>
          <v:rect style="width:0;height:1.5pt" o:hralign="center" o:hrstd="t" o:hr="t"/>
        </w:pict>
      </w:r>
    </w:p>
    <w:bookmarkEnd w:id="36"/>
    <w:bookmarkEnd w:id="37"/>
    <w:bookmarkStart w:id="39" w:name="chapitre-184"/>
    <w:p>
      <w:pPr>
        <w:pStyle w:val="Heading1"/>
      </w:pPr>
      <w:r>
        <w:t xml:space="preserve">Chapitre 184</w:t>
      </w:r>
    </w:p>
    <w:bookmarkStart w:id="38" w:name="X4e10e695fb2122ddb392393709f14e6d108e266"/>
    <w:p>
      <w:pPr>
        <w:pStyle w:val="Heading2"/>
      </w:pPr>
      <w:r>
        <w:t xml:space="preserve">Les familles de Command Centers à préparer</w:t>
      </w:r>
    </w:p>
    <w:p>
      <w:pPr>
        <w:pStyle w:val="FirstParagraph"/>
      </w:pPr>
      <w:r>
        <w:t xml:space="preserve">La Phase 14 doit préparer plusieurs familles de Command Centers.</w:t>
      </w:r>
    </w:p>
    <w:p>
      <w:pPr>
        <w:pStyle w:val="BodyText"/>
      </w:pPr>
      <w:r>
        <w:t xml:space="preserve">Ces familles peuvent inclure :</w:t>
      </w:r>
    </w:p>
    <w:p>
      <w:pPr>
        <w:pStyle w:val="Compact"/>
        <w:numPr>
          <w:ilvl w:val="0"/>
          <w:numId w:val="1004"/>
        </w:numPr>
      </w:pPr>
      <w:r>
        <w:t xml:space="preserve">Command Center pédagogique ;</w:t>
      </w:r>
    </w:p>
    <w:p>
      <w:pPr>
        <w:pStyle w:val="Compact"/>
        <w:numPr>
          <w:ilvl w:val="0"/>
          <w:numId w:val="1004"/>
        </w:numPr>
      </w:pPr>
      <w:r>
        <w:t xml:space="preserve">Command Center procédural ;</w:t>
      </w:r>
    </w:p>
    <w:p>
      <w:pPr>
        <w:pStyle w:val="Compact"/>
        <w:numPr>
          <w:ilvl w:val="0"/>
          <w:numId w:val="1004"/>
        </w:numPr>
      </w:pPr>
      <w:r>
        <w:t xml:space="preserve">Command Center des registres ;</w:t>
      </w:r>
    </w:p>
    <w:p>
      <w:pPr>
        <w:pStyle w:val="Compact"/>
        <w:numPr>
          <w:ilvl w:val="0"/>
          <w:numId w:val="1004"/>
        </w:numPr>
      </w:pPr>
      <w:r>
        <w:t xml:space="preserve">Command Center des archives ;</w:t>
      </w:r>
    </w:p>
    <w:p>
      <w:pPr>
        <w:pStyle w:val="Compact"/>
        <w:numPr>
          <w:ilvl w:val="0"/>
          <w:numId w:val="1004"/>
        </w:numPr>
      </w:pPr>
      <w:r>
        <w:t xml:space="preserve">Command Center des actes ;</w:t>
      </w:r>
    </w:p>
    <w:p>
      <w:pPr>
        <w:pStyle w:val="Compact"/>
        <w:numPr>
          <w:ilvl w:val="0"/>
          <w:numId w:val="1004"/>
        </w:numPr>
      </w:pPr>
      <w:r>
        <w:t xml:space="preserve">Command Center des données ;</w:t>
      </w:r>
    </w:p>
    <w:p>
      <w:pPr>
        <w:pStyle w:val="Compact"/>
        <w:numPr>
          <w:ilvl w:val="0"/>
          <w:numId w:val="1004"/>
        </w:numPr>
      </w:pPr>
      <w:r>
        <w:t xml:space="preserve">Command Center de recherche ;</w:t>
      </w:r>
    </w:p>
    <w:p>
      <w:pPr>
        <w:pStyle w:val="Compact"/>
        <w:numPr>
          <w:ilvl w:val="0"/>
          <w:numId w:val="1004"/>
        </w:numPr>
      </w:pPr>
      <w:r>
        <w:t xml:space="preserve">Command Center administratif ;</w:t>
      </w:r>
    </w:p>
    <w:p>
      <w:pPr>
        <w:pStyle w:val="Compact"/>
        <w:numPr>
          <w:ilvl w:val="0"/>
          <w:numId w:val="1004"/>
        </w:numPr>
      </w:pPr>
      <w:r>
        <w:t xml:space="preserve">Command Center de gouvernance ;</w:t>
      </w:r>
    </w:p>
    <w:p>
      <w:pPr>
        <w:pStyle w:val="Compact"/>
        <w:numPr>
          <w:ilvl w:val="0"/>
          <w:numId w:val="1004"/>
        </w:numPr>
      </w:pPr>
      <w:r>
        <w:t xml:space="preserve">Command Center LLMOps ;</w:t>
      </w:r>
    </w:p>
    <w:p>
      <w:pPr>
        <w:pStyle w:val="Compact"/>
        <w:numPr>
          <w:ilvl w:val="0"/>
          <w:numId w:val="1004"/>
        </w:numPr>
      </w:pPr>
      <w:r>
        <w:t xml:space="preserve">Command Center AI Governance ;</w:t>
      </w:r>
    </w:p>
    <w:p>
      <w:pPr>
        <w:pStyle w:val="Compact"/>
        <w:numPr>
          <w:ilvl w:val="0"/>
          <w:numId w:val="1004"/>
        </w:numPr>
      </w:pPr>
      <w:r>
        <w:t xml:space="preserve">Command Center JDGO ;</w:t>
      </w:r>
    </w:p>
    <w:p>
      <w:pPr>
        <w:pStyle w:val="Compact"/>
        <w:numPr>
          <w:ilvl w:val="0"/>
          <w:numId w:val="1004"/>
        </w:numPr>
      </w:pPr>
      <w:r>
        <w:t xml:space="preserve">Strategic Greffe Governance Command Center ;</w:t>
      </w:r>
    </w:p>
    <w:p>
      <w:pPr>
        <w:pStyle w:val="Compact"/>
        <w:numPr>
          <w:ilvl w:val="0"/>
          <w:numId w:val="1004"/>
        </w:numPr>
      </w:pPr>
      <w:r>
        <w:t xml:space="preserve">Judicial Governance Command Center.</w:t>
      </w:r>
    </w:p>
    <w:p>
      <w:pPr>
        <w:pStyle w:val="FirstParagraph"/>
      </w:pPr>
      <w:r>
        <w:t xml:space="preserve">Chaque Command Center devra préciser :</w:t>
      </w:r>
    </w:p>
    <w:p>
      <w:pPr>
        <w:pStyle w:val="Compact"/>
        <w:numPr>
          <w:ilvl w:val="0"/>
          <w:numId w:val="1005"/>
        </w:numPr>
      </w:pPr>
      <w:r>
        <w:t xml:space="preserve">sa mission ;</w:t>
      </w:r>
    </w:p>
    <w:p>
      <w:pPr>
        <w:pStyle w:val="Compact"/>
        <w:numPr>
          <w:ilvl w:val="0"/>
          <w:numId w:val="1005"/>
        </w:numPr>
      </w:pPr>
      <w:r>
        <w:t xml:space="preserve">son périmètre ;</w:t>
      </w:r>
    </w:p>
    <w:p>
      <w:pPr>
        <w:pStyle w:val="Compact"/>
        <w:numPr>
          <w:ilvl w:val="0"/>
          <w:numId w:val="1005"/>
        </w:numPr>
      </w:pPr>
      <w:r>
        <w:t xml:space="preserve">son public cible ;</w:t>
      </w:r>
    </w:p>
    <w:p>
      <w:pPr>
        <w:pStyle w:val="Compact"/>
        <w:numPr>
          <w:ilvl w:val="0"/>
          <w:numId w:val="1005"/>
        </w:numPr>
      </w:pPr>
      <w:r>
        <w:t xml:space="preserve">ses dashboards sources ;</w:t>
      </w:r>
    </w:p>
    <w:p>
      <w:pPr>
        <w:pStyle w:val="Compact"/>
        <w:numPr>
          <w:ilvl w:val="0"/>
          <w:numId w:val="1005"/>
        </w:numPr>
      </w:pPr>
      <w:r>
        <w:t xml:space="preserve">ses indicateurs ;</w:t>
      </w:r>
    </w:p>
    <w:p>
      <w:pPr>
        <w:pStyle w:val="Compact"/>
        <w:numPr>
          <w:ilvl w:val="0"/>
          <w:numId w:val="1005"/>
        </w:numPr>
      </w:pPr>
      <w:r>
        <w:t xml:space="preserve">ses alertes ;</w:t>
      </w:r>
    </w:p>
    <w:p>
      <w:pPr>
        <w:pStyle w:val="Compact"/>
        <w:numPr>
          <w:ilvl w:val="0"/>
          <w:numId w:val="1005"/>
        </w:numPr>
      </w:pPr>
      <w:r>
        <w:t xml:space="preserve">ses seuils ;</w:t>
      </w:r>
    </w:p>
    <w:p>
      <w:pPr>
        <w:pStyle w:val="Compact"/>
        <w:numPr>
          <w:ilvl w:val="0"/>
          <w:numId w:val="1005"/>
        </w:numPr>
      </w:pPr>
      <w:r>
        <w:t xml:space="preserve">ses responsabilités humaines ;</w:t>
      </w:r>
    </w:p>
    <w:p>
      <w:pPr>
        <w:pStyle w:val="Compact"/>
        <w:numPr>
          <w:ilvl w:val="0"/>
          <w:numId w:val="1005"/>
        </w:numPr>
      </w:pPr>
      <w:r>
        <w:t xml:space="preserve">ses limites ;</w:t>
      </w:r>
    </w:p>
    <w:p>
      <w:pPr>
        <w:pStyle w:val="Compact"/>
        <w:numPr>
          <w:ilvl w:val="0"/>
          <w:numId w:val="1005"/>
        </w:numPr>
      </w:pPr>
      <w:r>
        <w:t xml:space="preserve">ses risques ;</w:t>
      </w:r>
    </w:p>
    <w:p>
      <w:pPr>
        <w:pStyle w:val="Compact"/>
        <w:numPr>
          <w:ilvl w:val="0"/>
          <w:numId w:val="1005"/>
        </w:numPr>
      </w:pPr>
      <w:r>
        <w:t xml:space="preserve">ses règles d’accès ;</w:t>
      </w:r>
    </w:p>
    <w:p>
      <w:pPr>
        <w:pStyle w:val="Compact"/>
        <w:numPr>
          <w:ilvl w:val="0"/>
          <w:numId w:val="1005"/>
        </w:numPr>
      </w:pPr>
      <w:r>
        <w:t xml:space="preserve">ses procédures d’escalade ;</w:t>
      </w:r>
    </w:p>
    <w:p>
      <w:pPr>
        <w:pStyle w:val="Compact"/>
        <w:numPr>
          <w:ilvl w:val="0"/>
          <w:numId w:val="1005"/>
        </w:numPr>
      </w:pPr>
      <w:r>
        <w:t xml:space="preserve">son niveau de maturité.</w:t>
      </w:r>
    </w:p>
    <w:p>
      <w:r>
        <w:pict>
          <v:rect style="width:0;height:1.5pt" o:hralign="center" o:hrstd="t" o:hr="t"/>
        </w:pict>
      </w:r>
    </w:p>
    <w:bookmarkEnd w:id="38"/>
    <w:bookmarkEnd w:id="39"/>
    <w:bookmarkStart w:id="41" w:name="chapitre-185"/>
    <w:p>
      <w:pPr>
        <w:pStyle w:val="Heading1"/>
      </w:pPr>
      <w:r>
        <w:t xml:space="preserve">Chapitre 185</w:t>
      </w:r>
    </w:p>
    <w:bookmarkStart w:id="40" w:name="X8c9273d0c0ee7663e18b191a0bbed99113436af"/>
    <w:p>
      <w:pPr>
        <w:pStyle w:val="Heading2"/>
      </w:pPr>
      <w:r>
        <w:t xml:space="preserve">Le Strategic Greffe Governance Command Center</w:t>
      </w:r>
    </w:p>
    <w:p>
      <w:pPr>
        <w:pStyle w:val="FirstParagraph"/>
      </w:pPr>
      <w:r>
        <w:t xml:space="preserve">Le Strategic Greffe Governance Command Center représente le cœur stratégique de CS GREFFE OS.</w:t>
      </w:r>
    </w:p>
    <w:p>
      <w:pPr>
        <w:pStyle w:val="BodyText"/>
      </w:pPr>
      <w:r>
        <w:t xml:space="preserve">Il doit permettre de piloter :</w:t>
      </w:r>
    </w:p>
    <w:p>
      <w:pPr>
        <w:pStyle w:val="Compact"/>
        <w:numPr>
          <w:ilvl w:val="0"/>
          <w:numId w:val="1006"/>
        </w:numPr>
      </w:pPr>
      <w:r>
        <w:t xml:space="preserve">les modules métier ;</w:t>
      </w:r>
    </w:p>
    <w:p>
      <w:pPr>
        <w:pStyle w:val="Compact"/>
        <w:numPr>
          <w:ilvl w:val="0"/>
          <w:numId w:val="1006"/>
        </w:numPr>
      </w:pPr>
      <w:r>
        <w:t xml:space="preserve">les applications ;</w:t>
      </w:r>
    </w:p>
    <w:p>
      <w:pPr>
        <w:pStyle w:val="Compact"/>
        <w:numPr>
          <w:ilvl w:val="0"/>
          <w:numId w:val="1006"/>
        </w:numPr>
      </w:pPr>
      <w:r>
        <w:t xml:space="preserve">les dashboards ;</w:t>
      </w:r>
    </w:p>
    <w:p>
      <w:pPr>
        <w:pStyle w:val="Compact"/>
        <w:numPr>
          <w:ilvl w:val="0"/>
          <w:numId w:val="1006"/>
        </w:numPr>
      </w:pPr>
      <w:r>
        <w:t xml:space="preserve">les risques ;</w:t>
      </w:r>
    </w:p>
    <w:p>
      <w:pPr>
        <w:pStyle w:val="Compact"/>
        <w:numPr>
          <w:ilvl w:val="0"/>
          <w:numId w:val="1006"/>
        </w:numPr>
      </w:pPr>
      <w:r>
        <w:t xml:space="preserve">les décisions ;</w:t>
      </w:r>
    </w:p>
    <w:p>
      <w:pPr>
        <w:pStyle w:val="Compact"/>
        <w:numPr>
          <w:ilvl w:val="0"/>
          <w:numId w:val="1006"/>
        </w:numPr>
      </w:pPr>
      <w:r>
        <w:t xml:space="preserve">les indicateurs ;</w:t>
      </w:r>
    </w:p>
    <w:p>
      <w:pPr>
        <w:pStyle w:val="Compact"/>
        <w:numPr>
          <w:ilvl w:val="0"/>
          <w:numId w:val="1006"/>
        </w:numPr>
      </w:pPr>
      <w:r>
        <w:t xml:space="preserve">les alertes ;</w:t>
      </w:r>
    </w:p>
    <w:p>
      <w:pPr>
        <w:pStyle w:val="Compact"/>
        <w:numPr>
          <w:ilvl w:val="0"/>
          <w:numId w:val="1006"/>
        </w:numPr>
      </w:pPr>
      <w:r>
        <w:t xml:space="preserve">la maturité ;</w:t>
      </w:r>
    </w:p>
    <w:p>
      <w:pPr>
        <w:pStyle w:val="Compact"/>
        <w:numPr>
          <w:ilvl w:val="0"/>
          <w:numId w:val="1006"/>
        </w:numPr>
      </w:pPr>
      <w:r>
        <w:t xml:space="preserve">la conformité ;</w:t>
      </w:r>
    </w:p>
    <w:p>
      <w:pPr>
        <w:pStyle w:val="Compact"/>
        <w:numPr>
          <w:ilvl w:val="0"/>
          <w:numId w:val="1006"/>
        </w:numPr>
      </w:pPr>
      <w:r>
        <w:t xml:space="preserve">la continuité documentaire ;</w:t>
      </w:r>
    </w:p>
    <w:p>
      <w:pPr>
        <w:pStyle w:val="Compact"/>
        <w:numPr>
          <w:ilvl w:val="0"/>
          <w:numId w:val="1006"/>
        </w:numPr>
      </w:pPr>
      <w:r>
        <w:t xml:space="preserve">l’évolution du projet.</w:t>
      </w:r>
    </w:p>
    <w:p>
      <w:pPr>
        <w:pStyle w:val="FirstParagraph"/>
      </w:pPr>
      <w:r>
        <w:t xml:space="preserve">Il n’est pas seulement un tableau de bord central.</w:t>
      </w:r>
    </w:p>
    <w:p>
      <w:pPr>
        <w:pStyle w:val="BodyText"/>
      </w:pPr>
      <w:r>
        <w:t xml:space="preserve">Il est un dispositif de gouvernance stratégique.</w:t>
      </w:r>
    </w:p>
    <w:p>
      <w:pPr>
        <w:pStyle w:val="BodyText"/>
      </w:pPr>
      <w:r>
        <w:t xml:space="preserve">Il doit relier les informations à la décision humaine.</w:t>
      </w:r>
    </w:p>
    <w:p>
      <w:pPr>
        <w:pStyle w:val="BodyText"/>
      </w:pPr>
      <w:r>
        <w:t xml:space="preserve">Il doit permettre de comprendre l’état du système, ses risques, ses progrès et ses points de vigilance.</w:t>
      </w:r>
    </w:p>
    <w:p>
      <w:pPr>
        <w:pStyle w:val="BodyText"/>
      </w:pPr>
      <w:r>
        <w:t xml:space="preserve">Il prépare également l’évolution vers un niveau plus large :</w:t>
      </w:r>
    </w:p>
    <w:bookmarkEnd w:id="40"/>
    <w:bookmarkEnd w:id="41"/>
    <w:bookmarkStart w:id="42" w:name="judicial-governance-command-center."/>
    <w:p>
      <w:pPr>
        <w:pStyle w:val="Heading1"/>
      </w:pPr>
      <w:r>
        <w:t xml:space="preserve">Judicial Governance Command Center.</w:t>
      </w:r>
    </w:p>
    <w:p>
      <w:r>
        <w:pict>
          <v:rect style="width:0;height:1.5pt" o:hralign="center" o:hrstd="t" o:hr="t"/>
        </w:pict>
      </w:r>
    </w:p>
    <w:bookmarkEnd w:id="42"/>
    <w:bookmarkStart w:id="44" w:name="chapitre-186"/>
    <w:p>
      <w:pPr>
        <w:pStyle w:val="Heading1"/>
      </w:pPr>
      <w:r>
        <w:t xml:space="preserve">Chapitre 186</w:t>
      </w:r>
    </w:p>
    <w:bookmarkStart w:id="43" w:name="le-judicial-governance-command-center"/>
    <w:p>
      <w:pPr>
        <w:pStyle w:val="Heading2"/>
      </w:pPr>
      <w:r>
        <w:t xml:space="preserve">Le Judicial Governance Command Center</w:t>
      </w:r>
    </w:p>
    <w:p>
      <w:pPr>
        <w:pStyle w:val="FirstParagraph"/>
      </w:pPr>
      <w:r>
        <w:t xml:space="preserve">Le Judicial Governance Command Center constitue une perspective plus large.</w:t>
      </w:r>
    </w:p>
    <w:p>
      <w:pPr>
        <w:pStyle w:val="BodyText"/>
      </w:pPr>
      <w:r>
        <w:t xml:space="preserve">Là où le Strategic Greffe Governance Command Center se concentre sur le greffe et sa gouvernance stratégique, le Judicial Governance Command Center prépare une vision plus globale de la gouvernance judiciaire.</w:t>
      </w:r>
    </w:p>
    <w:p>
      <w:pPr>
        <w:pStyle w:val="BodyText"/>
      </w:pPr>
      <w:r>
        <w:t xml:space="preserve">Il peut intégrer, à terme :</w:t>
      </w:r>
    </w:p>
    <w:p>
      <w:pPr>
        <w:pStyle w:val="Compact"/>
        <w:numPr>
          <w:ilvl w:val="0"/>
          <w:numId w:val="1007"/>
        </w:numPr>
      </w:pPr>
      <w:r>
        <w:t xml:space="preserve">les juridictions ;</w:t>
      </w:r>
    </w:p>
    <w:p>
      <w:pPr>
        <w:pStyle w:val="Compact"/>
        <w:numPr>
          <w:ilvl w:val="0"/>
          <w:numId w:val="1007"/>
        </w:numPr>
      </w:pPr>
      <w:r>
        <w:t xml:space="preserve">les flux judiciaires ;</w:t>
      </w:r>
    </w:p>
    <w:p>
      <w:pPr>
        <w:pStyle w:val="Compact"/>
        <w:numPr>
          <w:ilvl w:val="0"/>
          <w:numId w:val="1007"/>
        </w:numPr>
      </w:pPr>
      <w:r>
        <w:t xml:space="preserve">les registres ;</w:t>
      </w:r>
    </w:p>
    <w:p>
      <w:pPr>
        <w:pStyle w:val="Compact"/>
        <w:numPr>
          <w:ilvl w:val="0"/>
          <w:numId w:val="1007"/>
        </w:numPr>
      </w:pPr>
      <w:r>
        <w:t xml:space="preserve">les archives ;</w:t>
      </w:r>
    </w:p>
    <w:p>
      <w:pPr>
        <w:pStyle w:val="Compact"/>
        <w:numPr>
          <w:ilvl w:val="0"/>
          <w:numId w:val="1007"/>
        </w:numPr>
      </w:pPr>
      <w:r>
        <w:t xml:space="preserve">les données statistiques ;</w:t>
      </w:r>
    </w:p>
    <w:p>
      <w:pPr>
        <w:pStyle w:val="Compact"/>
        <w:numPr>
          <w:ilvl w:val="0"/>
          <w:numId w:val="1007"/>
        </w:numPr>
      </w:pPr>
      <w:r>
        <w:t xml:space="preserve">les performances ;</w:t>
      </w:r>
    </w:p>
    <w:p>
      <w:pPr>
        <w:pStyle w:val="Compact"/>
        <w:numPr>
          <w:ilvl w:val="0"/>
          <w:numId w:val="1007"/>
        </w:numPr>
      </w:pPr>
      <w:r>
        <w:t xml:space="preserve">les risques ;</w:t>
      </w:r>
    </w:p>
    <w:p>
      <w:pPr>
        <w:pStyle w:val="Compact"/>
        <w:numPr>
          <w:ilvl w:val="0"/>
          <w:numId w:val="1007"/>
        </w:numPr>
      </w:pPr>
      <w:r>
        <w:t xml:space="preserve">les capacités ;</w:t>
      </w:r>
    </w:p>
    <w:p>
      <w:pPr>
        <w:pStyle w:val="Compact"/>
        <w:numPr>
          <w:ilvl w:val="0"/>
          <w:numId w:val="1007"/>
        </w:numPr>
      </w:pPr>
      <w:r>
        <w:t xml:space="preserve">les alertes institutionnelles ;</w:t>
      </w:r>
    </w:p>
    <w:p>
      <w:pPr>
        <w:pStyle w:val="Compact"/>
        <w:numPr>
          <w:ilvl w:val="0"/>
          <w:numId w:val="1007"/>
        </w:numPr>
      </w:pPr>
      <w:r>
        <w:t xml:space="preserve">la qualité des services ;</w:t>
      </w:r>
    </w:p>
    <w:p>
      <w:pPr>
        <w:pStyle w:val="Compact"/>
        <w:numPr>
          <w:ilvl w:val="0"/>
          <w:numId w:val="1007"/>
        </w:numPr>
      </w:pPr>
      <w:r>
        <w:t xml:space="preserve">la gouvernance numérique ;</w:t>
      </w:r>
    </w:p>
    <w:p>
      <w:pPr>
        <w:pStyle w:val="Compact"/>
        <w:numPr>
          <w:ilvl w:val="0"/>
          <w:numId w:val="1007"/>
        </w:numPr>
      </w:pPr>
      <w:r>
        <w:t xml:space="preserve">la continuité administrative.</w:t>
      </w:r>
    </w:p>
    <w:p>
      <w:pPr>
        <w:pStyle w:val="FirstParagraph"/>
      </w:pPr>
      <w:r>
        <w:t xml:space="preserve">Mais cette perspective doit rester prudente.</w:t>
      </w:r>
    </w:p>
    <w:p>
      <w:pPr>
        <w:pStyle w:val="BodyText"/>
      </w:pPr>
      <w:r>
        <w:t xml:space="preserve">Elle ne doit pas automatiser la justice.</w:t>
      </w:r>
    </w:p>
    <w:p>
      <w:pPr>
        <w:pStyle w:val="BodyText"/>
      </w:pPr>
      <w:r>
        <w:t xml:space="preserve">Elle ne doit pas se substituer aux magistrats.</w:t>
      </w:r>
    </w:p>
    <w:p>
      <w:pPr>
        <w:pStyle w:val="BodyText"/>
      </w:pPr>
      <w:r>
        <w:t xml:space="preserve">Elle ne doit pas transformer des indicateurs en décisions.</w:t>
      </w:r>
    </w:p>
    <w:p>
      <w:pPr>
        <w:pStyle w:val="BodyText"/>
      </w:pPr>
      <w:r>
        <w:t xml:space="preserve">Elle doit être pensée comme un cadre de pilotage, d’aide à la compréhension et de coordination institutionnelle.</w:t>
      </w:r>
    </w:p>
    <w:p>
      <w:r>
        <w:pict>
          <v:rect style="width:0;height:1.5pt" o:hralign="center" o:hrstd="t" o:hr="t"/>
        </w:pict>
      </w:r>
    </w:p>
    <w:bookmarkEnd w:id="43"/>
    <w:bookmarkEnd w:id="44"/>
    <w:bookmarkStart w:id="46" w:name="chapitre-187"/>
    <w:p>
      <w:pPr>
        <w:pStyle w:val="Heading1"/>
      </w:pPr>
      <w:r>
        <w:t xml:space="preserve">Chapitre 187</w:t>
      </w:r>
    </w:p>
    <w:bookmarkStart w:id="45" w:name="les-alertes-et-lescalade"/>
    <w:p>
      <w:pPr>
        <w:pStyle w:val="Heading2"/>
      </w:pPr>
      <w:r>
        <w:t xml:space="preserve">Les alertes et l’escalade</w:t>
      </w:r>
    </w:p>
    <w:p>
      <w:pPr>
        <w:pStyle w:val="FirstParagraph"/>
      </w:pPr>
      <w:r>
        <w:t xml:space="preserve">La Phase 14 doit documenter les alertes et les procédures d’escalade.</w:t>
      </w:r>
    </w:p>
    <w:p>
      <w:pPr>
        <w:pStyle w:val="BodyText"/>
      </w:pPr>
      <w:r>
        <w:t xml:space="preserve">Une alerte n’est pas une décision.</w:t>
      </w:r>
    </w:p>
    <w:p>
      <w:pPr>
        <w:pStyle w:val="BodyText"/>
      </w:pPr>
      <w:r>
        <w:t xml:space="preserve">Une alerte signale un événement, un seuil, un risque ou une anomalie.</w:t>
      </w:r>
    </w:p>
    <w:p>
      <w:pPr>
        <w:pStyle w:val="BodyText"/>
      </w:pPr>
      <w:r>
        <w:t xml:space="preserve">Elle doit être analysée par un humain.</w:t>
      </w:r>
    </w:p>
    <w:p>
      <w:pPr>
        <w:pStyle w:val="BodyText"/>
      </w:pPr>
      <w:r>
        <w:t xml:space="preserve">Chaque alerte doit préciser :</w:t>
      </w:r>
    </w:p>
    <w:p>
      <w:pPr>
        <w:pStyle w:val="Compact"/>
        <w:numPr>
          <w:ilvl w:val="0"/>
          <w:numId w:val="1008"/>
        </w:numPr>
      </w:pPr>
      <w:r>
        <w:t xml:space="preserve">son origine ;</w:t>
      </w:r>
    </w:p>
    <w:p>
      <w:pPr>
        <w:pStyle w:val="Compact"/>
        <w:numPr>
          <w:ilvl w:val="0"/>
          <w:numId w:val="1008"/>
        </w:numPr>
      </w:pPr>
      <w:r>
        <w:t xml:space="preserve">son indicateur source ;</w:t>
      </w:r>
    </w:p>
    <w:p>
      <w:pPr>
        <w:pStyle w:val="Compact"/>
        <w:numPr>
          <w:ilvl w:val="0"/>
          <w:numId w:val="1008"/>
        </w:numPr>
      </w:pPr>
      <w:r>
        <w:t xml:space="preserve">son seuil ;</w:t>
      </w:r>
    </w:p>
    <w:p>
      <w:pPr>
        <w:pStyle w:val="Compact"/>
        <w:numPr>
          <w:ilvl w:val="0"/>
          <w:numId w:val="1008"/>
        </w:numPr>
      </w:pPr>
      <w:r>
        <w:t xml:space="preserve">son niveau de criticité ;</w:t>
      </w:r>
    </w:p>
    <w:p>
      <w:pPr>
        <w:pStyle w:val="Compact"/>
        <w:numPr>
          <w:ilvl w:val="0"/>
          <w:numId w:val="1008"/>
        </w:numPr>
      </w:pPr>
      <w:r>
        <w:t xml:space="preserve">son destinataire ;</w:t>
      </w:r>
    </w:p>
    <w:p>
      <w:pPr>
        <w:pStyle w:val="Compact"/>
        <w:numPr>
          <w:ilvl w:val="0"/>
          <w:numId w:val="1008"/>
        </w:numPr>
      </w:pPr>
      <w:r>
        <w:t xml:space="preserve">sa procédure d’examen ;</w:t>
      </w:r>
    </w:p>
    <w:p>
      <w:pPr>
        <w:pStyle w:val="Compact"/>
        <w:numPr>
          <w:ilvl w:val="0"/>
          <w:numId w:val="1008"/>
        </w:numPr>
      </w:pPr>
      <w:r>
        <w:t xml:space="preserve">sa procédure d’escalade ;</w:t>
      </w:r>
    </w:p>
    <w:p>
      <w:pPr>
        <w:pStyle w:val="Compact"/>
        <w:numPr>
          <w:ilvl w:val="0"/>
          <w:numId w:val="1008"/>
        </w:numPr>
      </w:pPr>
      <w:r>
        <w:t xml:space="preserve">sa trace ;</w:t>
      </w:r>
    </w:p>
    <w:p>
      <w:pPr>
        <w:pStyle w:val="Compact"/>
        <w:numPr>
          <w:ilvl w:val="0"/>
          <w:numId w:val="1008"/>
        </w:numPr>
      </w:pPr>
      <w:r>
        <w:t xml:space="preserve">son statut ;</w:t>
      </w:r>
    </w:p>
    <w:p>
      <w:pPr>
        <w:pStyle w:val="Compact"/>
        <w:numPr>
          <w:ilvl w:val="0"/>
          <w:numId w:val="1008"/>
        </w:numPr>
      </w:pPr>
      <w:r>
        <w:t xml:space="preserve">sa clôture.</w:t>
      </w:r>
    </w:p>
    <w:p>
      <w:pPr>
        <w:pStyle w:val="FirstParagraph"/>
      </w:pPr>
      <w:r>
        <w:t xml:space="preserve">Une alerte non gouvernée peut créer de la panique, de la confusion ou une réaction inappropriée.</w:t>
      </w:r>
    </w:p>
    <w:p>
      <w:pPr>
        <w:pStyle w:val="BodyText"/>
      </w:pPr>
      <w:r>
        <w:t xml:space="preserve">Une alerte gouvernée soutient la vigilance institutionnelle.</w:t>
      </w:r>
    </w:p>
    <w:p>
      <w:r>
        <w:pict>
          <v:rect style="width:0;height:1.5pt" o:hralign="center" o:hrstd="t" o:hr="t"/>
        </w:pict>
      </w:r>
    </w:p>
    <w:bookmarkEnd w:id="45"/>
    <w:bookmarkEnd w:id="46"/>
    <w:bookmarkStart w:id="48" w:name="chapitre-188"/>
    <w:p>
      <w:pPr>
        <w:pStyle w:val="Heading1"/>
      </w:pPr>
      <w:r>
        <w:t xml:space="preserve">Chapitre 188</w:t>
      </w:r>
    </w:p>
    <w:bookmarkStart w:id="47" w:name="le-suivi-des-décisions-humaines"/>
    <w:p>
      <w:pPr>
        <w:pStyle w:val="Heading2"/>
      </w:pPr>
      <w:r>
        <w:t xml:space="preserve">Le suivi des décisions humaines</w:t>
      </w:r>
    </w:p>
    <w:p>
      <w:pPr>
        <w:pStyle w:val="FirstParagraph"/>
      </w:pPr>
      <w:r>
        <w:t xml:space="preserve">La Phase 14 doit également préparer le suivi des décisions humaines.</w:t>
      </w:r>
    </w:p>
    <w:p>
      <w:pPr>
        <w:pStyle w:val="BodyText"/>
      </w:pPr>
      <w:r>
        <w:t xml:space="preserve">Le Command Center peut aider à documenter :</w:t>
      </w:r>
    </w:p>
    <w:p>
      <w:pPr>
        <w:pStyle w:val="Compact"/>
        <w:numPr>
          <w:ilvl w:val="0"/>
          <w:numId w:val="1009"/>
        </w:numPr>
      </w:pPr>
      <w:r>
        <w:t xml:space="preserve">les décisions prises ;</w:t>
      </w:r>
    </w:p>
    <w:p>
      <w:pPr>
        <w:pStyle w:val="Compact"/>
        <w:numPr>
          <w:ilvl w:val="0"/>
          <w:numId w:val="1009"/>
        </w:numPr>
      </w:pPr>
      <w:r>
        <w:t xml:space="preserve">les motifs ;</w:t>
      </w:r>
    </w:p>
    <w:p>
      <w:pPr>
        <w:pStyle w:val="Compact"/>
        <w:numPr>
          <w:ilvl w:val="0"/>
          <w:numId w:val="1009"/>
        </w:numPr>
      </w:pPr>
      <w:r>
        <w:t xml:space="preserve">les indicateurs consultés ;</w:t>
      </w:r>
    </w:p>
    <w:p>
      <w:pPr>
        <w:pStyle w:val="Compact"/>
        <w:numPr>
          <w:ilvl w:val="0"/>
          <w:numId w:val="1009"/>
        </w:numPr>
      </w:pPr>
      <w:r>
        <w:t xml:space="preserve">les alertes examinées ;</w:t>
      </w:r>
    </w:p>
    <w:p>
      <w:pPr>
        <w:pStyle w:val="Compact"/>
        <w:numPr>
          <w:ilvl w:val="0"/>
          <w:numId w:val="1009"/>
        </w:numPr>
      </w:pPr>
      <w:r>
        <w:t xml:space="preserve">les responsables ;</w:t>
      </w:r>
    </w:p>
    <w:p>
      <w:pPr>
        <w:pStyle w:val="Compact"/>
        <w:numPr>
          <w:ilvl w:val="0"/>
          <w:numId w:val="1009"/>
        </w:numPr>
      </w:pPr>
      <w:r>
        <w:t xml:space="preserve">les délais ;</w:t>
      </w:r>
    </w:p>
    <w:p>
      <w:pPr>
        <w:pStyle w:val="Compact"/>
        <w:numPr>
          <w:ilvl w:val="0"/>
          <w:numId w:val="1009"/>
        </w:numPr>
      </w:pPr>
      <w:r>
        <w:t xml:space="preserve">les actions de suivi ;</w:t>
      </w:r>
    </w:p>
    <w:p>
      <w:pPr>
        <w:pStyle w:val="Compact"/>
        <w:numPr>
          <w:ilvl w:val="0"/>
          <w:numId w:val="1009"/>
        </w:numPr>
      </w:pPr>
      <w:r>
        <w:t xml:space="preserve">les résultats observés ;</w:t>
      </w:r>
    </w:p>
    <w:p>
      <w:pPr>
        <w:pStyle w:val="Compact"/>
        <w:numPr>
          <w:ilvl w:val="0"/>
          <w:numId w:val="1009"/>
        </w:numPr>
      </w:pPr>
      <w:r>
        <w:t xml:space="preserve">les révisions éventuelles.</w:t>
      </w:r>
    </w:p>
    <w:p>
      <w:pPr>
        <w:pStyle w:val="FirstParagraph"/>
      </w:pPr>
      <w:r>
        <w:t xml:space="preserve">Mais il ne doit pas prendre la décision à la place de l’humain.</w:t>
      </w:r>
    </w:p>
    <w:p>
      <w:pPr>
        <w:pStyle w:val="BodyText"/>
      </w:pPr>
      <w:r>
        <w:t xml:space="preserve">Le suivi des décisions doit renforcer la mémoire institutionnelle.</w:t>
      </w:r>
    </w:p>
    <w:p>
      <w:pPr>
        <w:pStyle w:val="BodyText"/>
      </w:pPr>
      <w:r>
        <w:t xml:space="preserve">Il doit permettre de comprendre pourquoi une action a été engagée, par qui, sur quelle base, avec quelles limites et avec quel résultat.</w:t>
      </w:r>
    </w:p>
    <w:p>
      <w:r>
        <w:pict>
          <v:rect style="width:0;height:1.5pt" o:hralign="center" o:hrstd="t" o:hr="t"/>
        </w:pict>
      </w:r>
    </w:p>
    <w:bookmarkEnd w:id="47"/>
    <w:bookmarkEnd w:id="48"/>
    <w:bookmarkStart w:id="50" w:name="chapitre-189"/>
    <w:p>
      <w:pPr>
        <w:pStyle w:val="Heading1"/>
      </w:pPr>
      <w:r>
        <w:t xml:space="preserve">Chapitre 189</w:t>
      </w:r>
    </w:p>
    <w:bookmarkStart w:id="49" w:name="Xb441a39a7fc43bac5a0f9c315df5fc084ab827d"/>
    <w:p>
      <w:pPr>
        <w:pStyle w:val="Heading2"/>
      </w:pPr>
      <w:r>
        <w:t xml:space="preserve">Le Command Center et le Human-in-the-loop</w:t>
      </w:r>
    </w:p>
    <w:p>
      <w:pPr>
        <w:pStyle w:val="FirstParagraph"/>
      </w:pPr>
      <w:r>
        <w:t xml:space="preserve">La Phase 14 doit protéger le Human-in-the-loop au niveau du pilotage institutionnel.</w:t>
      </w:r>
    </w:p>
    <w:p>
      <w:pPr>
        <w:pStyle w:val="BodyText"/>
      </w:pPr>
      <w:r>
        <w:t xml:space="preserve">Le Command Center peut :</w:t>
      </w:r>
    </w:p>
    <w:p>
      <w:pPr>
        <w:pStyle w:val="Compact"/>
        <w:numPr>
          <w:ilvl w:val="0"/>
          <w:numId w:val="1010"/>
        </w:numPr>
      </w:pPr>
      <w:r>
        <w:t xml:space="preserve">centraliser ;</w:t>
      </w:r>
    </w:p>
    <w:p>
      <w:pPr>
        <w:pStyle w:val="Compact"/>
        <w:numPr>
          <w:ilvl w:val="0"/>
          <w:numId w:val="1010"/>
        </w:numPr>
      </w:pPr>
      <w:r>
        <w:t xml:space="preserve">visualiser ;</w:t>
      </w:r>
    </w:p>
    <w:p>
      <w:pPr>
        <w:pStyle w:val="Compact"/>
        <w:numPr>
          <w:ilvl w:val="0"/>
          <w:numId w:val="1010"/>
        </w:numPr>
      </w:pPr>
      <w:r>
        <w:t xml:space="preserve">alerter ;</w:t>
      </w:r>
    </w:p>
    <w:p>
      <w:pPr>
        <w:pStyle w:val="Compact"/>
        <w:numPr>
          <w:ilvl w:val="0"/>
          <w:numId w:val="1010"/>
        </w:numPr>
      </w:pPr>
      <w:r>
        <w:t xml:space="preserve">comparer ;</w:t>
      </w:r>
    </w:p>
    <w:p>
      <w:pPr>
        <w:pStyle w:val="Compact"/>
        <w:numPr>
          <w:ilvl w:val="0"/>
          <w:numId w:val="1010"/>
        </w:numPr>
      </w:pPr>
      <w:r>
        <w:t xml:space="preserve">documenter ;</w:t>
      </w:r>
    </w:p>
    <w:p>
      <w:pPr>
        <w:pStyle w:val="Compact"/>
        <w:numPr>
          <w:ilvl w:val="0"/>
          <w:numId w:val="1010"/>
        </w:numPr>
      </w:pPr>
      <w:r>
        <w:t xml:space="preserve">prioriser ;</w:t>
      </w:r>
    </w:p>
    <w:p>
      <w:pPr>
        <w:pStyle w:val="Compact"/>
        <w:numPr>
          <w:ilvl w:val="0"/>
          <w:numId w:val="1010"/>
        </w:numPr>
      </w:pPr>
      <w:r>
        <w:t xml:space="preserve">soutenir l’analyse.</w:t>
      </w:r>
    </w:p>
    <w:p>
      <w:pPr>
        <w:pStyle w:val="FirstParagraph"/>
      </w:pPr>
      <w:r>
        <w:t xml:space="preserve">Mais il ne doit pas :</w:t>
      </w:r>
    </w:p>
    <w:p>
      <w:pPr>
        <w:pStyle w:val="Compact"/>
        <w:numPr>
          <w:ilvl w:val="0"/>
          <w:numId w:val="1011"/>
        </w:numPr>
      </w:pPr>
      <w:r>
        <w:t xml:space="preserve">décider ;</w:t>
      </w:r>
    </w:p>
    <w:p>
      <w:pPr>
        <w:pStyle w:val="Compact"/>
        <w:numPr>
          <w:ilvl w:val="0"/>
          <w:numId w:val="1011"/>
        </w:numPr>
      </w:pPr>
      <w:r>
        <w:t xml:space="preserve">ordonner ;</w:t>
      </w:r>
    </w:p>
    <w:p>
      <w:pPr>
        <w:pStyle w:val="Compact"/>
        <w:numPr>
          <w:ilvl w:val="0"/>
          <w:numId w:val="1011"/>
        </w:numPr>
      </w:pPr>
      <w:r>
        <w:t xml:space="preserve">sanctionner ;</w:t>
      </w:r>
    </w:p>
    <w:p>
      <w:pPr>
        <w:pStyle w:val="Compact"/>
        <w:numPr>
          <w:ilvl w:val="0"/>
          <w:numId w:val="1011"/>
        </w:numPr>
      </w:pPr>
      <w:r>
        <w:t xml:space="preserve">valider juridiquement ;</w:t>
      </w:r>
    </w:p>
    <w:p>
      <w:pPr>
        <w:pStyle w:val="Compact"/>
        <w:numPr>
          <w:ilvl w:val="0"/>
          <w:numId w:val="1011"/>
        </w:numPr>
      </w:pPr>
      <w:r>
        <w:t xml:space="preserve">signer ;</w:t>
      </w:r>
    </w:p>
    <w:p>
      <w:pPr>
        <w:pStyle w:val="Compact"/>
        <w:numPr>
          <w:ilvl w:val="0"/>
          <w:numId w:val="1011"/>
        </w:numPr>
      </w:pPr>
      <w:r>
        <w:t xml:space="preserve">déclencher automatiquement des actions sensibles ;</w:t>
      </w:r>
    </w:p>
    <w:p>
      <w:pPr>
        <w:pStyle w:val="Compact"/>
        <w:numPr>
          <w:ilvl w:val="0"/>
          <w:numId w:val="1011"/>
        </w:numPr>
      </w:pPr>
      <w:r>
        <w:t xml:space="preserve">remplacer l’appréciation humaine.</w:t>
      </w:r>
    </w:p>
    <w:p>
      <w:pPr>
        <w:pStyle w:val="FirstParagraph"/>
      </w:pPr>
      <w:r>
        <w:t xml:space="preserve">Chaque Command Center doit donc préciser :</w:t>
      </w:r>
    </w:p>
    <w:p>
      <w:pPr>
        <w:pStyle w:val="Compact"/>
        <w:numPr>
          <w:ilvl w:val="0"/>
          <w:numId w:val="1012"/>
        </w:numPr>
      </w:pPr>
      <w:r>
        <w:t xml:space="preserve">qui consulte ;</w:t>
      </w:r>
    </w:p>
    <w:p>
      <w:pPr>
        <w:pStyle w:val="Compact"/>
        <w:numPr>
          <w:ilvl w:val="0"/>
          <w:numId w:val="1012"/>
        </w:numPr>
      </w:pPr>
      <w:r>
        <w:t xml:space="preserve">qui interprète ;</w:t>
      </w:r>
    </w:p>
    <w:p>
      <w:pPr>
        <w:pStyle w:val="Compact"/>
        <w:numPr>
          <w:ilvl w:val="0"/>
          <w:numId w:val="1012"/>
        </w:numPr>
      </w:pPr>
      <w:r>
        <w:t xml:space="preserve">qui valide ;</w:t>
      </w:r>
    </w:p>
    <w:p>
      <w:pPr>
        <w:pStyle w:val="Compact"/>
        <w:numPr>
          <w:ilvl w:val="0"/>
          <w:numId w:val="1012"/>
        </w:numPr>
      </w:pPr>
      <w:r>
        <w:t xml:space="preserve">qui décide ;</w:t>
      </w:r>
    </w:p>
    <w:p>
      <w:pPr>
        <w:pStyle w:val="Compact"/>
        <w:numPr>
          <w:ilvl w:val="0"/>
          <w:numId w:val="1012"/>
        </w:numPr>
      </w:pPr>
      <w:r>
        <w:t xml:space="preserve">qui escalade ;</w:t>
      </w:r>
    </w:p>
    <w:p>
      <w:pPr>
        <w:pStyle w:val="Compact"/>
        <w:numPr>
          <w:ilvl w:val="0"/>
          <w:numId w:val="1012"/>
        </w:numPr>
      </w:pPr>
      <w:r>
        <w:t xml:space="preserve">qui clôture ;</w:t>
      </w:r>
    </w:p>
    <w:p>
      <w:pPr>
        <w:pStyle w:val="Compact"/>
        <w:numPr>
          <w:ilvl w:val="0"/>
          <w:numId w:val="1012"/>
        </w:numPr>
      </w:pPr>
      <w:r>
        <w:t xml:space="preserve">qui audite ;</w:t>
      </w:r>
    </w:p>
    <w:p>
      <w:pPr>
        <w:pStyle w:val="Compact"/>
        <w:numPr>
          <w:ilvl w:val="0"/>
          <w:numId w:val="1012"/>
        </w:numPr>
      </w:pPr>
      <w:r>
        <w:t xml:space="preserve">qui assume la responsabilité.</w:t>
      </w:r>
    </w:p>
    <w:p>
      <w:pPr>
        <w:pStyle w:val="FirstParagraph"/>
      </w:pPr>
      <w:r>
        <w:t xml:space="preserve">La responsabilité humaine doit rester visible, traçable et non transférable à la machine.</w:t>
      </w:r>
    </w:p>
    <w:p>
      <w:r>
        <w:pict>
          <v:rect style="width:0;height:1.5pt" o:hralign="center" o:hrstd="t" o:hr="t"/>
        </w:pict>
      </w:r>
    </w:p>
    <w:bookmarkEnd w:id="49"/>
    <w:bookmarkEnd w:id="50"/>
    <w:bookmarkStart w:id="52" w:name="chapitre-190"/>
    <w:p>
      <w:pPr>
        <w:pStyle w:val="Heading1"/>
      </w:pPr>
      <w:r>
        <w:t xml:space="preserve">Chapitre 190</w:t>
      </w:r>
    </w:p>
    <w:bookmarkStart w:id="51" w:name="les-limites-imposées-par-la-phase-14"/>
    <w:p>
      <w:pPr>
        <w:pStyle w:val="Heading2"/>
      </w:pPr>
      <w:r>
        <w:t xml:space="preserve">Les limites imposées par la Phase 14</w:t>
      </w:r>
    </w:p>
    <w:p>
      <w:pPr>
        <w:pStyle w:val="FirstParagraph"/>
      </w:pPr>
      <w:r>
        <w:t xml:space="preserve">La Phase 14 impose des limites strictes.</w:t>
      </w:r>
    </w:p>
    <w:p>
      <w:pPr>
        <w:pStyle w:val="BodyText"/>
      </w:pPr>
      <w:r>
        <w:t xml:space="preserve">Elle ne doit pas :</w:t>
      </w:r>
    </w:p>
    <w:p>
      <w:pPr>
        <w:pStyle w:val="Compact"/>
        <w:numPr>
          <w:ilvl w:val="0"/>
          <w:numId w:val="1013"/>
        </w:numPr>
      </w:pPr>
      <w:r>
        <w:t xml:space="preserve">développer un Command Center opérationnel final ;</w:t>
      </w:r>
    </w:p>
    <w:p>
      <w:pPr>
        <w:pStyle w:val="Compact"/>
        <w:numPr>
          <w:ilvl w:val="0"/>
          <w:numId w:val="1013"/>
        </w:numPr>
      </w:pPr>
      <w:r>
        <w:t xml:space="preserve">connecter des données judiciaires réelles non gouvernées ;</w:t>
      </w:r>
    </w:p>
    <w:p>
      <w:pPr>
        <w:pStyle w:val="Compact"/>
        <w:numPr>
          <w:ilvl w:val="0"/>
          <w:numId w:val="1013"/>
        </w:numPr>
      </w:pPr>
      <w:r>
        <w:t xml:space="preserve">automatiser des décisions institutionnelles ;</w:t>
      </w:r>
    </w:p>
    <w:p>
      <w:pPr>
        <w:pStyle w:val="Compact"/>
        <w:numPr>
          <w:ilvl w:val="0"/>
          <w:numId w:val="1013"/>
        </w:numPr>
      </w:pPr>
      <w:r>
        <w:t xml:space="preserve">automatiser des décisions juridictionnelles ;</w:t>
      </w:r>
    </w:p>
    <w:p>
      <w:pPr>
        <w:pStyle w:val="Compact"/>
        <w:numPr>
          <w:ilvl w:val="0"/>
          <w:numId w:val="1013"/>
        </w:numPr>
      </w:pPr>
      <w:r>
        <w:t xml:space="preserve">déclencher des actions sensibles ;</w:t>
      </w:r>
    </w:p>
    <w:p>
      <w:pPr>
        <w:pStyle w:val="Compact"/>
        <w:numPr>
          <w:ilvl w:val="0"/>
          <w:numId w:val="1013"/>
        </w:numPr>
      </w:pPr>
      <w:r>
        <w:t xml:space="preserve">remplacer le greffier ;</w:t>
      </w:r>
    </w:p>
    <w:p>
      <w:pPr>
        <w:pStyle w:val="Compact"/>
        <w:numPr>
          <w:ilvl w:val="0"/>
          <w:numId w:val="1013"/>
        </w:numPr>
      </w:pPr>
      <w:r>
        <w:t xml:space="preserve">remplacer le magistrat ;</w:t>
      </w:r>
    </w:p>
    <w:p>
      <w:pPr>
        <w:pStyle w:val="Compact"/>
        <w:numPr>
          <w:ilvl w:val="0"/>
          <w:numId w:val="1013"/>
        </w:numPr>
      </w:pPr>
      <w:r>
        <w:t xml:space="preserve">présenter une alerte comme une décision ;</w:t>
      </w:r>
    </w:p>
    <w:p>
      <w:pPr>
        <w:pStyle w:val="Compact"/>
        <w:numPr>
          <w:ilvl w:val="0"/>
          <w:numId w:val="1013"/>
        </w:numPr>
      </w:pPr>
      <w:r>
        <w:t xml:space="preserve">publier des données sensibles ;</w:t>
      </w:r>
    </w:p>
    <w:p>
      <w:pPr>
        <w:pStyle w:val="Compact"/>
        <w:numPr>
          <w:ilvl w:val="0"/>
          <w:numId w:val="1013"/>
        </w:numPr>
      </w:pPr>
      <w:r>
        <w:t xml:space="preserve">centraliser des informations sans règles d’accès ;</w:t>
      </w:r>
    </w:p>
    <w:p>
      <w:pPr>
        <w:pStyle w:val="Compact"/>
        <w:numPr>
          <w:ilvl w:val="0"/>
          <w:numId w:val="1013"/>
        </w:numPr>
      </w:pPr>
      <w:r>
        <w:t xml:space="preserve">contourner la validation humaine ;</w:t>
      </w:r>
    </w:p>
    <w:p>
      <w:pPr>
        <w:pStyle w:val="Compact"/>
        <w:numPr>
          <w:ilvl w:val="0"/>
          <w:numId w:val="1013"/>
        </w:numPr>
      </w:pPr>
      <w:r>
        <w:t xml:space="preserve">supprimer l’analyse humaine ;</w:t>
      </w:r>
    </w:p>
    <w:p>
      <w:pPr>
        <w:pStyle w:val="Compact"/>
        <w:numPr>
          <w:ilvl w:val="0"/>
          <w:numId w:val="1013"/>
        </w:numPr>
      </w:pPr>
      <w:r>
        <w:t xml:space="preserve">casser l’arborescence documentaire existante ;</w:t>
      </w:r>
    </w:p>
    <w:p>
      <w:pPr>
        <w:pStyle w:val="Compact"/>
        <w:numPr>
          <w:ilvl w:val="0"/>
          <w:numId w:val="1013"/>
        </w:numPr>
      </w:pPr>
      <w:r>
        <w:t xml:space="preserve">recréer manuellement en local des dossiers déjà créés dans le cloud.</w:t>
      </w:r>
    </w:p>
    <w:p>
      <w:pPr>
        <w:pStyle w:val="FirstParagraph"/>
      </w:pPr>
      <w:r>
        <w:t xml:space="preserve">La Phase 14 prépare.</w:t>
      </w:r>
    </w:p>
    <w:p>
      <w:pPr>
        <w:pStyle w:val="BodyText"/>
      </w:pPr>
      <w:r>
        <w:t xml:space="preserve">Elle ne déploie pas encore.</w:t>
      </w:r>
    </w:p>
    <w:p>
      <w:pPr>
        <w:pStyle w:val="BodyText"/>
      </w:pPr>
      <w:r>
        <w:t xml:space="preserve">Elle gouverne avant d’institutionnaliser.</w:t>
      </w:r>
    </w:p>
    <w:p>
      <w:r>
        <w:pict>
          <v:rect style="width:0;height:1.5pt" o:hralign="center" o:hrstd="t" o:hr="t"/>
        </w:pict>
      </w:r>
    </w:p>
    <w:bookmarkEnd w:id="51"/>
    <w:bookmarkEnd w:id="52"/>
    <w:bookmarkStart w:id="54" w:name="chapitre-191"/>
    <w:p>
      <w:pPr>
        <w:pStyle w:val="Heading1"/>
      </w:pPr>
      <w:r>
        <w:t xml:space="preserve">Chapitre 191</w:t>
      </w:r>
    </w:p>
    <w:bookmarkStart w:id="53" w:name="les-risques-gouvernés-par-la-phase-14"/>
    <w:p>
      <w:pPr>
        <w:pStyle w:val="Heading2"/>
      </w:pPr>
      <w:r>
        <w:t xml:space="preserve">Les risques gouvernés par la Phase 14</w:t>
      </w:r>
    </w:p>
    <w:p>
      <w:pPr>
        <w:pStyle w:val="FirstParagraph"/>
      </w:pPr>
      <w:r>
        <w:t xml:space="preserve">La Phase 14 gouverne plusieurs risques majeurs.</w:t>
      </w:r>
    </w:p>
    <w:p>
      <w:pPr>
        <w:pStyle w:val="BodyText"/>
      </w:pPr>
      <w:r>
        <w:t xml:space="preserve">Le premier est le risque de centralisation non gouvernée.</w:t>
      </w:r>
    </w:p>
    <w:p>
      <w:pPr>
        <w:pStyle w:val="BodyText"/>
      </w:pPr>
      <w:r>
        <w:t xml:space="preserve">Un Command Center peut concentrer beaucoup d’informations sensibles. Sans règles d’accès, il devient un risque.</w:t>
      </w:r>
    </w:p>
    <w:p>
      <w:pPr>
        <w:pStyle w:val="BodyText"/>
      </w:pPr>
      <w:r>
        <w:t xml:space="preserve">Le deuxième est le risque de décision automatique.</w:t>
      </w:r>
    </w:p>
    <w:p>
      <w:pPr>
        <w:pStyle w:val="BodyText"/>
      </w:pPr>
      <w:r>
        <w:t xml:space="preserve">Un dashboard ou une alerte peut être interprété comme une instruction. La Phase 14 doit empêcher cette dérive.</w:t>
      </w:r>
    </w:p>
    <w:p>
      <w:pPr>
        <w:pStyle w:val="BodyText"/>
      </w:pPr>
      <w:r>
        <w:t xml:space="preserve">Le troisième est le risque de confusion entre pilotage et commandement.</w:t>
      </w:r>
    </w:p>
    <w:p>
      <w:pPr>
        <w:pStyle w:val="BodyText"/>
      </w:pPr>
      <w:r>
        <w:t xml:space="preserve">Un Command Center doit soutenir l’analyse et la coordination, non imposer des décisions mécaniques.</w:t>
      </w:r>
    </w:p>
    <w:p>
      <w:pPr>
        <w:pStyle w:val="BodyText"/>
      </w:pPr>
      <w:r>
        <w:t xml:space="preserve">Le quatrième est le risque de surconfiance.</w:t>
      </w:r>
    </w:p>
    <w:p>
      <w:pPr>
        <w:pStyle w:val="BodyText"/>
      </w:pPr>
      <w:r>
        <w:t xml:space="preserve">Plus un dispositif paraît sophistiqué, plus les utilisateurs peuvent lui accorder une confiance excessive.</w:t>
      </w:r>
    </w:p>
    <w:p>
      <w:pPr>
        <w:pStyle w:val="BodyText"/>
      </w:pPr>
      <w:r>
        <w:t xml:space="preserve">Le cinquième est le risque de rupture de continuité documentaire.</w:t>
      </w:r>
    </w:p>
    <w:p>
      <w:pPr>
        <w:pStyle w:val="BodyText"/>
      </w:pPr>
      <w:r>
        <w:t xml:space="preserve">Si les artefacts du Command Center ne sont pas versionnés, indexés et récupérables localement, la gouvernance se fragilise.</w:t>
      </w:r>
    </w:p>
    <w:p>
      <w:pPr>
        <w:pStyle w:val="BodyText"/>
      </w:pPr>
      <w:r>
        <w:t xml:space="preserve">La Phase 14 transforme ces risques en exigences de contrôle.</w:t>
      </w:r>
    </w:p>
    <w:p>
      <w:r>
        <w:pict>
          <v:rect style="width:0;height:1.5pt" o:hralign="center" o:hrstd="t" o:hr="t"/>
        </w:pict>
      </w:r>
    </w:p>
    <w:bookmarkEnd w:id="53"/>
    <w:bookmarkEnd w:id="54"/>
    <w:bookmarkStart w:id="56" w:name="chapitre-192"/>
    <w:p>
      <w:pPr>
        <w:pStyle w:val="Heading1"/>
      </w:pPr>
      <w:r>
        <w:t xml:space="preserve">Chapitre 192</w:t>
      </w:r>
    </w:p>
    <w:bookmarkStart w:id="55" w:name="Xba85bd5a7264ceac2ef0f78a94ce9abd1a12611"/>
    <w:p>
      <w:pPr>
        <w:pStyle w:val="Heading2"/>
      </w:pPr>
      <w:r>
        <w:t xml:space="preserve">Repository Continuity &amp; Local Synchronization</w:t>
      </w:r>
    </w:p>
    <w:p>
      <w:pPr>
        <w:pStyle w:val="FirstParagraph"/>
      </w:pPr>
      <w:r>
        <w:t xml:space="preserve">La Phase 14 hérite du protocole introduit en Phase 13.</w:t>
      </w:r>
    </w:p>
    <w:p>
      <w:pPr>
        <w:pStyle w:val="BodyText"/>
      </w:pPr>
      <w:r>
        <w:t xml:space="preserve">Toute structure créée dans le cloud doit être :</w:t>
      </w:r>
    </w:p>
    <w:p>
      <w:pPr>
        <w:pStyle w:val="Compact"/>
        <w:numPr>
          <w:ilvl w:val="0"/>
          <w:numId w:val="1014"/>
        </w:numPr>
      </w:pPr>
      <w:r>
        <w:t xml:space="preserve">versionnée ;</w:t>
      </w:r>
    </w:p>
    <w:p>
      <w:pPr>
        <w:pStyle w:val="Compact"/>
        <w:numPr>
          <w:ilvl w:val="0"/>
          <w:numId w:val="1014"/>
        </w:numPr>
      </w:pPr>
      <w:r>
        <w:t xml:space="preserve">committée ;</w:t>
      </w:r>
    </w:p>
    <w:p>
      <w:pPr>
        <w:pStyle w:val="Compact"/>
        <w:numPr>
          <w:ilvl w:val="0"/>
          <w:numId w:val="1014"/>
        </w:numPr>
      </w:pPr>
      <w:r>
        <w:t xml:space="preserve">poussée sur GitHub ;</w:t>
      </w:r>
    </w:p>
    <w:p>
      <w:pPr>
        <w:pStyle w:val="Compact"/>
        <w:numPr>
          <w:ilvl w:val="0"/>
          <w:numId w:val="1014"/>
        </w:numPr>
      </w:pPr>
      <w:r>
        <w:t xml:space="preserve">rattachée à une pull request ;</w:t>
      </w:r>
    </w:p>
    <w:p>
      <w:pPr>
        <w:pStyle w:val="Compact"/>
        <w:numPr>
          <w:ilvl w:val="0"/>
          <w:numId w:val="1014"/>
        </w:numPr>
      </w:pPr>
      <w:r>
        <w:t xml:space="preserve">récupérable localement par</w:t>
      </w:r>
      <w:r>
        <w:t xml:space="preserve"> </w:t>
      </w:r>
      <w:r>
        <w:rPr>
          <w:rStyle w:val="VerbatimChar"/>
        </w:rPr>
        <w:t xml:space="preserve">git pull</w:t>
      </w:r>
      <w:r>
        <w:t xml:space="preserve">.</w:t>
      </w:r>
    </w:p>
    <w:p>
      <w:pPr>
        <w:pStyle w:val="FirstParagraph"/>
      </w:pPr>
      <w:r>
        <w:t xml:space="preserve">La source de vérité reste GitHub.</w:t>
      </w:r>
    </w:p>
    <w:p>
      <w:pPr>
        <w:pStyle w:val="BodyText"/>
      </w:pPr>
      <w:r>
        <w:t xml:space="preserve">Le Mac local ne doit pas devenir une seconde source de vérité.</w:t>
      </w:r>
    </w:p>
    <w:p>
      <w:pPr>
        <w:pStyle w:val="BodyText"/>
      </w:pPr>
      <w:r>
        <w:t xml:space="preserve">La procédure locale future reste :</w:t>
      </w:r>
    </w:p>
    <w:p>
      <w:pPr>
        <w:pStyle w:val="SourceCode"/>
      </w:pPr>
      <w:r>
        <w:rPr>
          <w:rStyle w:val="BuiltInTok"/>
        </w:rPr>
        <w:t xml:space="preserve">cd</w:t>
      </w:r>
      <w:r>
        <w:rPr>
          <w:rStyle w:val="NormalTok"/>
        </w:rPr>
        <w:t xml:space="preserve"> ~/chemin/vers/cs-greffe-os-cloud</w:t>
      </w:r>
      <w:r>
        <w:br/>
      </w:r>
      <w:r>
        <w:rPr>
          <w:rStyle w:val="FunctionTok"/>
        </w:rPr>
        <w:t xml:space="preserve">git</w:t>
      </w:r>
      <w:r>
        <w:rPr>
          <w:rStyle w:val="NormalTok"/>
        </w:rPr>
        <w:t xml:space="preserve"> status</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checkout main</w:t>
      </w:r>
      <w:r>
        <w:br/>
      </w:r>
      <w:r>
        <w:rPr>
          <w:rStyle w:val="FunctionTok"/>
        </w:rPr>
        <w:t xml:space="preserve">git</w:t>
      </w:r>
      <w:r>
        <w:rPr>
          <w:rStyle w:val="NormalTok"/>
        </w:rPr>
        <w:t xml:space="preserve"> pull origin main</w:t>
      </w:r>
      <w:r>
        <w:br/>
      </w:r>
      <w:r>
        <w:rPr>
          <w:rStyle w:val="FunctionTok"/>
        </w:rPr>
        <w:t xml:space="preserve">ls</w:t>
      </w:r>
      <w:r>
        <w:rPr>
          <w:rStyle w:val="NormalTok"/>
        </w:rPr>
        <w:t xml:space="preserve"> </w:t>
      </w:r>
      <w:r>
        <w:rPr>
          <w:rStyle w:val="AttributeTok"/>
        </w:rPr>
        <w:t xml:space="preserve">-la</w:t>
      </w:r>
      <w:r>
        <w:rPr>
          <w:rStyle w:val="NormalTok"/>
        </w:rPr>
        <w:t xml:space="preserve"> docs/cs_greffe_os</w:t>
      </w:r>
    </w:p>
    <w:p>
      <w:pPr>
        <w:pStyle w:val="FirstParagraph"/>
      </w:pPr>
      <w:r>
        <w:t xml:space="preserve">Si la branche n’est pas encore mergée :</w:t>
      </w:r>
    </w:p>
    <w:p>
      <w:pPr>
        <w:pStyle w:val="SourceCode"/>
      </w:pPr>
      <w:r>
        <w:rPr>
          <w:rStyle w:val="FunctionTok"/>
        </w:rPr>
        <w:t xml:space="preserve">git</w:t>
      </w:r>
      <w:r>
        <w:rPr>
          <w:rStyle w:val="NormalTok"/>
        </w:rPr>
        <w:t xml:space="preserve"> fetch origin</w:t>
      </w:r>
      <w:r>
        <w:br/>
      </w:r>
      <w:r>
        <w:rPr>
          <w:rStyle w:val="FunctionTok"/>
        </w:rPr>
        <w:t xml:space="preserve">git</w:t>
      </w:r>
      <w:r>
        <w:rPr>
          <w:rStyle w:val="NormalTok"/>
        </w:rPr>
        <w:t xml:space="preserve"> branch </w:t>
      </w:r>
      <w:r>
        <w:rPr>
          <w:rStyle w:val="AttributeTok"/>
        </w:rPr>
        <w:t xml:space="preserve">-r</w:t>
      </w:r>
      <w:r>
        <w:br/>
      </w:r>
      <w:r>
        <w:rPr>
          <w:rStyle w:val="FunctionTok"/>
        </w:rPr>
        <w:t xml:space="preserve">git</w:t>
      </w:r>
      <w:r>
        <w:rPr>
          <w:rStyle w:val="NormalTok"/>
        </w:rPr>
        <w:t xml:space="preserve"> checkout </w:t>
      </w:r>
      <w:r>
        <w:rPr>
          <w:rStyle w:val="AttributeTok"/>
        </w:rPr>
        <w:t xml:space="preserve">-b</w:t>
      </w:r>
      <w:r>
        <w:rPr>
          <w:rStyle w:val="NormalTok"/>
        </w:rPr>
        <w:t xml:space="preserve"> nom-de-la-branche origin/nom-de-la-branche</w:t>
      </w:r>
    </w:p>
    <w:p>
      <w:pPr>
        <w:pStyle w:val="FirstParagraph"/>
      </w:pPr>
      <w:r>
        <w:t xml:space="preserve">Tout dossier vide nécessaire doit contenir un fichier :</w:t>
      </w:r>
    </w:p>
    <w:p>
      <w:pPr>
        <w:pStyle w:val="SourceCode"/>
      </w:pPr>
      <w:r>
        <w:rPr>
          <w:rStyle w:val="VerbatimChar"/>
        </w:rPr>
        <w:t xml:space="preserve">.gitkeep</w:t>
      </w:r>
    </w:p>
    <w:p>
      <w:pPr>
        <w:pStyle w:val="FirstParagraph"/>
      </w:pPr>
      <w:r>
        <w:t xml:space="preserve">Le Command Center devra donc être documenté dans une structure versionnée, indexée, testable et récupérable.</w:t>
      </w:r>
    </w:p>
    <w:p>
      <w:r>
        <w:pict>
          <v:rect style="width:0;height:1.5pt" o:hralign="center" o:hrstd="t" o:hr="t"/>
        </w:pict>
      </w:r>
    </w:p>
    <w:bookmarkEnd w:id="55"/>
    <w:bookmarkEnd w:id="56"/>
    <w:bookmarkStart w:id="58" w:name="chapitre-193"/>
    <w:p>
      <w:pPr>
        <w:pStyle w:val="Heading1"/>
      </w:pPr>
      <w:r>
        <w:t xml:space="preserve">Chapitre 193</w:t>
      </w:r>
    </w:p>
    <w:bookmarkStart w:id="57" w:name="choix-du-domaine-documentaire"/>
    <w:p>
      <w:pPr>
        <w:pStyle w:val="Heading2"/>
      </w:pPr>
      <w:r>
        <w:t xml:space="preserve">Choix du domaine documentaire</w:t>
      </w:r>
    </w:p>
    <w:p>
      <w:pPr>
        <w:pStyle w:val="FirstParagraph"/>
      </w:pPr>
      <w:r>
        <w:t xml:space="preserve">La Phase 13 a retenu le domaine :</w:t>
      </w:r>
    </w:p>
    <w:p>
      <w:pPr>
        <w:pStyle w:val="SourceCode"/>
      </w:pPr>
      <w:r>
        <w:rPr>
          <w:rStyle w:val="VerbatimChar"/>
        </w:rPr>
        <w:t xml:space="preserve">docs/cs_greffe_os/24_DASHBOARDS/</w:t>
      </w:r>
    </w:p>
    <w:p>
      <w:pPr>
        <w:pStyle w:val="FirstParagraph"/>
      </w:pPr>
      <w:r>
        <w:t xml:space="preserve">Pour préserver la continuité de l’arborescence et éviter de casser les dossiers existants, la Phase 14 doit poursuivre cette logique.</w:t>
      </w:r>
    </w:p>
    <w:p>
      <w:pPr>
        <w:pStyle w:val="BodyText"/>
      </w:pPr>
      <w:r>
        <w:t xml:space="preserve">Le domaine documentaire recommandé est donc :</w:t>
      </w:r>
    </w:p>
    <w:p>
      <w:pPr>
        <w:pStyle w:val="SourceCode"/>
      </w:pPr>
      <w:r>
        <w:rPr>
          <w:rStyle w:val="VerbatimChar"/>
        </w:rPr>
        <w:t xml:space="preserve">docs/cs_greffe_os/25_COMMAND_CENTER/</w:t>
      </w:r>
    </w:p>
    <w:p>
      <w:pPr>
        <w:pStyle w:val="FirstParagraph"/>
      </w:pPr>
      <w:r>
        <w:t xml:space="preserve">Ce choix permet de maintenir la continuité :</w:t>
      </w:r>
    </w:p>
    <w:p>
      <w:pPr>
        <w:pStyle w:val="SourceCode"/>
      </w:pPr>
      <w:r>
        <w:rPr>
          <w:rStyle w:val="VerbatimChar"/>
        </w:rPr>
        <w:t xml:space="preserve">23_APPLICATIONS/</w:t>
      </w:r>
      <w:r>
        <w:br/>
      </w:r>
      <w:r>
        <w:rPr>
          <w:rStyle w:val="VerbatimChar"/>
        </w:rPr>
        <w:t xml:space="preserve">24_DASHBOARDS/</w:t>
      </w:r>
      <w:r>
        <w:br/>
      </w:r>
      <w:r>
        <w:rPr>
          <w:rStyle w:val="VerbatimChar"/>
        </w:rPr>
        <w:t xml:space="preserve">25_COMMAND_CENTER/</w:t>
      </w:r>
    </w:p>
    <w:p>
      <w:pPr>
        <w:pStyle w:val="FirstParagraph"/>
      </w:pPr>
      <w:r>
        <w:t xml:space="preserve">Cette structure est claire, progressive et récupérable localement.</w:t>
      </w:r>
    </w:p>
    <w:p>
      <w:r>
        <w:pict>
          <v:rect style="width:0;height:1.5pt" o:hralign="center" o:hrstd="t" o:hr="t"/>
        </w:pict>
      </w:r>
    </w:p>
    <w:bookmarkEnd w:id="57"/>
    <w:bookmarkEnd w:id="58"/>
    <w:bookmarkStart w:id="60" w:name="chapitre-194"/>
    <w:p>
      <w:pPr>
        <w:pStyle w:val="Heading1"/>
      </w:pPr>
      <w:r>
        <w:t xml:space="preserve">Chapitre 194</w:t>
      </w:r>
    </w:p>
    <w:bookmarkStart w:id="59" w:name="articulation-avec-les-phases-antérieures"/>
    <w:p>
      <w:pPr>
        <w:pStyle w:val="Heading2"/>
      </w:pPr>
      <w:r>
        <w:t xml:space="preserve">Articulation avec les phases antérieures</w:t>
      </w:r>
    </w:p>
    <w:p>
      <w:pPr>
        <w:pStyle w:val="FirstParagraph"/>
      </w:pPr>
      <w:r>
        <w:t xml:space="preserve">La Phase 14 hérite de toutes les phases précédentes.</w:t>
      </w:r>
    </w:p>
    <w:p>
      <w:pPr>
        <w:pStyle w:val="BodyText"/>
      </w:pPr>
      <w:r>
        <w:t xml:space="preserve">Elle hérite de la Phase 0 son identité.</w:t>
      </w:r>
    </w:p>
    <w:p>
      <w:pPr>
        <w:pStyle w:val="BodyText"/>
      </w:pPr>
      <w:r>
        <w:t xml:space="preserve">Elle hérite de la Phase 1 sa mémoire.</w:t>
      </w:r>
    </w:p>
    <w:p>
      <w:pPr>
        <w:pStyle w:val="BodyText"/>
      </w:pPr>
      <w:r>
        <w:t xml:space="preserve">Elle hérite de la Phase 2 son architecture.</w:t>
      </w:r>
    </w:p>
    <w:p>
      <w:pPr>
        <w:pStyle w:val="BodyText"/>
      </w:pPr>
      <w:r>
        <w:t xml:space="preserve">Elle hérite de la Phase 3 sa gouvernance des connaissances.</w:t>
      </w:r>
    </w:p>
    <w:p>
      <w:pPr>
        <w:pStyle w:val="BodyText"/>
      </w:pPr>
      <w:r>
        <w:t xml:space="preserve">Elle hérite de la Phase 4 son JDGO.</w:t>
      </w:r>
    </w:p>
    <w:p>
      <w:pPr>
        <w:pStyle w:val="BodyText"/>
      </w:pPr>
      <w:r>
        <w:t xml:space="preserve">Elle hérite de la Phase 5 ses données gouvernées.</w:t>
      </w:r>
    </w:p>
    <w:p>
      <w:pPr>
        <w:pStyle w:val="BodyText"/>
      </w:pPr>
      <w:r>
        <w:t xml:space="preserve">Elle hérite de la Phase 6 sa couche sémantique.</w:t>
      </w:r>
    </w:p>
    <w:p>
      <w:pPr>
        <w:pStyle w:val="BodyText"/>
      </w:pPr>
      <w:r>
        <w:t xml:space="preserve">Elle hérite de la Phase 7 son RAG.</w:t>
      </w:r>
    </w:p>
    <w:p>
      <w:pPr>
        <w:pStyle w:val="BodyText"/>
      </w:pPr>
      <w:r>
        <w:t xml:space="preserve">Elle hérite de la Phase 8 ses agents.</w:t>
      </w:r>
    </w:p>
    <w:p>
      <w:pPr>
        <w:pStyle w:val="BodyText"/>
      </w:pPr>
      <w:r>
        <w:t xml:space="preserve">Elle hérite de la Phase 9 sa gouvernance IA.</w:t>
      </w:r>
    </w:p>
    <w:p>
      <w:pPr>
        <w:pStyle w:val="BodyText"/>
      </w:pPr>
      <w:r>
        <w:t xml:space="preserve">Elle hérite de la Phase 10 son LLMOps.</w:t>
      </w:r>
    </w:p>
    <w:p>
      <w:pPr>
        <w:pStyle w:val="BodyText"/>
      </w:pPr>
      <w:r>
        <w:t xml:space="preserve">Elle hérite de la Phase 11 ses modules métier.</w:t>
      </w:r>
    </w:p>
    <w:p>
      <w:pPr>
        <w:pStyle w:val="BodyText"/>
      </w:pPr>
      <w:r>
        <w:t xml:space="preserve">Elle hérite de la Phase 12 ses applications.</w:t>
      </w:r>
    </w:p>
    <w:p>
      <w:pPr>
        <w:pStyle w:val="BodyText"/>
      </w:pPr>
      <w:r>
        <w:t xml:space="preserve">Elle hérite de la Phase 13 ses dashboards et métriques gouvernées.</w:t>
      </w:r>
    </w:p>
    <w:p>
      <w:pPr>
        <w:pStyle w:val="BodyText"/>
      </w:pPr>
      <w:r>
        <w:t xml:space="preserve">Elle ajoute une nouvelle couche : le pilotage institutionnel gouverné.</w:t>
      </w:r>
    </w:p>
    <w:p>
      <w:r>
        <w:pict>
          <v:rect style="width:0;height:1.5pt" o:hralign="center" o:hrstd="t" o:hr="t"/>
        </w:pict>
      </w:r>
    </w:p>
    <w:bookmarkEnd w:id="59"/>
    <w:bookmarkEnd w:id="60"/>
    <w:bookmarkStart w:id="62" w:name="chapitre-195"/>
    <w:p>
      <w:pPr>
        <w:pStyle w:val="Heading1"/>
      </w:pPr>
      <w:r>
        <w:t xml:space="preserve">Chapitre 195</w:t>
      </w:r>
    </w:p>
    <w:bookmarkStart w:id="61" w:name="X6e5173e73f378b8839bae3f9b3e80a3f65fc229"/>
    <w:p>
      <w:pPr>
        <w:pStyle w:val="Heading2"/>
      </w:pPr>
      <w:r>
        <w:t xml:space="preserve">Les documents structurants de la Phase 14</w:t>
      </w:r>
    </w:p>
    <w:p>
      <w:pPr>
        <w:pStyle w:val="FirstParagraph"/>
      </w:pPr>
      <w:r>
        <w:t xml:space="preserve">La Phase 14 doit produire les cadres suivants :</w:t>
      </w:r>
    </w:p>
    <w:p>
      <w:pPr>
        <w:pStyle w:val="Compact"/>
        <w:numPr>
          <w:ilvl w:val="0"/>
          <w:numId w:val="1015"/>
        </w:numPr>
      </w:pPr>
      <w:r>
        <w:t xml:space="preserve">COMMAND_CENTER_FOUNDATION_FRAMEWORK_V1.md ;</w:t>
      </w:r>
    </w:p>
    <w:p>
      <w:pPr>
        <w:pStyle w:val="Compact"/>
        <w:numPr>
          <w:ilvl w:val="0"/>
          <w:numId w:val="1015"/>
        </w:numPr>
      </w:pPr>
      <w:r>
        <w:t xml:space="preserve">COMMAND_CENTER_CONCEPTUAL_MODEL_V1.md ;</w:t>
      </w:r>
    </w:p>
    <w:p>
      <w:pPr>
        <w:pStyle w:val="Compact"/>
        <w:numPr>
          <w:ilvl w:val="0"/>
          <w:numId w:val="1015"/>
        </w:numPr>
      </w:pPr>
      <w:r>
        <w:t xml:space="preserve">COMMAND_CENTER_REGISTRY_V1.md ;</w:t>
      </w:r>
    </w:p>
    <w:p>
      <w:pPr>
        <w:pStyle w:val="Compact"/>
        <w:numPr>
          <w:ilvl w:val="0"/>
          <w:numId w:val="1015"/>
        </w:numPr>
      </w:pPr>
      <w:r>
        <w:t xml:space="preserve">COMMAND_CENTER_CLASSIFICATION_FRAMEWORK_V1.md ;</w:t>
      </w:r>
    </w:p>
    <w:p>
      <w:pPr>
        <w:pStyle w:val="Compact"/>
        <w:numPr>
          <w:ilvl w:val="0"/>
          <w:numId w:val="1015"/>
        </w:numPr>
      </w:pPr>
      <w:r>
        <w:t xml:space="preserve">COMMAND_CENTER_OWNERSHIP_FRAMEWORK_V1.md ;</w:t>
      </w:r>
    </w:p>
    <w:p>
      <w:pPr>
        <w:pStyle w:val="Compact"/>
        <w:numPr>
          <w:ilvl w:val="0"/>
          <w:numId w:val="1015"/>
        </w:numPr>
      </w:pPr>
      <w:r>
        <w:t xml:space="preserve">COMMAND_CENTER_ROLE_AND_ACCESS_MODEL_V1.md ;</w:t>
      </w:r>
    </w:p>
    <w:p>
      <w:pPr>
        <w:pStyle w:val="Compact"/>
        <w:numPr>
          <w:ilvl w:val="0"/>
          <w:numId w:val="1015"/>
        </w:numPr>
      </w:pPr>
      <w:r>
        <w:t xml:space="preserve">COMMAND_CENTER_DASHBOARD_DEPENDENCY_FRAMEWORK_V1.md ;</w:t>
      </w:r>
    </w:p>
    <w:p>
      <w:pPr>
        <w:pStyle w:val="Compact"/>
        <w:numPr>
          <w:ilvl w:val="0"/>
          <w:numId w:val="1015"/>
        </w:numPr>
      </w:pPr>
      <w:r>
        <w:t xml:space="preserve">COMMAND_CENTER_METRICS_DEPENDENCY_FRAMEWORK_V1.md ;</w:t>
      </w:r>
    </w:p>
    <w:p>
      <w:pPr>
        <w:pStyle w:val="Compact"/>
        <w:numPr>
          <w:ilvl w:val="0"/>
          <w:numId w:val="1015"/>
        </w:numPr>
      </w:pPr>
      <w:r>
        <w:t xml:space="preserve">COMMAND_CENTER_ALERTING_AND_ESCALATION_FRAMEWORK_V1.md ;</w:t>
      </w:r>
    </w:p>
    <w:p>
      <w:pPr>
        <w:pStyle w:val="Compact"/>
        <w:numPr>
          <w:ilvl w:val="0"/>
          <w:numId w:val="1015"/>
        </w:numPr>
      </w:pPr>
      <w:r>
        <w:t xml:space="preserve">COMMAND_CENTER_DECISION_SUPPORT_BOUNDARIES_V1.md ;</w:t>
      </w:r>
    </w:p>
    <w:p>
      <w:pPr>
        <w:pStyle w:val="Compact"/>
        <w:numPr>
          <w:ilvl w:val="0"/>
          <w:numId w:val="1015"/>
        </w:numPr>
      </w:pPr>
      <w:r>
        <w:t xml:space="preserve">COMMAND_CENTER_HUMAN_DECISION_LOG_FRAMEWORK_V1.md ;</w:t>
      </w:r>
    </w:p>
    <w:p>
      <w:pPr>
        <w:pStyle w:val="Compact"/>
        <w:numPr>
          <w:ilvl w:val="0"/>
          <w:numId w:val="1015"/>
        </w:numPr>
      </w:pPr>
      <w:r>
        <w:t xml:space="preserve">COMMAND_CENTER_TRACEABILITY_FRAMEWORK_V1.md ;</w:t>
      </w:r>
    </w:p>
    <w:p>
      <w:pPr>
        <w:pStyle w:val="Compact"/>
        <w:numPr>
          <w:ilvl w:val="0"/>
          <w:numId w:val="1015"/>
        </w:numPr>
      </w:pPr>
      <w:r>
        <w:t xml:space="preserve">COMMAND_CENTER_SECURITY_FRAMEWORK_V1.md ;</w:t>
      </w:r>
    </w:p>
    <w:p>
      <w:pPr>
        <w:pStyle w:val="Compact"/>
        <w:numPr>
          <w:ilvl w:val="0"/>
          <w:numId w:val="1015"/>
        </w:numPr>
      </w:pPr>
      <w:r>
        <w:t xml:space="preserve">COMMAND_CENTER_RISK_FRAMEWORK_V1.md ;</w:t>
      </w:r>
    </w:p>
    <w:p>
      <w:pPr>
        <w:pStyle w:val="Compact"/>
        <w:numPr>
          <w:ilvl w:val="0"/>
          <w:numId w:val="1015"/>
        </w:numPr>
      </w:pPr>
      <w:r>
        <w:t xml:space="preserve">COMMAND_CENTER_OBSERVABILITY_FRAMEWORK_V1.md ;</w:t>
      </w:r>
    </w:p>
    <w:p>
      <w:pPr>
        <w:pStyle w:val="Compact"/>
        <w:numPr>
          <w:ilvl w:val="0"/>
          <w:numId w:val="1015"/>
        </w:numPr>
      </w:pPr>
      <w:r>
        <w:t xml:space="preserve">COMMAND_CENTER_MATURITY_MODEL_V1.md ;</w:t>
      </w:r>
    </w:p>
    <w:p>
      <w:pPr>
        <w:pStyle w:val="Compact"/>
        <w:numPr>
          <w:ilvl w:val="0"/>
          <w:numId w:val="1015"/>
        </w:numPr>
      </w:pPr>
      <w:r>
        <w:t xml:space="preserve">COMMAND_CENTER_CONTINUITY_AND_LOCAL_SYNC_PROTOCOL_V1.md ;</w:t>
      </w:r>
    </w:p>
    <w:p>
      <w:pPr>
        <w:pStyle w:val="Compact"/>
        <w:numPr>
          <w:ilvl w:val="0"/>
          <w:numId w:val="1015"/>
        </w:numPr>
      </w:pPr>
      <w:r>
        <w:t xml:space="preserve">STRATEGIC_GREFFE_GOVERNANCE_COMMAND_CENTER_FRAMEWORK_V1.md ;</w:t>
      </w:r>
    </w:p>
    <w:p>
      <w:pPr>
        <w:pStyle w:val="Compact"/>
        <w:numPr>
          <w:ilvl w:val="0"/>
          <w:numId w:val="1015"/>
        </w:numPr>
      </w:pPr>
      <w:r>
        <w:t xml:space="preserve">JUDICIAL_GOVERNANCE_COMMAND_CENTER_PERSPECTIVE_V1.md ;</w:t>
      </w:r>
    </w:p>
    <w:p>
      <w:pPr>
        <w:pStyle w:val="Compact"/>
        <w:numPr>
          <w:ilvl w:val="0"/>
          <w:numId w:val="1015"/>
        </w:numPr>
      </w:pPr>
      <w:r>
        <w:t xml:space="preserve">PHASE_14_COMPLETION_REPORT_V1.md ;</w:t>
      </w:r>
    </w:p>
    <w:p>
      <w:pPr>
        <w:pStyle w:val="Compact"/>
        <w:numPr>
          <w:ilvl w:val="0"/>
          <w:numId w:val="1015"/>
        </w:numPr>
      </w:pPr>
      <w:r>
        <w:t xml:space="preserve">PROMPT_MERE_PHASE_15_INSTITUTIONAL_DECISION_SUPPORT_V1.md.</w:t>
      </w:r>
    </w:p>
    <w:p>
      <w:pPr>
        <w:pStyle w:val="FirstParagraph"/>
      </w:pPr>
      <w:r>
        <w:t xml:space="preserve">Ces documents permettront de préparer l’aide institutionnelle à la décision sans automatiser la décision.</w:t>
      </w:r>
    </w:p>
    <w:p>
      <w:r>
        <w:pict>
          <v:rect style="width:0;height:1.5pt" o:hralign="center" o:hrstd="t" o:hr="t"/>
        </w:pict>
      </w:r>
    </w:p>
    <w:bookmarkEnd w:id="61"/>
    <w:bookmarkEnd w:id="62"/>
    <w:bookmarkStart w:id="64" w:name="chapitre-196"/>
    <w:p>
      <w:pPr>
        <w:pStyle w:val="Heading1"/>
      </w:pPr>
      <w:r>
        <w:t xml:space="preserve">Chapitre 196</w:t>
      </w:r>
    </w:p>
    <w:bookmarkStart w:id="63" w:name="les-résultats-attendus"/>
    <w:p>
      <w:pPr>
        <w:pStyle w:val="Heading2"/>
      </w:pPr>
      <w:r>
        <w:t xml:space="preserve">Les résultats attendus</w:t>
      </w:r>
    </w:p>
    <w:p>
      <w:pPr>
        <w:pStyle w:val="FirstParagraph"/>
      </w:pPr>
      <w:r>
        <w:t xml:space="preserve">À l’issue de la Phase 14, CS GREFFE OS devra disposer d’une fondation claire pour ses Command Centers.</w:t>
      </w:r>
    </w:p>
    <w:p>
      <w:pPr>
        <w:pStyle w:val="BodyText"/>
      </w:pPr>
      <w:r>
        <w:t xml:space="preserve">Chaque Command Center cible devra être :</w:t>
      </w:r>
    </w:p>
    <w:p>
      <w:pPr>
        <w:pStyle w:val="Compact"/>
        <w:numPr>
          <w:ilvl w:val="0"/>
          <w:numId w:val="1016"/>
        </w:numPr>
      </w:pPr>
      <w:r>
        <w:t xml:space="preserve">identifié ;</w:t>
      </w:r>
    </w:p>
    <w:p>
      <w:pPr>
        <w:pStyle w:val="Compact"/>
        <w:numPr>
          <w:ilvl w:val="0"/>
          <w:numId w:val="1016"/>
        </w:numPr>
      </w:pPr>
      <w:r>
        <w:t xml:space="preserve">défini ;</w:t>
      </w:r>
    </w:p>
    <w:p>
      <w:pPr>
        <w:pStyle w:val="Compact"/>
        <w:numPr>
          <w:ilvl w:val="0"/>
          <w:numId w:val="1016"/>
        </w:numPr>
      </w:pPr>
      <w:r>
        <w:t xml:space="preserve">rattaché à des dashboards ;</w:t>
      </w:r>
    </w:p>
    <w:p>
      <w:pPr>
        <w:pStyle w:val="Compact"/>
        <w:numPr>
          <w:ilvl w:val="0"/>
          <w:numId w:val="1016"/>
        </w:numPr>
      </w:pPr>
      <w:r>
        <w:t xml:space="preserve">rattaché à des métriques ;</w:t>
      </w:r>
    </w:p>
    <w:p>
      <w:pPr>
        <w:pStyle w:val="Compact"/>
        <w:numPr>
          <w:ilvl w:val="0"/>
          <w:numId w:val="1016"/>
        </w:numPr>
      </w:pPr>
      <w:r>
        <w:t xml:space="preserve">rattaché à des alertes ;</w:t>
      </w:r>
    </w:p>
    <w:p>
      <w:pPr>
        <w:pStyle w:val="Compact"/>
        <w:numPr>
          <w:ilvl w:val="0"/>
          <w:numId w:val="1016"/>
        </w:numPr>
      </w:pPr>
      <w:r>
        <w:t xml:space="preserve">rattaché à des responsabilités humaines ;</w:t>
      </w:r>
    </w:p>
    <w:p>
      <w:pPr>
        <w:pStyle w:val="Compact"/>
        <w:numPr>
          <w:ilvl w:val="0"/>
          <w:numId w:val="1016"/>
        </w:numPr>
      </w:pPr>
      <w:r>
        <w:t xml:space="preserve">rattaché à des procédures d’escalade ;</w:t>
      </w:r>
    </w:p>
    <w:p>
      <w:pPr>
        <w:pStyle w:val="Compact"/>
        <w:numPr>
          <w:ilvl w:val="0"/>
          <w:numId w:val="1016"/>
        </w:numPr>
      </w:pPr>
      <w:r>
        <w:t xml:space="preserve">rattaché à des limites de décision ;</w:t>
      </w:r>
    </w:p>
    <w:p>
      <w:pPr>
        <w:pStyle w:val="Compact"/>
        <w:numPr>
          <w:ilvl w:val="0"/>
          <w:numId w:val="1016"/>
        </w:numPr>
      </w:pPr>
      <w:r>
        <w:t xml:space="preserve">rattaché à des règles d’accès ;</w:t>
      </w:r>
    </w:p>
    <w:p>
      <w:pPr>
        <w:pStyle w:val="Compact"/>
        <w:numPr>
          <w:ilvl w:val="0"/>
          <w:numId w:val="1016"/>
        </w:numPr>
      </w:pPr>
      <w:r>
        <w:t xml:space="preserve">rattaché à une traçabilité ;</w:t>
      </w:r>
    </w:p>
    <w:p>
      <w:pPr>
        <w:pStyle w:val="Compact"/>
        <w:numPr>
          <w:ilvl w:val="0"/>
          <w:numId w:val="1016"/>
        </w:numPr>
      </w:pPr>
      <w:r>
        <w:t xml:space="preserve">rattaché à une gouvernance de sécurité ;</w:t>
      </w:r>
    </w:p>
    <w:p>
      <w:pPr>
        <w:pStyle w:val="Compact"/>
        <w:numPr>
          <w:ilvl w:val="0"/>
          <w:numId w:val="1016"/>
        </w:numPr>
      </w:pPr>
      <w:r>
        <w:t xml:space="preserve">rattaché à une future aide institutionnelle à la décision.</w:t>
      </w:r>
    </w:p>
    <w:p>
      <w:pPr>
        <w:pStyle w:val="FirstParagraph"/>
      </w:pPr>
      <w:r>
        <w:t xml:space="preserve">La Phase 14 devra aussi confirmer que le dossier</w:t>
      </w:r>
      <w:r>
        <w:t xml:space="preserve"> </w:t>
      </w:r>
      <w:r>
        <w:rPr>
          <w:rStyle w:val="VerbatimChar"/>
        </w:rPr>
        <w:t xml:space="preserve">25_COMMAND_CENTER/</w:t>
      </w:r>
      <w:r>
        <w:t xml:space="preserve"> </w:t>
      </w:r>
      <w:r>
        <w:t xml:space="preserve">est versionné, indexé et récupérable localement par</w:t>
      </w:r>
      <w:r>
        <w:t xml:space="preserve"> </w:t>
      </w:r>
      <w:r>
        <w:rPr>
          <w:rStyle w:val="VerbatimChar"/>
        </w:rPr>
        <w:t xml:space="preserve">git pull</w:t>
      </w:r>
      <w:r>
        <w:t xml:space="preserve">.</w:t>
      </w:r>
    </w:p>
    <w:p>
      <w:r>
        <w:pict>
          <v:rect style="width:0;height:1.5pt" o:hralign="center" o:hrstd="t" o:hr="t"/>
        </w:pict>
      </w:r>
    </w:p>
    <w:bookmarkEnd w:id="63"/>
    <w:bookmarkEnd w:id="64"/>
    <w:bookmarkStart w:id="66" w:name="chapitre-197"/>
    <w:p>
      <w:pPr>
        <w:pStyle w:val="Heading1"/>
      </w:pPr>
      <w:r>
        <w:t xml:space="preserve">Chapitre 197</w:t>
      </w:r>
    </w:p>
    <w:bookmarkStart w:id="65" w:name="enseignements-méthodologiques"/>
    <w:p>
      <w:pPr>
        <w:pStyle w:val="Heading2"/>
      </w:pPr>
      <w:r>
        <w:t xml:space="preserve">Enseignements méthodologiques</w:t>
      </w:r>
    </w:p>
    <w:p>
      <w:pPr>
        <w:pStyle w:val="FirstParagraph"/>
      </w:pPr>
      <w:r>
        <w:t xml:space="preserve">La Phase 14 apporte une leçon majeure à Living Governance Engineering.</w:t>
      </w:r>
    </w:p>
    <w:p>
      <w:pPr>
        <w:pStyle w:val="BodyText"/>
      </w:pPr>
      <w:r>
        <w:t xml:space="preserve">Un Command Center ne doit pas être confondu avec une autorité.</w:t>
      </w:r>
    </w:p>
    <w:p>
      <w:pPr>
        <w:pStyle w:val="BodyText"/>
      </w:pPr>
      <w:r>
        <w:t xml:space="preserve">Il ne décide pas.</w:t>
      </w:r>
    </w:p>
    <w:p>
      <w:pPr>
        <w:pStyle w:val="BodyText"/>
      </w:pPr>
      <w:r>
        <w:t xml:space="preserve">Il ne remplace pas.</w:t>
      </w:r>
    </w:p>
    <w:p>
      <w:pPr>
        <w:pStyle w:val="BodyText"/>
      </w:pPr>
      <w:r>
        <w:t xml:space="preserve">Il ne commande pas mécaniquement.</w:t>
      </w:r>
    </w:p>
    <w:p>
      <w:pPr>
        <w:pStyle w:val="BodyText"/>
      </w:pPr>
      <w:r>
        <w:t xml:space="preserve">Il rend visible.</w:t>
      </w:r>
    </w:p>
    <w:p>
      <w:pPr>
        <w:pStyle w:val="BodyText"/>
      </w:pPr>
      <w:r>
        <w:t xml:space="preserve">Il relie.</w:t>
      </w:r>
    </w:p>
    <w:p>
      <w:pPr>
        <w:pStyle w:val="BodyText"/>
      </w:pPr>
      <w:r>
        <w:t xml:space="preserve">Il alerte.</w:t>
      </w:r>
    </w:p>
    <w:p>
      <w:pPr>
        <w:pStyle w:val="BodyText"/>
      </w:pPr>
      <w:r>
        <w:t xml:space="preserve">Il documente.</w:t>
      </w:r>
    </w:p>
    <w:p>
      <w:pPr>
        <w:pStyle w:val="BodyText"/>
      </w:pPr>
      <w:r>
        <w:t xml:space="preserve">Il soutient l’analyse.</w:t>
      </w:r>
    </w:p>
    <w:p>
      <w:pPr>
        <w:pStyle w:val="BodyText"/>
      </w:pPr>
      <w:r>
        <w:t xml:space="preserve">Il renforce la mémoire institutionnelle.</w:t>
      </w:r>
    </w:p>
    <w:p>
      <w:pPr>
        <w:pStyle w:val="BodyText"/>
      </w:pPr>
      <w:r>
        <w:t xml:space="preserve">Il prépare l’aide à la décision humaine.</w:t>
      </w:r>
    </w:p>
    <w:p>
      <w:pPr>
        <w:pStyle w:val="BodyText"/>
      </w:pPr>
      <w:r>
        <w:t xml:space="preserve">La gouvernance commence lorsque le pilotage reste responsable.</w:t>
      </w:r>
    </w:p>
    <w:p>
      <w:r>
        <w:pict>
          <v:rect style="width:0;height:1.5pt" o:hralign="center" o:hrstd="t" o:hr="t"/>
        </w:pict>
      </w:r>
    </w:p>
    <w:bookmarkEnd w:id="65"/>
    <w:bookmarkEnd w:id="66"/>
    <w:bookmarkStart w:id="68" w:name="chapitre-198"/>
    <w:p>
      <w:pPr>
        <w:pStyle w:val="Heading1"/>
      </w:pPr>
      <w:r>
        <w:t xml:space="preserve">Chapitre 198</w:t>
      </w:r>
    </w:p>
    <w:bookmarkStart w:id="67" w:name="transition-vers-la-phase-15"/>
    <w:p>
      <w:pPr>
        <w:pStyle w:val="Heading2"/>
      </w:pPr>
      <w:r>
        <w:t xml:space="preserve">Transition vers la Phase 15</w:t>
      </w:r>
    </w:p>
    <w:p>
      <w:pPr>
        <w:pStyle w:val="FirstParagraph"/>
      </w:pPr>
      <w:r>
        <w:t xml:space="preserve">Une fois les Command Centers préparés, une nouvelle étape devient possible.</w:t>
      </w:r>
    </w:p>
    <w:p>
      <w:pPr>
        <w:pStyle w:val="BodyText"/>
      </w:pPr>
      <w:r>
        <w:t xml:space="preserve">Il devient possible de préparer l’aide institutionnelle à la décision.</w:t>
      </w:r>
    </w:p>
    <w:p>
      <w:pPr>
        <w:pStyle w:val="BodyText"/>
      </w:pPr>
      <w:r>
        <w:t xml:space="preserve">Mais cette étape doit être abordée avec encore plus de prudence.</w:t>
      </w:r>
    </w:p>
    <w:p>
      <w:pPr>
        <w:pStyle w:val="BodyText"/>
      </w:pPr>
      <w:r>
        <w:t xml:space="preserve">L’aide à la décision ne doit jamais devenir décision automatisée.</w:t>
      </w:r>
    </w:p>
    <w:p>
      <w:pPr>
        <w:pStyle w:val="BodyText"/>
      </w:pPr>
      <w:r>
        <w:t xml:space="preserve">Elle doit rester :</w:t>
      </w:r>
    </w:p>
    <w:p>
      <w:pPr>
        <w:pStyle w:val="Compact"/>
        <w:numPr>
          <w:ilvl w:val="0"/>
          <w:numId w:val="1017"/>
        </w:numPr>
      </w:pPr>
      <w:r>
        <w:t xml:space="preserve">explicable ;</w:t>
      </w:r>
    </w:p>
    <w:p>
      <w:pPr>
        <w:pStyle w:val="Compact"/>
        <w:numPr>
          <w:ilvl w:val="0"/>
          <w:numId w:val="1017"/>
        </w:numPr>
      </w:pPr>
      <w:r>
        <w:t xml:space="preserve">traçable ;</w:t>
      </w:r>
    </w:p>
    <w:p>
      <w:pPr>
        <w:pStyle w:val="Compact"/>
        <w:numPr>
          <w:ilvl w:val="0"/>
          <w:numId w:val="1017"/>
        </w:numPr>
      </w:pPr>
      <w:r>
        <w:t xml:space="preserve">supervisée ;</w:t>
      </w:r>
    </w:p>
    <w:p>
      <w:pPr>
        <w:pStyle w:val="Compact"/>
        <w:numPr>
          <w:ilvl w:val="0"/>
          <w:numId w:val="1017"/>
        </w:numPr>
      </w:pPr>
      <w:r>
        <w:t xml:space="preserve">limitée ;</w:t>
      </w:r>
    </w:p>
    <w:p>
      <w:pPr>
        <w:pStyle w:val="Compact"/>
        <w:numPr>
          <w:ilvl w:val="0"/>
          <w:numId w:val="1017"/>
        </w:numPr>
      </w:pPr>
      <w:r>
        <w:t xml:space="preserve">validée ;</w:t>
      </w:r>
    </w:p>
    <w:p>
      <w:pPr>
        <w:pStyle w:val="Compact"/>
        <w:numPr>
          <w:ilvl w:val="0"/>
          <w:numId w:val="1017"/>
        </w:numPr>
      </w:pPr>
      <w:r>
        <w:t xml:space="preserve">humaine ;</w:t>
      </w:r>
    </w:p>
    <w:p>
      <w:pPr>
        <w:pStyle w:val="Compact"/>
        <w:numPr>
          <w:ilvl w:val="0"/>
          <w:numId w:val="1017"/>
        </w:numPr>
      </w:pPr>
      <w:r>
        <w:t xml:space="preserve">responsable.</w:t>
      </w:r>
    </w:p>
    <w:p>
      <w:pPr>
        <w:pStyle w:val="FirstParagraph"/>
      </w:pPr>
      <w:r>
        <w:t xml:space="preserve">La Phase 15 devra donc répondre à une nouvelle question :</w:t>
      </w:r>
    </w:p>
    <w:p>
      <w:pPr>
        <w:pStyle w:val="BodyText"/>
      </w:pPr>
      <w:r>
        <w:t xml:space="preserve">Comment structurer une aide institutionnelle à la décision qui soutient les responsables sans se substituer à eux ?</w:t>
      </w:r>
    </w:p>
    <w:p>
      <w:pPr>
        <w:pStyle w:val="BodyText"/>
      </w:pPr>
      <w:r>
        <w:t xml:space="preserve">Cette question ouvre la voie à :</w:t>
      </w:r>
    </w:p>
    <w:bookmarkEnd w:id="67"/>
    <w:bookmarkEnd w:id="68"/>
    <w:bookmarkStart w:id="69" w:name="Xda710a234cdf2f86b2ebec49483251accf9306d"/>
    <w:p>
      <w:pPr>
        <w:pStyle w:val="Heading1"/>
      </w:pPr>
      <w:r>
        <w:t xml:space="preserve">PHASE 15 — INSTITUTIONAL DECISION SUPPORT FOUNDATION</w:t>
      </w:r>
    </w:p>
    <w:p>
      <w:r>
        <w:pict>
          <v:rect style="width:0;height:1.5pt" o:hralign="center" o:hrstd="t" o:hr="t"/>
        </w:pict>
      </w:r>
    </w:p>
    <w:bookmarkEnd w:id="69"/>
    <w:bookmarkStart w:id="71" w:name="chapitre-199"/>
    <w:p>
      <w:pPr>
        <w:pStyle w:val="Heading1"/>
      </w:pPr>
      <w:r>
        <w:t xml:space="preserve">Chapitre 199</w:t>
      </w:r>
    </w:p>
    <w:bookmarkStart w:id="70" w:name="X77cd2b7421e0cb6e360ea0afa548820528b5c99"/>
    <w:p>
      <w:pPr>
        <w:pStyle w:val="Heading2"/>
      </w:pPr>
      <w:r>
        <w:t xml:space="preserve">PROMPT MÈRE VÉRIFIÉ — PHASE 14 : COMMAND CENTER FOUNDATION</w:t>
      </w:r>
    </w:p>
    <w:bookmarkEnd w:id="70"/>
    <w:bookmarkEnd w:id="71"/>
    <w:bookmarkStart w:id="73" w:name="X88d40aee989b8679d00021948c63da38ff5dccc"/>
    <w:p>
      <w:pPr>
        <w:pStyle w:val="Heading1"/>
      </w:pPr>
      <w:r>
        <w:t xml:space="preserve">CS GREFFE OS — Strategic Greffe Governance Command Center</w:t>
      </w:r>
    </w:p>
    <w:bookmarkStart w:id="72" w:name="living-governance-engineering"/>
    <w:p>
      <w:pPr>
        <w:pStyle w:val="Heading2"/>
      </w:pPr>
      <w:r>
        <w:t xml:space="preserve">Living Governance Engineering</w:t>
      </w:r>
    </w:p>
    <w:p>
      <w:r>
        <w:pict>
          <v:rect style="width:0;height:1.5pt" o:hralign="center" o:hrstd="t" o:hr="t"/>
        </w:pict>
      </w:r>
    </w:p>
    <w:bookmarkEnd w:id="72"/>
    <w:bookmarkEnd w:id="73"/>
    <w:bookmarkStart w:id="74" w:name="contexte"/>
    <w:p>
      <w:pPr>
        <w:pStyle w:val="Heading1"/>
      </w:pPr>
      <w:r>
        <w:t xml:space="preserve">CONTEXTE</w:t>
      </w:r>
    </w:p>
    <w:p>
      <w:pPr>
        <w:pStyle w:val="FirstParagraph"/>
      </w:pPr>
      <w:r>
        <w:t xml:space="preserve">Tu es Codex.</w:t>
      </w:r>
    </w:p>
    <w:p>
      <w:pPr>
        <w:pStyle w:val="BodyText"/>
      </w:pPr>
      <w:r>
        <w:t xml:space="preserve">Tu travailles sur :</w:t>
      </w:r>
    </w:p>
    <w:bookmarkEnd w:id="74"/>
    <w:bookmarkStart w:id="75" w:name="X66473995df0efef41bcb4462f35045b0c0f82c1"/>
    <w:p>
      <w:pPr>
        <w:pStyle w:val="Heading1"/>
      </w:pPr>
      <w:r>
        <w:t xml:space="preserve">CS GREFFE OS — Strategic Greffe Governance Command Center</w:t>
      </w:r>
    </w:p>
    <w:p>
      <w:pPr>
        <w:pStyle w:val="FirstParagraph"/>
      </w:pPr>
      <w:r>
        <w:t xml:space="preserve">dans le cadre méthodologique :</w:t>
      </w:r>
    </w:p>
    <w:bookmarkEnd w:id="75"/>
    <w:bookmarkStart w:id="76" w:name="living-governance-engineering."/>
    <w:p>
      <w:pPr>
        <w:pStyle w:val="Heading1"/>
      </w:pPr>
      <w:r>
        <w:t xml:space="preserve">Living Governance Engineering.</w:t>
      </w:r>
    </w:p>
    <w:p>
      <w:pPr>
        <w:pStyle w:val="FirstParagraph"/>
      </w:pPr>
      <w:r>
        <w:t xml:space="preserve">Les phases suivantes sont considérées comme terminées :</w:t>
      </w:r>
    </w:p>
    <w:p>
      <w:pPr>
        <w:pStyle w:val="SourceCode"/>
      </w:pPr>
      <w:r>
        <w:rPr>
          <w:rStyle w:val="VerbatimChar"/>
        </w:rPr>
        <w:t xml:space="preserve">PHASE 0</w:t>
      </w:r>
      <w:r>
        <w:br/>
      </w:r>
      <w:r>
        <w:rPr>
          <w:rStyle w:val="VerbatimChar"/>
        </w:rPr>
        <w:t xml:space="preserve">Foundation</w:t>
      </w:r>
      <w:r>
        <w:br/>
      </w:r>
      <w:r>
        <w:rPr>
          <w:rStyle w:val="VerbatimChar"/>
        </w:rPr>
        <w:t xml:space="preserve">✓</w:t>
      </w:r>
      <w:r>
        <w:br/>
      </w:r>
      <w:r>
        <w:br/>
      </w:r>
      <w:r>
        <w:rPr>
          <w:rStyle w:val="VerbatimChar"/>
        </w:rPr>
        <w:t xml:space="preserve">PHASE 1</w:t>
      </w:r>
      <w:r>
        <w:br/>
      </w:r>
      <w:r>
        <w:rPr>
          <w:rStyle w:val="VerbatimChar"/>
        </w:rPr>
        <w:t xml:space="preserve">Living Memory</w:t>
      </w:r>
      <w:r>
        <w:br/>
      </w:r>
      <w:r>
        <w:rPr>
          <w:rStyle w:val="VerbatimChar"/>
        </w:rPr>
        <w:t xml:space="preserve">✓</w:t>
      </w:r>
      <w:r>
        <w:br/>
      </w:r>
      <w:r>
        <w:br/>
      </w:r>
      <w:r>
        <w:rPr>
          <w:rStyle w:val="VerbatimChar"/>
        </w:rPr>
        <w:t xml:space="preserve">PHASE 2</w:t>
      </w:r>
      <w:r>
        <w:br/>
      </w:r>
      <w:r>
        <w:rPr>
          <w:rStyle w:val="VerbatimChar"/>
        </w:rPr>
        <w:t xml:space="preserve">Platform Skeleton</w:t>
      </w:r>
      <w:r>
        <w:br/>
      </w:r>
      <w:r>
        <w:rPr>
          <w:rStyle w:val="VerbatimChar"/>
        </w:rPr>
        <w:t xml:space="preserve">✓</w:t>
      </w:r>
      <w:r>
        <w:br/>
      </w:r>
      <w:r>
        <w:br/>
      </w:r>
      <w:r>
        <w:rPr>
          <w:rStyle w:val="VerbatimChar"/>
        </w:rPr>
        <w:t xml:space="preserve">PHASE 3</w:t>
      </w:r>
      <w:r>
        <w:br/>
      </w:r>
      <w:r>
        <w:rPr>
          <w:rStyle w:val="VerbatimChar"/>
        </w:rPr>
        <w:t xml:space="preserve">Knowledge Foundation</w:t>
      </w:r>
      <w:r>
        <w:br/>
      </w:r>
      <w:r>
        <w:rPr>
          <w:rStyle w:val="VerbatimChar"/>
        </w:rPr>
        <w:t xml:space="preserve">✓</w:t>
      </w:r>
      <w:r>
        <w:br/>
      </w:r>
      <w:r>
        <w:br/>
      </w:r>
      <w:r>
        <w:rPr>
          <w:rStyle w:val="VerbatimChar"/>
        </w:rPr>
        <w:t xml:space="preserve">PHASE 4</w:t>
      </w:r>
      <w:r>
        <w:br/>
      </w:r>
      <w:r>
        <w:rPr>
          <w:rStyle w:val="VerbatimChar"/>
        </w:rPr>
        <w:t xml:space="preserve">Justice Data Governance Office</w:t>
      </w:r>
      <w:r>
        <w:br/>
      </w:r>
      <w:r>
        <w:rPr>
          <w:rStyle w:val="VerbatimChar"/>
        </w:rPr>
        <w:t xml:space="preserve">✓</w:t>
      </w:r>
      <w:r>
        <w:br/>
      </w:r>
      <w:r>
        <w:br/>
      </w:r>
      <w:r>
        <w:rPr>
          <w:rStyle w:val="VerbatimChar"/>
        </w:rPr>
        <w:t xml:space="preserve">PHASE 5</w:t>
      </w:r>
      <w:r>
        <w:br/>
      </w:r>
      <w:r>
        <w:rPr>
          <w:rStyle w:val="VerbatimChar"/>
        </w:rPr>
        <w:t xml:space="preserve">Governed Judicial Data Platform</w:t>
      </w:r>
      <w:r>
        <w:br/>
      </w:r>
      <w:r>
        <w:rPr>
          <w:rStyle w:val="VerbatimChar"/>
        </w:rPr>
        <w:t xml:space="preserve">✓</w:t>
      </w:r>
      <w:r>
        <w:br/>
      </w:r>
      <w:r>
        <w:br/>
      </w:r>
      <w:r>
        <w:rPr>
          <w:rStyle w:val="VerbatimChar"/>
        </w:rPr>
        <w:t xml:space="preserve">PHASE 6</w:t>
      </w:r>
      <w:r>
        <w:br/>
      </w:r>
      <w:r>
        <w:rPr>
          <w:rStyle w:val="VerbatimChar"/>
        </w:rPr>
        <w:t xml:space="preserve">Snowflake Semantic Layer</w:t>
      </w:r>
      <w:r>
        <w:br/>
      </w:r>
      <w:r>
        <w:rPr>
          <w:rStyle w:val="VerbatimChar"/>
        </w:rPr>
        <w:t xml:space="preserve">✓</w:t>
      </w:r>
      <w:r>
        <w:br/>
      </w:r>
      <w:r>
        <w:br/>
      </w:r>
      <w:r>
        <w:rPr>
          <w:rStyle w:val="VerbatimChar"/>
        </w:rPr>
        <w:t xml:space="preserve">PHASE 7</w:t>
      </w:r>
      <w:r>
        <w:br/>
      </w:r>
      <w:r>
        <w:rPr>
          <w:rStyle w:val="VerbatimChar"/>
        </w:rPr>
        <w:t xml:space="preserve">RAG Foundation</w:t>
      </w:r>
      <w:r>
        <w:br/>
      </w:r>
      <w:r>
        <w:rPr>
          <w:rStyle w:val="VerbatimChar"/>
        </w:rPr>
        <w:t xml:space="preserve">✓</w:t>
      </w:r>
      <w:r>
        <w:br/>
      </w:r>
      <w:r>
        <w:br/>
      </w:r>
      <w:r>
        <w:rPr>
          <w:rStyle w:val="VerbatimChar"/>
        </w:rPr>
        <w:t xml:space="preserve">PHASE 8</w:t>
      </w:r>
      <w:r>
        <w:br/>
      </w:r>
      <w:r>
        <w:rPr>
          <w:rStyle w:val="VerbatimChar"/>
        </w:rPr>
        <w:t xml:space="preserve">Multi-Agent Foundation</w:t>
      </w:r>
      <w:r>
        <w:br/>
      </w:r>
      <w:r>
        <w:rPr>
          <w:rStyle w:val="VerbatimChar"/>
        </w:rPr>
        <w:t xml:space="preserve">✓</w:t>
      </w:r>
      <w:r>
        <w:br/>
      </w:r>
      <w:r>
        <w:br/>
      </w:r>
      <w:r>
        <w:rPr>
          <w:rStyle w:val="VerbatimChar"/>
        </w:rPr>
        <w:t xml:space="preserve">PHASE 9</w:t>
      </w:r>
      <w:r>
        <w:br/>
      </w:r>
      <w:r>
        <w:rPr>
          <w:rStyle w:val="VerbatimChar"/>
        </w:rPr>
        <w:t xml:space="preserve">AI Governance</w:t>
      </w:r>
      <w:r>
        <w:br/>
      </w:r>
      <w:r>
        <w:rPr>
          <w:rStyle w:val="VerbatimChar"/>
        </w:rPr>
        <w:t xml:space="preserve">✓</w:t>
      </w:r>
      <w:r>
        <w:br/>
      </w:r>
      <w:r>
        <w:br/>
      </w:r>
      <w:r>
        <w:rPr>
          <w:rStyle w:val="VerbatimChar"/>
        </w:rPr>
        <w:t xml:space="preserve">PHASE 10</w:t>
      </w:r>
      <w:r>
        <w:br/>
      </w:r>
      <w:r>
        <w:rPr>
          <w:rStyle w:val="VerbatimChar"/>
        </w:rPr>
        <w:t xml:space="preserve">LLMOps Foundation</w:t>
      </w:r>
      <w:r>
        <w:br/>
      </w:r>
      <w:r>
        <w:rPr>
          <w:rStyle w:val="VerbatimChar"/>
        </w:rPr>
        <w:t xml:space="preserve">✓</w:t>
      </w:r>
      <w:r>
        <w:br/>
      </w:r>
      <w:r>
        <w:br/>
      </w:r>
      <w:r>
        <w:rPr>
          <w:rStyle w:val="VerbatimChar"/>
        </w:rPr>
        <w:t xml:space="preserve">PHASE 11</w:t>
      </w:r>
      <w:r>
        <w:br/>
      </w:r>
      <w:r>
        <w:rPr>
          <w:rStyle w:val="VerbatimChar"/>
        </w:rPr>
        <w:t xml:space="preserve">Business Modules Foundation</w:t>
      </w:r>
      <w:r>
        <w:br/>
      </w:r>
      <w:r>
        <w:rPr>
          <w:rStyle w:val="VerbatimChar"/>
        </w:rPr>
        <w:t xml:space="preserve">✓</w:t>
      </w:r>
      <w:r>
        <w:br/>
      </w:r>
      <w:r>
        <w:br/>
      </w:r>
      <w:r>
        <w:rPr>
          <w:rStyle w:val="VerbatimChar"/>
        </w:rPr>
        <w:t xml:space="preserve">PHASE 12</w:t>
      </w:r>
      <w:r>
        <w:br/>
      </w:r>
      <w:r>
        <w:rPr>
          <w:rStyle w:val="VerbatimChar"/>
        </w:rPr>
        <w:t xml:space="preserve">Applications Foundation</w:t>
      </w:r>
      <w:r>
        <w:br/>
      </w:r>
      <w:r>
        <w:rPr>
          <w:rStyle w:val="VerbatimChar"/>
        </w:rPr>
        <w:t xml:space="preserve">✓</w:t>
      </w:r>
      <w:r>
        <w:br/>
      </w:r>
      <w:r>
        <w:br/>
      </w:r>
      <w:r>
        <w:rPr>
          <w:rStyle w:val="VerbatimChar"/>
        </w:rPr>
        <w:t xml:space="preserve">PHASE 13</w:t>
      </w:r>
      <w:r>
        <w:br/>
      </w:r>
      <w:r>
        <w:rPr>
          <w:rStyle w:val="VerbatimChar"/>
        </w:rPr>
        <w:t xml:space="preserve">Dashboards Foundation</w:t>
      </w:r>
      <w:r>
        <w:br/>
      </w:r>
      <w:r>
        <w:rPr>
          <w:rStyle w:val="VerbatimChar"/>
        </w:rPr>
        <w:t xml:space="preserve">✓</w:t>
      </w:r>
    </w:p>
    <w:p>
      <w:pPr>
        <w:pStyle w:val="FirstParagraph"/>
      </w:pPr>
      <w:r>
        <w:t xml:space="preserve">La mission actuelle est :</w:t>
      </w:r>
    </w:p>
    <w:bookmarkEnd w:id="76"/>
    <w:bookmarkStart w:id="77" w:name="phase-14-command-center-foundation-1"/>
    <w:p>
      <w:pPr>
        <w:pStyle w:val="Heading1"/>
      </w:pPr>
      <w:r>
        <w:t xml:space="preserve">PHASE 14 — COMMAND CENTER FOUNDATION</w:t>
      </w:r>
    </w:p>
    <w:p>
      <w:r>
        <w:pict>
          <v:rect style="width:0;height:1.5pt" o:hralign="center" o:hrstd="t" o:hr="t"/>
        </w:pict>
      </w:r>
    </w:p>
    <w:bookmarkEnd w:id="77"/>
    <w:bookmarkStart w:id="78" w:name="principe-directeur"/>
    <w:p>
      <w:pPr>
        <w:pStyle w:val="Heading1"/>
      </w:pPr>
      <w:r>
        <w:t xml:space="preserve">PRINCIPE DIRECTEUR</w:t>
      </w:r>
    </w:p>
    <w:p>
      <w:pPr>
        <w:pStyle w:val="BlockText"/>
      </w:pPr>
      <w:r>
        <w:t xml:space="preserve">Governed Command Centers before Institutional Decision Support.</w:t>
      </w:r>
    </w:p>
    <w:p>
      <w:pPr>
        <w:pStyle w:val="FirstParagraph"/>
      </w:pPr>
      <w:r>
        <w:t xml:space="preserve">Un Command Center ne doit jamais être conçu directement comme un dispositif de décision institutionnelle.</w:t>
      </w:r>
    </w:p>
    <w:p>
      <w:pPr>
        <w:pStyle w:val="BodyText"/>
      </w:pPr>
      <w:r>
        <w:t xml:space="preserve">Avant de préparer l’aide à la décision, il faut définir :</w:t>
      </w:r>
    </w:p>
    <w:p>
      <w:pPr>
        <w:pStyle w:val="Compact"/>
        <w:numPr>
          <w:ilvl w:val="0"/>
          <w:numId w:val="1018"/>
        </w:numPr>
      </w:pPr>
      <w:r>
        <w:t xml:space="preserve">les Command Centers ;</w:t>
      </w:r>
    </w:p>
    <w:p>
      <w:pPr>
        <w:pStyle w:val="Compact"/>
        <w:numPr>
          <w:ilvl w:val="0"/>
          <w:numId w:val="1018"/>
        </w:numPr>
      </w:pPr>
      <w:r>
        <w:t xml:space="preserve">leurs missions ;</w:t>
      </w:r>
    </w:p>
    <w:p>
      <w:pPr>
        <w:pStyle w:val="Compact"/>
        <w:numPr>
          <w:ilvl w:val="0"/>
          <w:numId w:val="1018"/>
        </w:numPr>
      </w:pPr>
      <w:r>
        <w:t xml:space="preserve">leurs périmètres ;</w:t>
      </w:r>
    </w:p>
    <w:p>
      <w:pPr>
        <w:pStyle w:val="Compact"/>
        <w:numPr>
          <w:ilvl w:val="0"/>
          <w:numId w:val="1018"/>
        </w:numPr>
      </w:pPr>
      <w:r>
        <w:t xml:space="preserve">leurs utilisateurs ;</w:t>
      </w:r>
    </w:p>
    <w:p>
      <w:pPr>
        <w:pStyle w:val="Compact"/>
        <w:numPr>
          <w:ilvl w:val="0"/>
          <w:numId w:val="1018"/>
        </w:numPr>
      </w:pPr>
      <w:r>
        <w:t xml:space="preserve">leurs dashboards sources ;</w:t>
      </w:r>
    </w:p>
    <w:p>
      <w:pPr>
        <w:pStyle w:val="Compact"/>
        <w:numPr>
          <w:ilvl w:val="0"/>
          <w:numId w:val="1018"/>
        </w:numPr>
      </w:pPr>
      <w:r>
        <w:t xml:space="preserve">leurs métriques ;</w:t>
      </w:r>
    </w:p>
    <w:p>
      <w:pPr>
        <w:pStyle w:val="Compact"/>
        <w:numPr>
          <w:ilvl w:val="0"/>
          <w:numId w:val="1018"/>
        </w:numPr>
      </w:pPr>
      <w:r>
        <w:t xml:space="preserve">leurs indicateurs ;</w:t>
      </w:r>
    </w:p>
    <w:p>
      <w:pPr>
        <w:pStyle w:val="Compact"/>
        <w:numPr>
          <w:ilvl w:val="0"/>
          <w:numId w:val="1018"/>
        </w:numPr>
      </w:pPr>
      <w:r>
        <w:t xml:space="preserve">leurs alertes ;</w:t>
      </w:r>
    </w:p>
    <w:p>
      <w:pPr>
        <w:pStyle w:val="Compact"/>
        <w:numPr>
          <w:ilvl w:val="0"/>
          <w:numId w:val="1018"/>
        </w:numPr>
      </w:pPr>
      <w:r>
        <w:t xml:space="preserve">leurs seuils ;</w:t>
      </w:r>
    </w:p>
    <w:p>
      <w:pPr>
        <w:pStyle w:val="Compact"/>
        <w:numPr>
          <w:ilvl w:val="0"/>
          <w:numId w:val="1018"/>
        </w:numPr>
      </w:pPr>
      <w:r>
        <w:t xml:space="preserve">leurs responsabilités humaines ;</w:t>
      </w:r>
    </w:p>
    <w:p>
      <w:pPr>
        <w:pStyle w:val="Compact"/>
        <w:numPr>
          <w:ilvl w:val="0"/>
          <w:numId w:val="1018"/>
        </w:numPr>
      </w:pPr>
      <w:r>
        <w:t xml:space="preserve">leurs procédures d’escalade ;</w:t>
      </w:r>
    </w:p>
    <w:p>
      <w:pPr>
        <w:pStyle w:val="Compact"/>
        <w:numPr>
          <w:ilvl w:val="0"/>
          <w:numId w:val="1018"/>
        </w:numPr>
      </w:pPr>
      <w:r>
        <w:t xml:space="preserve">leurs règles d’accès ;</w:t>
      </w:r>
    </w:p>
    <w:p>
      <w:pPr>
        <w:pStyle w:val="Compact"/>
        <w:numPr>
          <w:ilvl w:val="0"/>
          <w:numId w:val="1018"/>
        </w:numPr>
      </w:pPr>
      <w:r>
        <w:t xml:space="preserve">leurs limites d’interprétation ;</w:t>
      </w:r>
    </w:p>
    <w:p>
      <w:pPr>
        <w:pStyle w:val="Compact"/>
        <w:numPr>
          <w:ilvl w:val="0"/>
          <w:numId w:val="1018"/>
        </w:numPr>
      </w:pPr>
      <w:r>
        <w:t xml:space="preserve">leurs limites de décision ;</w:t>
      </w:r>
    </w:p>
    <w:p>
      <w:pPr>
        <w:pStyle w:val="Compact"/>
        <w:numPr>
          <w:ilvl w:val="0"/>
          <w:numId w:val="1018"/>
        </w:numPr>
      </w:pPr>
      <w:r>
        <w:t xml:space="preserve">leurs exigences de traçabilité ;</w:t>
      </w:r>
    </w:p>
    <w:p>
      <w:pPr>
        <w:pStyle w:val="Compact"/>
        <w:numPr>
          <w:ilvl w:val="0"/>
          <w:numId w:val="1018"/>
        </w:numPr>
      </w:pPr>
      <w:r>
        <w:t xml:space="preserve">leurs exigences de sécurité.</w:t>
      </w:r>
    </w:p>
    <w:p>
      <w:r>
        <w:pict>
          <v:rect style="width:0;height:1.5pt" o:hralign="center" o:hrstd="t" o:hr="t"/>
        </w:pict>
      </w:r>
    </w:p>
    <w:bookmarkEnd w:id="78"/>
    <w:bookmarkStart w:id="79" w:name="principe-opérationnel-complémentaire"/>
    <w:p>
      <w:pPr>
        <w:pStyle w:val="Heading1"/>
      </w:pPr>
      <w:r>
        <w:t xml:space="preserve">PRINCIPE OPÉRATIONNEL COMPLÉMENTAIRE</w:t>
      </w:r>
    </w:p>
    <w:p>
      <w:pPr>
        <w:pStyle w:val="BlockText"/>
      </w:pPr>
      <w:r>
        <w:t xml:space="preserve">Cloud-to-Local Continuity before Local Execution.</w:t>
      </w:r>
    </w:p>
    <w:p>
      <w:pPr>
        <w:pStyle w:val="FirstParagraph"/>
      </w:pPr>
      <w:r>
        <w:t xml:space="preserve">Toute structure créée ou modifiée dans le cloud doit être versionnée, committée, poussée sur GitHub et récupérable localement par</w:t>
      </w:r>
      <w:r>
        <w:t xml:space="preserve"> </w:t>
      </w:r>
      <w:r>
        <w:rPr>
          <w:rStyle w:val="VerbatimChar"/>
        </w:rPr>
        <w:t xml:space="preserve">git pull</w:t>
      </w:r>
      <w:r>
        <w:t xml:space="preserve">.</w:t>
      </w:r>
    </w:p>
    <w:p>
      <w:pPr>
        <w:pStyle w:val="BodyText"/>
      </w:pPr>
      <w:r>
        <w:t xml:space="preserve">Ne pas recréer manuellement en local un dossier créé dans le cloud si la PR a été mergée.</w:t>
      </w:r>
    </w:p>
    <w:p>
      <w:pPr>
        <w:pStyle w:val="BodyText"/>
      </w:pPr>
      <w:r>
        <w:t xml:space="preserve">La source de vérité reste le dépôt GitHub.</w:t>
      </w:r>
    </w:p>
    <w:p>
      <w:r>
        <w:pict>
          <v:rect style="width:0;height:1.5pt" o:hralign="center" o:hrstd="t" o:hr="t"/>
        </w:pict>
      </w:r>
    </w:p>
    <w:bookmarkEnd w:id="79"/>
    <w:bookmarkStart w:id="80" w:name="objectif"/>
    <w:p>
      <w:pPr>
        <w:pStyle w:val="Heading1"/>
      </w:pPr>
      <w:r>
        <w:t xml:space="preserve">OBJECTIF</w:t>
      </w:r>
    </w:p>
    <w:p>
      <w:pPr>
        <w:pStyle w:val="FirstParagraph"/>
      </w:pPr>
      <w:r>
        <w:t xml:space="preserve">Construire la couche documentaire et conceptuelle des Command Centers de CS GREFFE OS.</w:t>
      </w:r>
    </w:p>
    <w:p>
      <w:pPr>
        <w:pStyle w:val="BodyText"/>
      </w:pPr>
      <w:r>
        <w:t xml:space="preserve">Préparer :</w:t>
      </w:r>
    </w:p>
    <w:p>
      <w:pPr>
        <w:pStyle w:val="Compact"/>
        <w:numPr>
          <w:ilvl w:val="0"/>
          <w:numId w:val="1019"/>
        </w:numPr>
      </w:pPr>
      <w:r>
        <w:t xml:space="preserve">le modèle conceptuel des Command Centers ;</w:t>
      </w:r>
    </w:p>
    <w:p>
      <w:pPr>
        <w:pStyle w:val="Compact"/>
        <w:numPr>
          <w:ilvl w:val="0"/>
          <w:numId w:val="1019"/>
        </w:numPr>
      </w:pPr>
      <w:r>
        <w:t xml:space="preserve">les familles de Command Centers ;</w:t>
      </w:r>
    </w:p>
    <w:p>
      <w:pPr>
        <w:pStyle w:val="Compact"/>
        <w:numPr>
          <w:ilvl w:val="0"/>
          <w:numId w:val="1019"/>
        </w:numPr>
      </w:pPr>
      <w:r>
        <w:t xml:space="preserve">les missions ;</w:t>
      </w:r>
    </w:p>
    <w:p>
      <w:pPr>
        <w:pStyle w:val="Compact"/>
        <w:numPr>
          <w:ilvl w:val="0"/>
          <w:numId w:val="1019"/>
        </w:numPr>
      </w:pPr>
      <w:r>
        <w:t xml:space="preserve">les périmètres ;</w:t>
      </w:r>
    </w:p>
    <w:p>
      <w:pPr>
        <w:pStyle w:val="Compact"/>
        <w:numPr>
          <w:ilvl w:val="0"/>
          <w:numId w:val="1019"/>
        </w:numPr>
      </w:pPr>
      <w:r>
        <w:t xml:space="preserve">les rôles ;</w:t>
      </w:r>
    </w:p>
    <w:p>
      <w:pPr>
        <w:pStyle w:val="Compact"/>
        <w:numPr>
          <w:ilvl w:val="0"/>
          <w:numId w:val="1019"/>
        </w:numPr>
      </w:pPr>
      <w:r>
        <w:t xml:space="preserve">les responsabilités humaines ;</w:t>
      </w:r>
    </w:p>
    <w:p>
      <w:pPr>
        <w:pStyle w:val="Compact"/>
        <w:numPr>
          <w:ilvl w:val="0"/>
          <w:numId w:val="1019"/>
        </w:numPr>
      </w:pPr>
      <w:r>
        <w:t xml:space="preserve">les dépendances dashboards ;</w:t>
      </w:r>
    </w:p>
    <w:p>
      <w:pPr>
        <w:pStyle w:val="Compact"/>
        <w:numPr>
          <w:ilvl w:val="0"/>
          <w:numId w:val="1019"/>
        </w:numPr>
      </w:pPr>
      <w:r>
        <w:t xml:space="preserve">les dépendances métriques ;</w:t>
      </w:r>
    </w:p>
    <w:p>
      <w:pPr>
        <w:pStyle w:val="Compact"/>
        <w:numPr>
          <w:ilvl w:val="0"/>
          <w:numId w:val="1019"/>
        </w:numPr>
      </w:pPr>
      <w:r>
        <w:t xml:space="preserve">les dépendances alertes ;</w:t>
      </w:r>
    </w:p>
    <w:p>
      <w:pPr>
        <w:pStyle w:val="Compact"/>
        <w:numPr>
          <w:ilvl w:val="0"/>
          <w:numId w:val="1019"/>
        </w:numPr>
      </w:pPr>
      <w:r>
        <w:t xml:space="preserve">les procédures d’escalade ;</w:t>
      </w:r>
    </w:p>
    <w:p>
      <w:pPr>
        <w:pStyle w:val="Compact"/>
        <w:numPr>
          <w:ilvl w:val="0"/>
          <w:numId w:val="1019"/>
        </w:numPr>
      </w:pPr>
      <w:r>
        <w:t xml:space="preserve">le suivi des décisions humaines ;</w:t>
      </w:r>
    </w:p>
    <w:p>
      <w:pPr>
        <w:pStyle w:val="Compact"/>
        <w:numPr>
          <w:ilvl w:val="0"/>
          <w:numId w:val="1019"/>
        </w:numPr>
      </w:pPr>
      <w:r>
        <w:t xml:space="preserve">les limites d’aide à la décision ;</w:t>
      </w:r>
    </w:p>
    <w:p>
      <w:pPr>
        <w:pStyle w:val="Compact"/>
        <w:numPr>
          <w:ilvl w:val="0"/>
          <w:numId w:val="1019"/>
        </w:numPr>
      </w:pPr>
      <w:r>
        <w:t xml:space="preserve">la traçabilité ;</w:t>
      </w:r>
    </w:p>
    <w:p>
      <w:pPr>
        <w:pStyle w:val="Compact"/>
        <w:numPr>
          <w:ilvl w:val="0"/>
          <w:numId w:val="1019"/>
        </w:numPr>
      </w:pPr>
      <w:r>
        <w:t xml:space="preserve">la sécurité ;</w:t>
      </w:r>
    </w:p>
    <w:p>
      <w:pPr>
        <w:pStyle w:val="Compact"/>
        <w:numPr>
          <w:ilvl w:val="0"/>
          <w:numId w:val="1019"/>
        </w:numPr>
      </w:pPr>
      <w:r>
        <w:t xml:space="preserve">les risques ;</w:t>
      </w:r>
    </w:p>
    <w:p>
      <w:pPr>
        <w:pStyle w:val="Compact"/>
        <w:numPr>
          <w:ilvl w:val="0"/>
          <w:numId w:val="1019"/>
        </w:numPr>
      </w:pPr>
      <w:r>
        <w:t xml:space="preserve">la maturité ;</w:t>
      </w:r>
    </w:p>
    <w:p>
      <w:pPr>
        <w:pStyle w:val="Compact"/>
        <w:numPr>
          <w:ilvl w:val="0"/>
          <w:numId w:val="1019"/>
        </w:numPr>
      </w:pPr>
      <w:r>
        <w:t xml:space="preserve">la continuité cloud → GitHub → Mac local ;</w:t>
      </w:r>
    </w:p>
    <w:p>
      <w:pPr>
        <w:pStyle w:val="Compact"/>
        <w:numPr>
          <w:ilvl w:val="0"/>
          <w:numId w:val="1019"/>
        </w:numPr>
      </w:pPr>
      <w:r>
        <w:t xml:space="preserve">la préparation de la Phase 15.</w:t>
      </w:r>
    </w:p>
    <w:p>
      <w:pPr>
        <w:pStyle w:val="FirstParagraph"/>
      </w:pPr>
      <w:r>
        <w:t xml:space="preserve">Sans développer un Command Center opérationnel final.</w:t>
      </w:r>
    </w:p>
    <w:p>
      <w:pPr>
        <w:pStyle w:val="BodyText"/>
      </w:pPr>
      <w:r>
        <w:t xml:space="preserve">Sans automatiser la décision institutionnelle.</w:t>
      </w:r>
    </w:p>
    <w:p>
      <w:pPr>
        <w:pStyle w:val="BodyText"/>
      </w:pPr>
      <w:r>
        <w:t xml:space="preserve">Sans utiliser de données judiciaires réelles non gouvernées.</w:t>
      </w:r>
    </w:p>
    <w:p>
      <w:r>
        <w:pict>
          <v:rect style="width:0;height:1.5pt" o:hralign="center" o:hrstd="t" o:hr="t"/>
        </w:pict>
      </w:r>
    </w:p>
    <w:bookmarkEnd w:id="80"/>
    <w:bookmarkStart w:id="81" w:name="domaine"/>
    <w:p>
      <w:pPr>
        <w:pStyle w:val="Heading1"/>
      </w:pPr>
      <w:r>
        <w:t xml:space="preserve">DOMAINE</w:t>
      </w:r>
    </w:p>
    <w:p>
      <w:pPr>
        <w:pStyle w:val="SourceCode"/>
      </w:pPr>
      <w:r>
        <w:rPr>
          <w:rStyle w:val="VerbatimChar"/>
        </w:rPr>
        <w:t xml:space="preserve">docs/cs_greffe_os/</w:t>
      </w:r>
      <w:r>
        <w:br/>
      </w:r>
      <w:r>
        <w:br/>
      </w:r>
      <w:r>
        <w:rPr>
          <w:rStyle w:val="VerbatimChar"/>
        </w:rPr>
        <w:t xml:space="preserve">25_COMMAND_CENTER/</w:t>
      </w:r>
    </w:p>
    <w:p>
      <w:r>
        <w:pict>
          <v:rect style="width:0;height:1.5pt" o:hralign="center" o:hrstd="t" o:hr="t"/>
        </w:pict>
      </w:r>
    </w:p>
    <w:bookmarkEnd w:id="81"/>
    <w:bookmarkStart w:id="103" w:name="documents-à-produire"/>
    <w:p>
      <w:pPr>
        <w:pStyle w:val="Heading1"/>
      </w:pPr>
      <w:r>
        <w:t xml:space="preserve">DOCUMENTS À PRODUIRE</w:t>
      </w:r>
    </w:p>
    <w:bookmarkStart w:id="82" w:name="X06fb2236fa41ecad281fd46b22278d9a599f014"/>
    <w:p>
      <w:pPr>
        <w:pStyle w:val="Heading2"/>
      </w:pPr>
      <w:r>
        <w:t xml:space="preserve">COMMAND_CENTER_FOUNDATION_FRAMEWORK_V1.md</w:t>
      </w:r>
    </w:p>
    <w:p>
      <w:pPr>
        <w:pStyle w:val="FirstParagraph"/>
      </w:pPr>
      <w:r>
        <w:t xml:space="preserve">Document fondateur du Command Center.</w:t>
      </w:r>
    </w:p>
    <w:p>
      <w:r>
        <w:pict>
          <v:rect style="width:0;height:1.5pt" o:hralign="center" o:hrstd="t" o:hr="t"/>
        </w:pict>
      </w:r>
    </w:p>
    <w:bookmarkEnd w:id="82"/>
    <w:bookmarkStart w:id="83" w:name="command_center_conceptual_model_v1.md"/>
    <w:p>
      <w:pPr>
        <w:pStyle w:val="Heading2"/>
      </w:pPr>
      <w:r>
        <w:t xml:space="preserve">COMMAND_CENTER_CONCEPTUAL_MODEL_V1.md</w:t>
      </w:r>
    </w:p>
    <w:p>
      <w:pPr>
        <w:pStyle w:val="FirstParagraph"/>
      </w:pPr>
      <w:r>
        <w:t xml:space="preserve">Modèle conceptuel du Command Center.</w:t>
      </w:r>
    </w:p>
    <w:p>
      <w:r>
        <w:pict>
          <v:rect style="width:0;height:1.5pt" o:hralign="center" o:hrstd="t" o:hr="t"/>
        </w:pict>
      </w:r>
    </w:p>
    <w:bookmarkEnd w:id="83"/>
    <w:bookmarkStart w:id="84" w:name="command_center_registry_v1.md"/>
    <w:p>
      <w:pPr>
        <w:pStyle w:val="Heading2"/>
      </w:pPr>
      <w:r>
        <w:t xml:space="preserve">COMMAND_CENTER_REGISTRY_V1.md</w:t>
      </w:r>
    </w:p>
    <w:p>
      <w:pPr>
        <w:pStyle w:val="FirstParagraph"/>
      </w:pPr>
      <w:r>
        <w:t xml:space="preserve">Registre des Command Centers.</w:t>
      </w:r>
    </w:p>
    <w:p>
      <w:pPr>
        <w:pStyle w:val="BodyText"/>
      </w:pPr>
      <w:r>
        <w:t xml:space="preserve">Chaque Command Center doit préciser :</w:t>
      </w:r>
    </w:p>
    <w:p>
      <w:pPr>
        <w:pStyle w:val="Compact"/>
        <w:numPr>
          <w:ilvl w:val="0"/>
          <w:numId w:val="1020"/>
        </w:numPr>
      </w:pPr>
      <w:r>
        <w:t xml:space="preserve">nom ;</w:t>
      </w:r>
    </w:p>
    <w:p>
      <w:pPr>
        <w:pStyle w:val="Compact"/>
        <w:numPr>
          <w:ilvl w:val="0"/>
          <w:numId w:val="1020"/>
        </w:numPr>
      </w:pPr>
      <w:r>
        <w:t xml:space="preserve">mission ;</w:t>
      </w:r>
    </w:p>
    <w:p>
      <w:pPr>
        <w:pStyle w:val="Compact"/>
        <w:numPr>
          <w:ilvl w:val="0"/>
          <w:numId w:val="1020"/>
        </w:numPr>
      </w:pPr>
      <w:r>
        <w:t xml:space="preserve">périmètre ;</w:t>
      </w:r>
    </w:p>
    <w:p>
      <w:pPr>
        <w:pStyle w:val="Compact"/>
        <w:numPr>
          <w:ilvl w:val="0"/>
          <w:numId w:val="1020"/>
        </w:numPr>
      </w:pPr>
      <w:r>
        <w:t xml:space="preserve">niveau ;</w:t>
      </w:r>
    </w:p>
    <w:p>
      <w:pPr>
        <w:pStyle w:val="Compact"/>
        <w:numPr>
          <w:ilvl w:val="0"/>
          <w:numId w:val="1020"/>
        </w:numPr>
      </w:pPr>
      <w:r>
        <w:t xml:space="preserve">dashboards sources ;</w:t>
      </w:r>
    </w:p>
    <w:p>
      <w:pPr>
        <w:pStyle w:val="Compact"/>
        <w:numPr>
          <w:ilvl w:val="0"/>
          <w:numId w:val="1020"/>
        </w:numPr>
      </w:pPr>
      <w:r>
        <w:t xml:space="preserve">métriques ;</w:t>
      </w:r>
    </w:p>
    <w:p>
      <w:pPr>
        <w:pStyle w:val="Compact"/>
        <w:numPr>
          <w:ilvl w:val="0"/>
          <w:numId w:val="1020"/>
        </w:numPr>
      </w:pPr>
      <w:r>
        <w:t xml:space="preserve">alertes ;</w:t>
      </w:r>
    </w:p>
    <w:p>
      <w:pPr>
        <w:pStyle w:val="Compact"/>
        <w:numPr>
          <w:ilvl w:val="0"/>
          <w:numId w:val="1020"/>
        </w:numPr>
      </w:pPr>
      <w:r>
        <w:t xml:space="preserve">utilisateurs ;</w:t>
      </w:r>
    </w:p>
    <w:p>
      <w:pPr>
        <w:pStyle w:val="Compact"/>
        <w:numPr>
          <w:ilvl w:val="0"/>
          <w:numId w:val="1020"/>
        </w:numPr>
      </w:pPr>
      <w:r>
        <w:t xml:space="preserve">propriétaire humain ;</w:t>
      </w:r>
    </w:p>
    <w:p>
      <w:pPr>
        <w:pStyle w:val="Compact"/>
        <w:numPr>
          <w:ilvl w:val="0"/>
          <w:numId w:val="1020"/>
        </w:numPr>
      </w:pPr>
      <w:r>
        <w:t xml:space="preserve">procédures d’escalade ;</w:t>
      </w:r>
    </w:p>
    <w:p>
      <w:pPr>
        <w:pStyle w:val="Compact"/>
        <w:numPr>
          <w:ilvl w:val="0"/>
          <w:numId w:val="1020"/>
        </w:numPr>
      </w:pPr>
      <w:r>
        <w:t xml:space="preserve">limites ;</w:t>
      </w:r>
    </w:p>
    <w:p>
      <w:pPr>
        <w:pStyle w:val="Compact"/>
        <w:numPr>
          <w:ilvl w:val="0"/>
          <w:numId w:val="1020"/>
        </w:numPr>
      </w:pPr>
      <w:r>
        <w:t xml:space="preserve">risques ;</w:t>
      </w:r>
    </w:p>
    <w:p>
      <w:pPr>
        <w:pStyle w:val="Compact"/>
        <w:numPr>
          <w:ilvl w:val="0"/>
          <w:numId w:val="1020"/>
        </w:numPr>
      </w:pPr>
      <w:r>
        <w:t xml:space="preserve">statut documentaire ;</w:t>
      </w:r>
    </w:p>
    <w:p>
      <w:pPr>
        <w:pStyle w:val="Compact"/>
        <w:numPr>
          <w:ilvl w:val="0"/>
          <w:numId w:val="1020"/>
        </w:numPr>
      </w:pPr>
      <w:r>
        <w:t xml:space="preserve">niveau de maturité.</w:t>
      </w:r>
    </w:p>
    <w:p>
      <w:r>
        <w:pict>
          <v:rect style="width:0;height:1.5pt" o:hralign="center" o:hrstd="t" o:hr="t"/>
        </w:pict>
      </w:r>
    </w:p>
    <w:bookmarkEnd w:id="84"/>
    <w:bookmarkStart w:id="85" w:name="X43bae110c64913669b67af6520f9a9b5ac77362"/>
    <w:p>
      <w:pPr>
        <w:pStyle w:val="Heading2"/>
      </w:pPr>
      <w:r>
        <w:t xml:space="preserve">COMMAND_CENTER_CLASSIFICATION_FRAMEWORK_V1.md</w:t>
      </w:r>
    </w:p>
    <w:p>
      <w:pPr>
        <w:pStyle w:val="FirstParagraph"/>
      </w:pPr>
      <w:r>
        <w:t xml:space="preserve">Cadre de classification des Command Centers.</w:t>
      </w:r>
    </w:p>
    <w:p>
      <w:r>
        <w:pict>
          <v:rect style="width:0;height:1.5pt" o:hralign="center" o:hrstd="t" o:hr="t"/>
        </w:pict>
      </w:r>
    </w:p>
    <w:bookmarkEnd w:id="85"/>
    <w:bookmarkStart w:id="86" w:name="command_center_ownership_framework_v1.md"/>
    <w:p>
      <w:pPr>
        <w:pStyle w:val="Heading2"/>
      </w:pPr>
      <w:r>
        <w:t xml:space="preserve">COMMAND_CENTER_OWNERSHIP_FRAMEWORK_V1.md</w:t>
      </w:r>
    </w:p>
    <w:p>
      <w:pPr>
        <w:pStyle w:val="FirstParagraph"/>
      </w:pPr>
      <w:r>
        <w:t xml:space="preserve">Cadre de responsabilité humaine.</w:t>
      </w:r>
    </w:p>
    <w:p>
      <w:r>
        <w:pict>
          <v:rect style="width:0;height:1.5pt" o:hralign="center" o:hrstd="t" o:hr="t"/>
        </w:pict>
      </w:r>
    </w:p>
    <w:bookmarkEnd w:id="86"/>
    <w:bookmarkStart w:id="87" w:name="Xe82e3fb8cdaaeeeefe17187b96d71d4dd36305e"/>
    <w:p>
      <w:pPr>
        <w:pStyle w:val="Heading2"/>
      </w:pPr>
      <w:r>
        <w:t xml:space="preserve">COMMAND_CENTER_ROLE_AND_ACCESS_MODEL_V1.md</w:t>
      </w:r>
    </w:p>
    <w:p>
      <w:pPr>
        <w:pStyle w:val="FirstParagraph"/>
      </w:pPr>
      <w:r>
        <w:t xml:space="preserve">Modèle des rôles et accès.</w:t>
      </w:r>
    </w:p>
    <w:p>
      <w:r>
        <w:pict>
          <v:rect style="width:0;height:1.5pt" o:hralign="center" o:hrstd="t" o:hr="t"/>
        </w:pict>
      </w:r>
    </w:p>
    <w:bookmarkEnd w:id="87"/>
    <w:bookmarkStart w:id="88" w:name="Xa851ecdd3b16039d08087f0aafd085afd27931d"/>
    <w:p>
      <w:pPr>
        <w:pStyle w:val="Heading2"/>
      </w:pPr>
      <w:r>
        <w:t xml:space="preserve">COMMAND_CENTER_DASHBOARD_DEPENDENCY_FRAMEWORK_V1.md</w:t>
      </w:r>
    </w:p>
    <w:p>
      <w:pPr>
        <w:pStyle w:val="FirstParagraph"/>
      </w:pPr>
      <w:r>
        <w:t xml:space="preserve">Cadre de dépendance aux dashboards.</w:t>
      </w:r>
    </w:p>
    <w:p>
      <w:r>
        <w:pict>
          <v:rect style="width:0;height:1.5pt" o:hralign="center" o:hrstd="t" o:hr="t"/>
        </w:pict>
      </w:r>
    </w:p>
    <w:bookmarkEnd w:id="88"/>
    <w:bookmarkStart w:id="89" w:name="X4a6a3e36ba4e03f067cc06aaea53604317db1be"/>
    <w:p>
      <w:pPr>
        <w:pStyle w:val="Heading2"/>
      </w:pPr>
      <w:r>
        <w:t xml:space="preserve">COMMAND_CENTER_METRICS_DEPENDENCY_FRAMEWORK_V1.md</w:t>
      </w:r>
    </w:p>
    <w:p>
      <w:pPr>
        <w:pStyle w:val="FirstParagraph"/>
      </w:pPr>
      <w:r>
        <w:t xml:space="preserve">Cadre de dépendance aux métriques.</w:t>
      </w:r>
    </w:p>
    <w:p>
      <w:r>
        <w:pict>
          <v:rect style="width:0;height:1.5pt" o:hralign="center" o:hrstd="t" o:hr="t"/>
        </w:pict>
      </w:r>
    </w:p>
    <w:bookmarkEnd w:id="89"/>
    <w:bookmarkStart w:id="90" w:name="X6e3715fe9bd95a1afbac5ddbeab4378b2ca6f02"/>
    <w:p>
      <w:pPr>
        <w:pStyle w:val="Heading2"/>
      </w:pPr>
      <w:r>
        <w:t xml:space="preserve">COMMAND_CENTER_ALERTING_AND_ESCALATION_FRAMEWORK_V1.md</w:t>
      </w:r>
    </w:p>
    <w:p>
      <w:pPr>
        <w:pStyle w:val="FirstParagraph"/>
      </w:pPr>
      <w:r>
        <w:t xml:space="preserve">Cadre des alertes et escalades.</w:t>
      </w:r>
    </w:p>
    <w:p>
      <w:r>
        <w:pict>
          <v:rect style="width:0;height:1.5pt" o:hralign="center" o:hrstd="t" o:hr="t"/>
        </w:pict>
      </w:r>
    </w:p>
    <w:bookmarkEnd w:id="90"/>
    <w:bookmarkStart w:id="91" w:name="X2878c5db5ecb6962f69326584f4a2fae56772c5"/>
    <w:p>
      <w:pPr>
        <w:pStyle w:val="Heading2"/>
      </w:pPr>
      <w:r>
        <w:t xml:space="preserve">COMMAND_CENTER_DECISION_SUPPORT_BOUNDARIES_V1.md</w:t>
      </w:r>
    </w:p>
    <w:p>
      <w:pPr>
        <w:pStyle w:val="FirstParagraph"/>
      </w:pPr>
      <w:r>
        <w:t xml:space="preserve">Cadre des limites de l’aide à la décision.</w:t>
      </w:r>
    </w:p>
    <w:p>
      <w:r>
        <w:pict>
          <v:rect style="width:0;height:1.5pt" o:hralign="center" o:hrstd="t" o:hr="t"/>
        </w:pict>
      </w:r>
    </w:p>
    <w:bookmarkEnd w:id="91"/>
    <w:bookmarkStart w:id="92" w:name="X65fe46e0a2685f1efb9bd56525ab17aa4c123f5"/>
    <w:p>
      <w:pPr>
        <w:pStyle w:val="Heading2"/>
      </w:pPr>
      <w:r>
        <w:t xml:space="preserve">COMMAND_CENTER_HUMAN_DECISION_LOG_FRAMEWORK_V1.md</w:t>
      </w:r>
    </w:p>
    <w:p>
      <w:pPr>
        <w:pStyle w:val="FirstParagraph"/>
      </w:pPr>
      <w:r>
        <w:t xml:space="preserve">Cadre de journalisation des décisions humaines.</w:t>
      </w:r>
    </w:p>
    <w:p>
      <w:r>
        <w:pict>
          <v:rect style="width:0;height:1.5pt" o:hralign="center" o:hrstd="t" o:hr="t"/>
        </w:pict>
      </w:r>
    </w:p>
    <w:bookmarkEnd w:id="92"/>
    <w:bookmarkStart w:id="93" w:name="Xfdef4f0fd506cc9b916a72a57b38dd3d5a9964b"/>
    <w:p>
      <w:pPr>
        <w:pStyle w:val="Heading2"/>
      </w:pPr>
      <w:r>
        <w:t xml:space="preserve">COMMAND_CENTER_TRACEABILITY_FRAMEWORK_V1.md</w:t>
      </w:r>
    </w:p>
    <w:p>
      <w:pPr>
        <w:pStyle w:val="FirstParagraph"/>
      </w:pPr>
      <w:r>
        <w:t xml:space="preserve">Cadre de traçabilité.</w:t>
      </w:r>
    </w:p>
    <w:p>
      <w:r>
        <w:pict>
          <v:rect style="width:0;height:1.5pt" o:hralign="center" o:hrstd="t" o:hr="t"/>
        </w:pict>
      </w:r>
    </w:p>
    <w:bookmarkEnd w:id="93"/>
    <w:bookmarkStart w:id="94" w:name="command_center_security_framework_v1.md"/>
    <w:p>
      <w:pPr>
        <w:pStyle w:val="Heading2"/>
      </w:pPr>
      <w:r>
        <w:t xml:space="preserve">COMMAND_CENTER_SECURITY_FRAMEWORK_V1.md</w:t>
      </w:r>
    </w:p>
    <w:p>
      <w:pPr>
        <w:pStyle w:val="FirstParagraph"/>
      </w:pPr>
      <w:r>
        <w:t xml:space="preserve">Cadre de sécurité.</w:t>
      </w:r>
    </w:p>
    <w:p>
      <w:r>
        <w:pict>
          <v:rect style="width:0;height:1.5pt" o:hralign="center" o:hrstd="t" o:hr="t"/>
        </w:pict>
      </w:r>
    </w:p>
    <w:bookmarkEnd w:id="94"/>
    <w:bookmarkStart w:id="95" w:name="command_center_risk_framework_v1.md"/>
    <w:p>
      <w:pPr>
        <w:pStyle w:val="Heading2"/>
      </w:pPr>
      <w:r>
        <w:t xml:space="preserve">COMMAND_CENTER_RISK_FRAMEWORK_V1.md</w:t>
      </w:r>
    </w:p>
    <w:p>
      <w:pPr>
        <w:pStyle w:val="FirstParagraph"/>
      </w:pPr>
      <w:r>
        <w:t xml:space="preserve">Cadre des risques.</w:t>
      </w:r>
    </w:p>
    <w:p>
      <w:r>
        <w:pict>
          <v:rect style="width:0;height:1.5pt" o:hralign="center" o:hrstd="t" o:hr="t"/>
        </w:pict>
      </w:r>
    </w:p>
    <w:bookmarkEnd w:id="95"/>
    <w:bookmarkStart w:id="96" w:name="Xcf28b17c00440d5d88cce8508d4d2d1eb8cb03f"/>
    <w:p>
      <w:pPr>
        <w:pStyle w:val="Heading2"/>
      </w:pPr>
      <w:r>
        <w:t xml:space="preserve">COMMAND_CENTER_OBSERVABILITY_FRAMEWORK_V1.md</w:t>
      </w:r>
    </w:p>
    <w:p>
      <w:pPr>
        <w:pStyle w:val="FirstParagraph"/>
      </w:pPr>
      <w:r>
        <w:t xml:space="preserve">Cadre d’observabilité.</w:t>
      </w:r>
    </w:p>
    <w:p>
      <w:r>
        <w:pict>
          <v:rect style="width:0;height:1.5pt" o:hralign="center" o:hrstd="t" o:hr="t"/>
        </w:pict>
      </w:r>
    </w:p>
    <w:bookmarkEnd w:id="96"/>
    <w:bookmarkStart w:id="97" w:name="Xf9e754a1612dd79a6a89ede1120792ea6894a0e"/>
    <w:p>
      <w:pPr>
        <w:pStyle w:val="Heading2"/>
      </w:pPr>
      <w:r>
        <w:t xml:space="preserve">COMMAND_CENTER_CONTINUITY_AND_LOCAL_SYNC_PROTOCOL_V1.md</w:t>
      </w:r>
    </w:p>
    <w:p>
      <w:pPr>
        <w:pStyle w:val="FirstParagraph"/>
      </w:pPr>
      <w:r>
        <w:t xml:space="preserve">Cadre de continuité Cloud → GitHub → Mac local.</w:t>
      </w:r>
    </w:p>
    <w:p>
      <w:r>
        <w:pict>
          <v:rect style="width:0;height:1.5pt" o:hralign="center" o:hrstd="t" o:hr="t"/>
        </w:pict>
      </w:r>
    </w:p>
    <w:bookmarkEnd w:id="97"/>
    <w:bookmarkStart w:id="98" w:name="command_center_maturity_model_v1.md"/>
    <w:p>
      <w:pPr>
        <w:pStyle w:val="Heading2"/>
      </w:pPr>
      <w:r>
        <w:t xml:space="preserve">COMMAND_CENTER_MATURITY_MODEL_V1.md</w:t>
      </w:r>
    </w:p>
    <w:p>
      <w:pPr>
        <w:pStyle w:val="FirstParagraph"/>
      </w:pPr>
      <w:r>
        <w:t xml:space="preserve">Modèle de maturité des Command Centers.</w:t>
      </w:r>
    </w:p>
    <w:p>
      <w:pPr>
        <w:pStyle w:val="BodyText"/>
      </w:pPr>
      <w:r>
        <w:t xml:space="preserve">Proposer :</w:t>
      </w:r>
    </w:p>
    <w:p>
      <w:pPr>
        <w:pStyle w:val="SourceCode"/>
      </w:pPr>
      <w:r>
        <w:rPr>
          <w:rStyle w:val="VerbatimChar"/>
        </w:rPr>
        <w:t xml:space="preserve">Level 1</w:t>
      </w:r>
      <w:r>
        <w:br/>
      </w:r>
      <w:r>
        <w:rPr>
          <w:rStyle w:val="VerbatimChar"/>
        </w:rPr>
        <w:t xml:space="preserve">Command Center Identified</w:t>
      </w:r>
      <w:r>
        <w:br/>
      </w:r>
      <w:r>
        <w:br/>
      </w:r>
      <w:r>
        <w:rPr>
          <w:rStyle w:val="VerbatimChar"/>
        </w:rPr>
        <w:t xml:space="preserve">Level 2</w:t>
      </w:r>
      <w:r>
        <w:br/>
      </w:r>
      <w:r>
        <w:rPr>
          <w:rStyle w:val="VerbatimChar"/>
        </w:rPr>
        <w:t xml:space="preserve">Command Center Documented</w:t>
      </w:r>
      <w:r>
        <w:br/>
      </w:r>
      <w:r>
        <w:br/>
      </w:r>
      <w:r>
        <w:rPr>
          <w:rStyle w:val="VerbatimChar"/>
        </w:rPr>
        <w:t xml:space="preserve">Level 3</w:t>
      </w:r>
      <w:r>
        <w:br/>
      </w:r>
      <w:r>
        <w:rPr>
          <w:rStyle w:val="VerbatimChar"/>
        </w:rPr>
        <w:t xml:space="preserve">Command Center Governed</w:t>
      </w:r>
      <w:r>
        <w:br/>
      </w:r>
      <w:r>
        <w:br/>
      </w:r>
      <w:r>
        <w:rPr>
          <w:rStyle w:val="VerbatimChar"/>
        </w:rPr>
        <w:t xml:space="preserve">Level 4</w:t>
      </w:r>
      <w:r>
        <w:br/>
      </w:r>
      <w:r>
        <w:rPr>
          <w:rStyle w:val="VerbatimChar"/>
        </w:rPr>
        <w:t xml:space="preserve">Dashboard-Integrated Command Center</w:t>
      </w:r>
      <w:r>
        <w:br/>
      </w:r>
      <w:r>
        <w:br/>
      </w:r>
      <w:r>
        <w:rPr>
          <w:rStyle w:val="VerbatimChar"/>
        </w:rPr>
        <w:t xml:space="preserve">Level 5</w:t>
      </w:r>
      <w:r>
        <w:br/>
      </w:r>
      <w:r>
        <w:rPr>
          <w:rStyle w:val="VerbatimChar"/>
        </w:rPr>
        <w:t xml:space="preserve">Decision-Support-Ready Command Center</w:t>
      </w:r>
      <w:r>
        <w:br/>
      </w:r>
      <w:r>
        <w:br/>
      </w:r>
      <w:r>
        <w:rPr>
          <w:rStyle w:val="VerbatimChar"/>
        </w:rPr>
        <w:t xml:space="preserve">Level 6</w:t>
      </w:r>
      <w:r>
        <w:br/>
      </w:r>
      <w:r>
        <w:rPr>
          <w:rStyle w:val="VerbatimChar"/>
        </w:rPr>
        <w:t xml:space="preserve">Living Command Center</w:t>
      </w:r>
    </w:p>
    <w:p>
      <w:r>
        <w:pict>
          <v:rect style="width:0;height:1.5pt" o:hralign="center" o:hrstd="t" o:hr="t"/>
        </w:pict>
      </w:r>
    </w:p>
    <w:bookmarkEnd w:id="98"/>
    <w:bookmarkStart w:id="99" w:name="X43a2d75c9b10133cf0fafd42e180ba8dacf4d7a"/>
    <w:p>
      <w:pPr>
        <w:pStyle w:val="Heading2"/>
      </w:pPr>
      <w:r>
        <w:t xml:space="preserve">STRATEGIC_GREFFE_GOVERNANCE_COMMAND_CENTER_FRAMEWORK_V1.md</w:t>
      </w:r>
    </w:p>
    <w:p>
      <w:pPr>
        <w:pStyle w:val="FirstParagraph"/>
      </w:pPr>
      <w:r>
        <w:t xml:space="preserve">Cadre du Strategic Greffe Governance Command Center.</w:t>
      </w:r>
    </w:p>
    <w:p>
      <w:r>
        <w:pict>
          <v:rect style="width:0;height:1.5pt" o:hralign="center" o:hrstd="t" o:hr="t"/>
        </w:pict>
      </w:r>
    </w:p>
    <w:bookmarkEnd w:id="99"/>
    <w:bookmarkStart w:id="100" w:name="X6046a2241f25cbf8433464f41952d2b118a54af"/>
    <w:p>
      <w:pPr>
        <w:pStyle w:val="Heading2"/>
      </w:pPr>
      <w:r>
        <w:t xml:space="preserve">JUDICIAL_GOVERNANCE_COMMAND_CENTER_PERSPECTIVE_V1.md</w:t>
      </w:r>
    </w:p>
    <w:p>
      <w:pPr>
        <w:pStyle w:val="FirstParagraph"/>
      </w:pPr>
      <w:r>
        <w:t xml:space="preserve">Perspective du Judicial Governance Command Center.</w:t>
      </w:r>
    </w:p>
    <w:p>
      <w:r>
        <w:pict>
          <v:rect style="width:0;height:1.5pt" o:hralign="center" o:hrstd="t" o:hr="t"/>
        </w:pict>
      </w:r>
    </w:p>
    <w:bookmarkEnd w:id="100"/>
    <w:bookmarkStart w:id="101" w:name="phase_14_completion_report_v1.md"/>
    <w:p>
      <w:pPr>
        <w:pStyle w:val="Heading2"/>
      </w:pPr>
      <w:r>
        <w:t xml:space="preserve">PHASE_14_COMPLETION_REPORT_V1.md</w:t>
      </w:r>
    </w:p>
    <w:p>
      <w:pPr>
        <w:pStyle w:val="FirstParagraph"/>
      </w:pPr>
      <w:r>
        <w:t xml:space="preserve">Rapport de clôture de la phase.</w:t>
      </w:r>
    </w:p>
    <w:p>
      <w:pPr>
        <w:pStyle w:val="BodyText"/>
      </w:pPr>
      <w:r>
        <w:t xml:space="preserve">Il doit confirmer :</w:t>
      </w:r>
    </w:p>
    <w:p>
      <w:pPr>
        <w:pStyle w:val="Compact"/>
        <w:numPr>
          <w:ilvl w:val="0"/>
          <w:numId w:val="1021"/>
        </w:numPr>
      </w:pPr>
      <w:r>
        <w:t xml:space="preserve">les Command Centers définis ;</w:t>
      </w:r>
    </w:p>
    <w:p>
      <w:pPr>
        <w:pStyle w:val="Compact"/>
        <w:numPr>
          <w:ilvl w:val="0"/>
          <w:numId w:val="1021"/>
        </w:numPr>
      </w:pPr>
      <w:r>
        <w:t xml:space="preserve">les dépendances dashboards ;</w:t>
      </w:r>
    </w:p>
    <w:p>
      <w:pPr>
        <w:pStyle w:val="Compact"/>
        <w:numPr>
          <w:ilvl w:val="0"/>
          <w:numId w:val="1021"/>
        </w:numPr>
      </w:pPr>
      <w:r>
        <w:t xml:space="preserve">les dépendances métriques ;</w:t>
      </w:r>
    </w:p>
    <w:p>
      <w:pPr>
        <w:pStyle w:val="Compact"/>
        <w:numPr>
          <w:ilvl w:val="0"/>
          <w:numId w:val="1021"/>
        </w:numPr>
      </w:pPr>
      <w:r>
        <w:t xml:space="preserve">les alertes ;</w:t>
      </w:r>
    </w:p>
    <w:p>
      <w:pPr>
        <w:pStyle w:val="Compact"/>
        <w:numPr>
          <w:ilvl w:val="0"/>
          <w:numId w:val="1021"/>
        </w:numPr>
      </w:pPr>
      <w:r>
        <w:t xml:space="preserve">les escalades ;</w:t>
      </w:r>
    </w:p>
    <w:p>
      <w:pPr>
        <w:pStyle w:val="Compact"/>
        <w:numPr>
          <w:ilvl w:val="0"/>
          <w:numId w:val="1021"/>
        </w:numPr>
      </w:pPr>
      <w:r>
        <w:t xml:space="preserve">les responsabilités humaines ;</w:t>
      </w:r>
    </w:p>
    <w:p>
      <w:pPr>
        <w:pStyle w:val="Compact"/>
        <w:numPr>
          <w:ilvl w:val="0"/>
          <w:numId w:val="1021"/>
        </w:numPr>
      </w:pPr>
      <w:r>
        <w:t xml:space="preserve">les limites de décision ;</w:t>
      </w:r>
    </w:p>
    <w:p>
      <w:pPr>
        <w:pStyle w:val="Compact"/>
        <w:numPr>
          <w:ilvl w:val="0"/>
          <w:numId w:val="1021"/>
        </w:numPr>
      </w:pPr>
      <w:r>
        <w:t xml:space="preserve">la traçabilité ;</w:t>
      </w:r>
    </w:p>
    <w:p>
      <w:pPr>
        <w:pStyle w:val="Compact"/>
        <w:numPr>
          <w:ilvl w:val="0"/>
          <w:numId w:val="1021"/>
        </w:numPr>
      </w:pPr>
      <w:r>
        <w:t xml:space="preserve">la sécurité ;</w:t>
      </w:r>
    </w:p>
    <w:p>
      <w:pPr>
        <w:pStyle w:val="Compact"/>
        <w:numPr>
          <w:ilvl w:val="0"/>
          <w:numId w:val="1021"/>
        </w:numPr>
      </w:pPr>
      <w:r>
        <w:t xml:space="preserve">les exclusions ;</w:t>
      </w:r>
    </w:p>
    <w:p>
      <w:pPr>
        <w:pStyle w:val="Compact"/>
        <w:numPr>
          <w:ilvl w:val="0"/>
          <w:numId w:val="1021"/>
        </w:numPr>
      </w:pPr>
      <w:r>
        <w:t xml:space="preserve">la continuité cloud → GitHub → Mac local ;</w:t>
      </w:r>
    </w:p>
    <w:p>
      <w:pPr>
        <w:pStyle w:val="Compact"/>
        <w:numPr>
          <w:ilvl w:val="0"/>
          <w:numId w:val="1021"/>
        </w:numPr>
      </w:pPr>
      <w:r>
        <w:t xml:space="preserve">la préparation de la Phase 15.</w:t>
      </w:r>
    </w:p>
    <w:p>
      <w:r>
        <w:pict>
          <v:rect style="width:0;height:1.5pt" o:hralign="center" o:hrstd="t" o:hr="t"/>
        </w:pict>
      </w:r>
    </w:p>
    <w:bookmarkEnd w:id="101"/>
    <w:bookmarkStart w:id="102" w:name="Xaf1a41a4d0b8e27c40e14c6570e9e7007f781a4"/>
    <w:p>
      <w:pPr>
        <w:pStyle w:val="Heading2"/>
      </w:pPr>
      <w:r>
        <w:t xml:space="preserve">PROMPT_MERE_PHASE_15_INSTITUTIONAL_DECISION_SUPPORT_V1.md</w:t>
      </w:r>
    </w:p>
    <w:p>
      <w:pPr>
        <w:pStyle w:val="FirstParagraph"/>
      </w:pPr>
      <w:r>
        <w:t xml:space="preserve">Préparer explicitement la phase suivante :</w:t>
      </w:r>
    </w:p>
    <w:bookmarkEnd w:id="102"/>
    <w:bookmarkEnd w:id="103"/>
    <w:bookmarkStart w:id="104" w:name="X94ff3f82400b9b70b1d5807f7da86cf667f4f4c"/>
    <w:p>
      <w:pPr>
        <w:pStyle w:val="Heading1"/>
      </w:pPr>
      <w:r>
        <w:t xml:space="preserve">PHASE 15 — INSTITUTIONAL DECISION SUPPORT FOUNDATION</w:t>
      </w:r>
    </w:p>
    <w:p>
      <w:r>
        <w:pict>
          <v:rect style="width:0;height:1.5pt" o:hralign="center" o:hrstd="t" o:hr="t"/>
        </w:pict>
      </w:r>
    </w:p>
    <w:bookmarkEnd w:id="104"/>
    <w:bookmarkStart w:id="105" w:name="Xcd48de4c5d49903f94f3b236737f23dcfe21c31"/>
    <w:p>
      <w:pPr>
        <w:pStyle w:val="Heading1"/>
      </w:pPr>
      <w:r>
        <w:t xml:space="preserve">REPOSITORY CONTINUITY &amp; LOCAL SYNCHRONIZATION</w:t>
      </w:r>
    </w:p>
    <w:p>
      <w:pPr>
        <w:pStyle w:val="FirstParagraph"/>
      </w:pPr>
      <w:r>
        <w:t xml:space="preserve">Toute structure créée dans le cloud doit être versionnée, committée, poussée et récupérable localement par</w:t>
      </w:r>
      <w:r>
        <w:t xml:space="preserve"> </w:t>
      </w:r>
      <w:r>
        <w:rPr>
          <w:rStyle w:val="VerbatimChar"/>
        </w:rPr>
        <w:t xml:space="preserve">git pull</w:t>
      </w:r>
      <w:r>
        <w:t xml:space="preserve">.</w:t>
      </w:r>
    </w:p>
    <w:p>
      <w:pPr>
        <w:pStyle w:val="BodyText"/>
      </w:pPr>
      <w:r>
        <w:t xml:space="preserve">Ne pas supposer qu’un dossier existe localement tant que la branche ou la PR n’a pas été récupérée.</w:t>
      </w:r>
    </w:p>
    <w:p>
      <w:pPr>
        <w:pStyle w:val="BodyText"/>
      </w:pPr>
      <w:r>
        <w:t xml:space="preserve">Ne pas recréer manuellement en local les dossiers créés dans le cloud, sauf en cas d’absence confirmée après :</w:t>
      </w:r>
    </w:p>
    <w:p>
      <w:pPr>
        <w:pStyle w:val="SourceCode"/>
      </w:pPr>
      <w:r>
        <w:rPr>
          <w:rStyle w:val="FunctionTok"/>
        </w:rPr>
        <w:t xml:space="preserve">git</w:t>
      </w:r>
      <w:r>
        <w:rPr>
          <w:rStyle w:val="NormalTok"/>
        </w:rPr>
        <w:t xml:space="preserve"> fetch origin</w:t>
      </w:r>
      <w:r>
        <w:br/>
      </w:r>
      <w:r>
        <w:rPr>
          <w:rStyle w:val="FunctionTok"/>
        </w:rPr>
        <w:t xml:space="preserve">git</w:t>
      </w:r>
      <w:r>
        <w:rPr>
          <w:rStyle w:val="NormalTok"/>
        </w:rPr>
        <w:t xml:space="preserve"> pull origin main</w:t>
      </w:r>
    </w:p>
    <w:p>
      <w:pPr>
        <w:pStyle w:val="FirstParagraph"/>
      </w:pPr>
      <w:r>
        <w:t xml:space="preserve">Tout dossier vide nécessaire doit contenir un fichier :</w:t>
      </w:r>
    </w:p>
    <w:p>
      <w:pPr>
        <w:pStyle w:val="SourceCode"/>
      </w:pPr>
      <w:r>
        <w:rPr>
          <w:rStyle w:val="VerbatimChar"/>
        </w:rPr>
        <w:t xml:space="preserve">.gitkeep</w:t>
      </w:r>
    </w:p>
    <w:p>
      <w:pPr>
        <w:pStyle w:val="FirstParagraph"/>
      </w:pPr>
      <w:r>
        <w:t xml:space="preserve">La Phase 14 doit garantir la continuité entre environnement cloud, GitHub et dépôt local Mac.</w:t>
      </w:r>
    </w:p>
    <w:p>
      <w:pPr>
        <w:pStyle w:val="BodyText"/>
      </w:pPr>
      <w:r>
        <w:t xml:space="preserve">Procédure locale future :</w:t>
      </w:r>
    </w:p>
    <w:p>
      <w:pPr>
        <w:pStyle w:val="SourceCode"/>
      </w:pPr>
      <w:r>
        <w:rPr>
          <w:rStyle w:val="BuiltInTok"/>
        </w:rPr>
        <w:t xml:space="preserve">cd</w:t>
      </w:r>
      <w:r>
        <w:rPr>
          <w:rStyle w:val="NormalTok"/>
        </w:rPr>
        <w:t xml:space="preserve"> ~/chemin/vers/cs-greffe-os-cloud</w:t>
      </w:r>
      <w:r>
        <w:br/>
      </w:r>
      <w:r>
        <w:rPr>
          <w:rStyle w:val="FunctionTok"/>
        </w:rPr>
        <w:t xml:space="preserve">git</w:t>
      </w:r>
      <w:r>
        <w:rPr>
          <w:rStyle w:val="NormalTok"/>
        </w:rPr>
        <w:t xml:space="preserve"> status</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checkout main</w:t>
      </w:r>
      <w:r>
        <w:br/>
      </w:r>
      <w:r>
        <w:rPr>
          <w:rStyle w:val="FunctionTok"/>
        </w:rPr>
        <w:t xml:space="preserve">git</w:t>
      </w:r>
      <w:r>
        <w:rPr>
          <w:rStyle w:val="NormalTok"/>
        </w:rPr>
        <w:t xml:space="preserve"> pull origin main</w:t>
      </w:r>
      <w:r>
        <w:br/>
      </w:r>
      <w:r>
        <w:rPr>
          <w:rStyle w:val="FunctionTok"/>
        </w:rPr>
        <w:t xml:space="preserve">ls</w:t>
      </w:r>
      <w:r>
        <w:rPr>
          <w:rStyle w:val="NormalTok"/>
        </w:rPr>
        <w:t xml:space="preserve"> </w:t>
      </w:r>
      <w:r>
        <w:rPr>
          <w:rStyle w:val="AttributeTok"/>
        </w:rPr>
        <w:t xml:space="preserve">-la</w:t>
      </w:r>
      <w:r>
        <w:rPr>
          <w:rStyle w:val="NormalTok"/>
        </w:rPr>
        <w:t xml:space="preserve"> docs/cs_greffe_os</w:t>
      </w:r>
      <w:r>
        <w:br/>
      </w:r>
      <w:r>
        <w:rPr>
          <w:rStyle w:val="FunctionTok"/>
        </w:rPr>
        <w:t xml:space="preserve">ls</w:t>
      </w:r>
      <w:r>
        <w:rPr>
          <w:rStyle w:val="NormalTok"/>
        </w:rPr>
        <w:t xml:space="preserve"> </w:t>
      </w:r>
      <w:r>
        <w:rPr>
          <w:rStyle w:val="AttributeTok"/>
        </w:rPr>
        <w:t xml:space="preserve">-la</w:t>
      </w:r>
      <w:r>
        <w:rPr>
          <w:rStyle w:val="NormalTok"/>
        </w:rPr>
        <w:t xml:space="preserve"> docs/cs_greffe_os/25_COMMAND_CENTER</w:t>
      </w:r>
    </w:p>
    <w:p>
      <w:pPr>
        <w:pStyle w:val="FirstParagraph"/>
      </w:pPr>
      <w:r>
        <w:t xml:space="preserve">Si la branche n’est pas mergée :</w:t>
      </w:r>
    </w:p>
    <w:p>
      <w:pPr>
        <w:pStyle w:val="SourceCode"/>
      </w:pPr>
      <w:r>
        <w:rPr>
          <w:rStyle w:val="FunctionTok"/>
        </w:rPr>
        <w:t xml:space="preserve">git</w:t>
      </w:r>
      <w:r>
        <w:rPr>
          <w:rStyle w:val="NormalTok"/>
        </w:rPr>
        <w:t xml:space="preserve"> fetch origin</w:t>
      </w:r>
      <w:r>
        <w:br/>
      </w:r>
      <w:r>
        <w:rPr>
          <w:rStyle w:val="FunctionTok"/>
        </w:rPr>
        <w:t xml:space="preserve">git</w:t>
      </w:r>
      <w:r>
        <w:rPr>
          <w:rStyle w:val="NormalTok"/>
        </w:rPr>
        <w:t xml:space="preserve"> branch </w:t>
      </w:r>
      <w:r>
        <w:rPr>
          <w:rStyle w:val="AttributeTok"/>
        </w:rPr>
        <w:t xml:space="preserve">-r</w:t>
      </w:r>
      <w:r>
        <w:br/>
      </w:r>
      <w:r>
        <w:rPr>
          <w:rStyle w:val="FunctionTok"/>
        </w:rPr>
        <w:t xml:space="preserve">git</w:t>
      </w:r>
      <w:r>
        <w:rPr>
          <w:rStyle w:val="NormalTok"/>
        </w:rPr>
        <w:t xml:space="preserve"> checkout </w:t>
      </w:r>
      <w:r>
        <w:rPr>
          <w:rStyle w:val="AttributeTok"/>
        </w:rPr>
        <w:t xml:space="preserve">-b</w:t>
      </w:r>
      <w:r>
        <w:rPr>
          <w:rStyle w:val="NormalTok"/>
        </w:rPr>
        <w:t xml:space="preserve"> nom-de-la-branche origin/nom-de-la-branche</w:t>
      </w:r>
    </w:p>
    <w:p>
      <w:r>
        <w:pict>
          <v:rect style="width:0;height:1.5pt" o:hralign="center" o:hrstd="t" o:hr="t"/>
        </w:pict>
      </w:r>
    </w:p>
    <w:bookmarkEnd w:id="105"/>
    <w:bookmarkStart w:id="106" w:name="directives-héritées"/>
    <w:p>
      <w:pPr>
        <w:pStyle w:val="Heading1"/>
      </w:pPr>
      <w:r>
        <w:t xml:space="preserve">DIRECTIVES HÉRITÉES</w:t>
      </w:r>
    </w:p>
    <w:p>
      <w:pPr>
        <w:pStyle w:val="FirstParagraph"/>
      </w:pPr>
      <w:r>
        <w:t xml:space="preserve">Toujours respecter :</w:t>
      </w:r>
    </w:p>
    <w:p>
      <w:pPr>
        <w:pStyle w:val="Compact"/>
        <w:numPr>
          <w:ilvl w:val="0"/>
          <w:numId w:val="1022"/>
        </w:numPr>
      </w:pPr>
      <w:r>
        <w:t xml:space="preserve">Human Governance before AI ;</w:t>
      </w:r>
    </w:p>
    <w:p>
      <w:pPr>
        <w:pStyle w:val="Compact"/>
        <w:numPr>
          <w:ilvl w:val="0"/>
          <w:numId w:val="1022"/>
        </w:numPr>
      </w:pPr>
      <w:r>
        <w:t xml:space="preserve">Memory Before Code ;</w:t>
      </w:r>
    </w:p>
    <w:p>
      <w:pPr>
        <w:pStyle w:val="Compact"/>
        <w:numPr>
          <w:ilvl w:val="0"/>
          <w:numId w:val="1022"/>
        </w:numPr>
      </w:pPr>
      <w:r>
        <w:t xml:space="preserve">Governance Before Automation ;</w:t>
      </w:r>
    </w:p>
    <w:p>
      <w:pPr>
        <w:pStyle w:val="Compact"/>
        <w:numPr>
          <w:ilvl w:val="0"/>
          <w:numId w:val="1022"/>
        </w:numPr>
      </w:pPr>
      <w:r>
        <w:t xml:space="preserve">Governance before Data ;</w:t>
      </w:r>
    </w:p>
    <w:p>
      <w:pPr>
        <w:pStyle w:val="Compact"/>
        <w:numPr>
          <w:ilvl w:val="0"/>
          <w:numId w:val="1022"/>
        </w:numPr>
      </w:pPr>
      <w:r>
        <w:t xml:space="preserve">Governed Data before Intelligent Systems ;</w:t>
      </w:r>
    </w:p>
    <w:p>
      <w:pPr>
        <w:pStyle w:val="Compact"/>
        <w:numPr>
          <w:ilvl w:val="0"/>
          <w:numId w:val="1022"/>
        </w:numPr>
      </w:pPr>
      <w:r>
        <w:t xml:space="preserve">Semantic Data before Intelligent Retrieval ;</w:t>
      </w:r>
    </w:p>
    <w:p>
      <w:pPr>
        <w:pStyle w:val="Compact"/>
        <w:numPr>
          <w:ilvl w:val="0"/>
          <w:numId w:val="1022"/>
        </w:numPr>
      </w:pPr>
      <w:r>
        <w:t xml:space="preserve">Retrieval before Generation ;</w:t>
      </w:r>
    </w:p>
    <w:p>
      <w:pPr>
        <w:pStyle w:val="Compact"/>
        <w:numPr>
          <w:ilvl w:val="0"/>
          <w:numId w:val="1022"/>
        </w:numPr>
      </w:pPr>
      <w:r>
        <w:t xml:space="preserve">Orchestration before Autonomy ;</w:t>
      </w:r>
    </w:p>
    <w:p>
      <w:pPr>
        <w:pStyle w:val="Compact"/>
        <w:numPr>
          <w:ilvl w:val="0"/>
          <w:numId w:val="1022"/>
        </w:numPr>
      </w:pPr>
      <w:r>
        <w:t xml:space="preserve">Governed AI before Scaled AI ;</w:t>
      </w:r>
    </w:p>
    <w:p>
      <w:pPr>
        <w:pStyle w:val="Compact"/>
        <w:numPr>
          <w:ilvl w:val="0"/>
          <w:numId w:val="1022"/>
        </w:numPr>
      </w:pPr>
      <w:r>
        <w:t xml:space="preserve">Operated Intelligence before Institutional Deployment ;</w:t>
      </w:r>
    </w:p>
    <w:p>
      <w:pPr>
        <w:pStyle w:val="Compact"/>
        <w:numPr>
          <w:ilvl w:val="0"/>
          <w:numId w:val="1022"/>
        </w:numPr>
      </w:pPr>
      <w:r>
        <w:t xml:space="preserve">Business Capabilities before Applications ;</w:t>
      </w:r>
    </w:p>
    <w:p>
      <w:pPr>
        <w:pStyle w:val="Compact"/>
        <w:numPr>
          <w:ilvl w:val="0"/>
          <w:numId w:val="1022"/>
        </w:numPr>
      </w:pPr>
      <w:r>
        <w:t xml:space="preserve">Governed Applications before Operational Dashboards ;</w:t>
      </w:r>
    </w:p>
    <w:p>
      <w:pPr>
        <w:pStyle w:val="Compact"/>
        <w:numPr>
          <w:ilvl w:val="0"/>
          <w:numId w:val="1022"/>
        </w:numPr>
      </w:pPr>
      <w:r>
        <w:t xml:space="preserve">Governed Metrics before Command Centers ;</w:t>
      </w:r>
    </w:p>
    <w:p>
      <w:pPr>
        <w:pStyle w:val="Compact"/>
        <w:numPr>
          <w:ilvl w:val="0"/>
          <w:numId w:val="1022"/>
        </w:numPr>
      </w:pPr>
      <w:r>
        <w:t xml:space="preserve">Cloud-to-Local Continuity before Local Execution ;</w:t>
      </w:r>
    </w:p>
    <w:p>
      <w:pPr>
        <w:pStyle w:val="Compact"/>
        <w:numPr>
          <w:ilvl w:val="0"/>
          <w:numId w:val="1022"/>
        </w:numPr>
      </w:pPr>
      <w:r>
        <w:t xml:space="preserve">Governed Command Centers before Institutional Decision Support ;</w:t>
      </w:r>
    </w:p>
    <w:p>
      <w:pPr>
        <w:pStyle w:val="Compact"/>
        <w:numPr>
          <w:ilvl w:val="0"/>
          <w:numId w:val="1022"/>
        </w:numPr>
      </w:pPr>
      <w:r>
        <w:t xml:space="preserve">Traceability Before Performance ;</w:t>
      </w:r>
    </w:p>
    <w:p>
      <w:pPr>
        <w:pStyle w:val="Compact"/>
        <w:numPr>
          <w:ilvl w:val="0"/>
          <w:numId w:val="1022"/>
        </w:numPr>
      </w:pPr>
      <w:r>
        <w:t xml:space="preserve">Knowledge as an Asset ;</w:t>
      </w:r>
    </w:p>
    <w:p>
      <w:pPr>
        <w:pStyle w:val="Compact"/>
        <w:numPr>
          <w:ilvl w:val="0"/>
          <w:numId w:val="1022"/>
        </w:numPr>
      </w:pPr>
      <w:r>
        <w:t xml:space="preserve">AI augments Humans ;</w:t>
      </w:r>
    </w:p>
    <w:p>
      <w:pPr>
        <w:pStyle w:val="Compact"/>
        <w:numPr>
          <w:ilvl w:val="0"/>
          <w:numId w:val="1022"/>
        </w:numPr>
      </w:pPr>
      <w:r>
        <w:t xml:space="preserve">Every completed phase must prepare the next one.</w:t>
      </w:r>
    </w:p>
    <w:p>
      <w:r>
        <w:pict>
          <v:rect style="width:0;height:1.5pt" o:hralign="center" o:hrstd="t" o:hr="t"/>
        </w:pict>
      </w:r>
    </w:p>
    <w:bookmarkEnd w:id="106"/>
    <w:bookmarkStart w:id="107" w:name="exclusions"/>
    <w:p>
      <w:pPr>
        <w:pStyle w:val="Heading1"/>
      </w:pPr>
      <w:r>
        <w:t xml:space="preserve">EXCLUSIONS</w:t>
      </w:r>
    </w:p>
    <w:p>
      <w:pPr>
        <w:pStyle w:val="FirstParagraph"/>
      </w:pPr>
      <w:r>
        <w:t xml:space="preserve">Ne pas :</w:t>
      </w:r>
    </w:p>
    <w:p>
      <w:pPr>
        <w:pStyle w:val="Compact"/>
        <w:numPr>
          <w:ilvl w:val="0"/>
          <w:numId w:val="1023"/>
        </w:numPr>
      </w:pPr>
      <w:r>
        <w:t xml:space="preserve">développer un Command Center opérationnel final ;</w:t>
      </w:r>
    </w:p>
    <w:p>
      <w:pPr>
        <w:pStyle w:val="Compact"/>
        <w:numPr>
          <w:ilvl w:val="0"/>
          <w:numId w:val="1023"/>
        </w:numPr>
      </w:pPr>
      <w:r>
        <w:t xml:space="preserve">créer une aide à la décision institutionnelle automatisée ;</w:t>
      </w:r>
    </w:p>
    <w:p>
      <w:pPr>
        <w:pStyle w:val="Compact"/>
        <w:numPr>
          <w:ilvl w:val="0"/>
          <w:numId w:val="1023"/>
        </w:numPr>
      </w:pPr>
      <w:r>
        <w:t xml:space="preserve">automatiser une décision juridictionnelle ;</w:t>
      </w:r>
    </w:p>
    <w:p>
      <w:pPr>
        <w:pStyle w:val="Compact"/>
        <w:numPr>
          <w:ilvl w:val="0"/>
          <w:numId w:val="1023"/>
        </w:numPr>
      </w:pPr>
      <w:r>
        <w:t xml:space="preserve">automatiser une décision administrative sensible ;</w:t>
      </w:r>
    </w:p>
    <w:p>
      <w:pPr>
        <w:pStyle w:val="Compact"/>
        <w:numPr>
          <w:ilvl w:val="0"/>
          <w:numId w:val="1023"/>
        </w:numPr>
      </w:pPr>
      <w:r>
        <w:t xml:space="preserve">déployer des modèles IA en production ;</w:t>
      </w:r>
    </w:p>
    <w:p>
      <w:pPr>
        <w:pStyle w:val="Compact"/>
        <w:numPr>
          <w:ilvl w:val="0"/>
          <w:numId w:val="1023"/>
        </w:numPr>
      </w:pPr>
      <w:r>
        <w:t xml:space="preserve">activer des agents autonomes ;</w:t>
      </w:r>
    </w:p>
    <w:p>
      <w:pPr>
        <w:pStyle w:val="Compact"/>
        <w:numPr>
          <w:ilvl w:val="0"/>
          <w:numId w:val="1023"/>
        </w:numPr>
      </w:pPr>
      <w:r>
        <w:t xml:space="preserve">utiliser des données judiciaires réelles non gouvernées ;</w:t>
      </w:r>
    </w:p>
    <w:p>
      <w:pPr>
        <w:pStyle w:val="Compact"/>
        <w:numPr>
          <w:ilvl w:val="0"/>
          <w:numId w:val="1023"/>
        </w:numPr>
      </w:pPr>
      <w:r>
        <w:t xml:space="preserve">déclencher des actions sensibles ;</w:t>
      </w:r>
    </w:p>
    <w:p>
      <w:pPr>
        <w:pStyle w:val="Compact"/>
        <w:numPr>
          <w:ilvl w:val="0"/>
          <w:numId w:val="1023"/>
        </w:numPr>
      </w:pPr>
      <w:r>
        <w:t xml:space="preserve">remplacer le greffier ;</w:t>
      </w:r>
    </w:p>
    <w:p>
      <w:pPr>
        <w:pStyle w:val="Compact"/>
        <w:numPr>
          <w:ilvl w:val="0"/>
          <w:numId w:val="1023"/>
        </w:numPr>
      </w:pPr>
      <w:r>
        <w:t xml:space="preserve">remplacer le magistrat ;</w:t>
      </w:r>
    </w:p>
    <w:p>
      <w:pPr>
        <w:pStyle w:val="Compact"/>
        <w:numPr>
          <w:ilvl w:val="0"/>
          <w:numId w:val="1023"/>
        </w:numPr>
      </w:pPr>
      <w:r>
        <w:t xml:space="preserve">présenter une alerte comme décision officielle ;</w:t>
      </w:r>
    </w:p>
    <w:p>
      <w:pPr>
        <w:pStyle w:val="Compact"/>
        <w:numPr>
          <w:ilvl w:val="0"/>
          <w:numId w:val="1023"/>
        </w:numPr>
      </w:pPr>
      <w:r>
        <w:t xml:space="preserve">publier des données sensibles ;</w:t>
      </w:r>
    </w:p>
    <w:p>
      <w:pPr>
        <w:pStyle w:val="Compact"/>
        <w:numPr>
          <w:ilvl w:val="0"/>
          <w:numId w:val="1023"/>
        </w:numPr>
      </w:pPr>
      <w:r>
        <w:t xml:space="preserve">contourner la validation humaine ;</w:t>
      </w:r>
    </w:p>
    <w:p>
      <w:pPr>
        <w:pStyle w:val="Compact"/>
        <w:numPr>
          <w:ilvl w:val="0"/>
          <w:numId w:val="1023"/>
        </w:numPr>
      </w:pPr>
      <w:r>
        <w:t xml:space="preserve">casser l’arborescence documentaire existante ;</w:t>
      </w:r>
    </w:p>
    <w:p>
      <w:pPr>
        <w:pStyle w:val="Compact"/>
        <w:numPr>
          <w:ilvl w:val="0"/>
          <w:numId w:val="1023"/>
        </w:numPr>
      </w:pPr>
      <w:r>
        <w:t xml:space="preserve">recréer manuellement en local des dossiers déjà créés dans le cloud.</w:t>
      </w:r>
    </w:p>
    <w:p>
      <w:r>
        <w:pict>
          <v:rect style="width:0;height:1.5pt" o:hralign="center" o:hrstd="t" o:hr="t"/>
        </w:pict>
      </w:r>
    </w:p>
    <w:bookmarkEnd w:id="107"/>
    <w:bookmarkStart w:id="108" w:name="convention-de-commit"/>
    <w:p>
      <w:pPr>
        <w:pStyle w:val="Heading1"/>
      </w:pPr>
      <w:r>
        <w:t xml:space="preserve">CONVENTION DE COMMIT</w:t>
      </w:r>
    </w:p>
    <w:p>
      <w:pPr>
        <w:pStyle w:val="FirstParagraph"/>
      </w:pPr>
      <w:r>
        <w:t xml:space="preserve">Format :</w:t>
      </w:r>
    </w:p>
    <w:p>
      <w:pPr>
        <w:pStyle w:val="SourceCode"/>
      </w:pPr>
      <w:r>
        <w:rPr>
          <w:rStyle w:val="VerbatimChar"/>
        </w:rPr>
        <w:t xml:space="preserve">PHASE_&lt;n&gt;_&lt;HHMM&gt;: &lt;description&gt;</w:t>
      </w:r>
    </w:p>
    <w:p>
      <w:pPr>
        <w:pStyle w:val="FirstParagraph"/>
      </w:pPr>
      <w:r>
        <w:t xml:space="preserve">Exemples :</w:t>
      </w:r>
    </w:p>
    <w:p>
      <w:pPr>
        <w:pStyle w:val="SourceCode"/>
      </w:pPr>
      <w:r>
        <w:rPr>
          <w:rStyle w:val="VerbatimChar"/>
        </w:rPr>
        <w:t xml:space="preserve">PHASE_14_0900: establish command center foundation</w:t>
      </w:r>
      <w:r>
        <w:br/>
      </w:r>
      <w:r>
        <w:br/>
      </w:r>
      <w:r>
        <w:rPr>
          <w:rStyle w:val="VerbatimChar"/>
        </w:rPr>
        <w:t xml:space="preserve">PHASE_14_1030: define command center registry</w:t>
      </w:r>
      <w:r>
        <w:br/>
      </w:r>
      <w:r>
        <w:br/>
      </w:r>
      <w:r>
        <w:rPr>
          <w:rStyle w:val="VerbatimChar"/>
        </w:rPr>
        <w:t xml:space="preserve">PHASE_14_1200: establish alerting and escalation framework</w:t>
      </w:r>
      <w:r>
        <w:br/>
      </w:r>
      <w:r>
        <w:br/>
      </w:r>
      <w:r>
        <w:rPr>
          <w:rStyle w:val="VerbatimChar"/>
        </w:rPr>
        <w:t xml:space="preserve">PHASE_14_1430: establish decision support boundaries</w:t>
      </w:r>
      <w:r>
        <w:br/>
      </w:r>
      <w:r>
        <w:br/>
      </w:r>
      <w:r>
        <w:rPr>
          <w:rStyle w:val="VerbatimChar"/>
        </w:rPr>
        <w:t xml:space="preserve">PHASE_14_1700: complete command center foundation</w:t>
      </w:r>
    </w:p>
    <w:p>
      <w:r>
        <w:pict>
          <v:rect style="width:0;height:1.5pt" o:hralign="center" o:hrstd="t" o:hr="t"/>
        </w:pict>
      </w:r>
    </w:p>
    <w:bookmarkEnd w:id="108"/>
    <w:bookmarkStart w:id="109" w:name="tests-recommandés"/>
    <w:p>
      <w:pPr>
        <w:pStyle w:val="Heading1"/>
      </w:pPr>
      <w:r>
        <w:t xml:space="preserve">TESTS RECOMMANDÉS</w:t>
      </w:r>
    </w:p>
    <w:p>
      <w:pPr>
        <w:pStyle w:val="FirstParagraph"/>
      </w:pPr>
      <w:r>
        <w:t xml:space="preserve">Vérifier la présence documentaire :</w:t>
      </w:r>
    </w:p>
    <w:p>
      <w:pPr>
        <w:pStyle w:val="SourceCode"/>
      </w:pPr>
      <w:r>
        <w:rPr>
          <w:rStyle w:val="BuiltInTok"/>
        </w:rPr>
        <w:t xml:space="preserve">test</w:t>
      </w:r>
      <w:r>
        <w:rPr>
          <w:rStyle w:val="NormalTok"/>
        </w:rPr>
        <w:t xml:space="preserve"> </w:t>
      </w:r>
      <w:r>
        <w:rPr>
          <w:rStyle w:val="AttributeTok"/>
        </w:rPr>
        <w:t xml:space="preserve">-f</w:t>
      </w:r>
      <w:r>
        <w:rPr>
          <w:rStyle w:val="NormalTok"/>
        </w:rPr>
        <w:t xml:space="preserve"> docs/cs_greffe_os/25_COMMAND_CENTER/COMMAND_CENTER_FOUNDATION_FRAMEWORK_V1.md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docs/cs_greffe_os/25_COMMAND_CENTER/COMMAND_CENTER_REGISTRY_V1.md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docs/cs_greffe_os/25_COMMAND_CENTER/PROMPT_MERE_PHASE_15_INSTITUTIONAL_DECISION_SUPPORT_V1.md</w:t>
      </w:r>
    </w:p>
    <w:p>
      <w:pPr>
        <w:pStyle w:val="FirstParagraph"/>
      </w:pPr>
      <w:r>
        <w:t xml:space="preserve">Vérifier la cohérence sémantique :</w:t>
      </w:r>
    </w:p>
    <w:p>
      <w:pPr>
        <w:pStyle w:val="SourceCode"/>
      </w:pP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"Governed Command Centers before Institutional Decision Support|Command Center Foundation|Human-in-the-loop|decision support|PHASE 14|Phase 15|COMMAND_CENTER_REGISTRY"</w:t>
      </w:r>
      <w:r>
        <w:rPr>
          <w:rStyle w:val="NormalTok"/>
        </w:rPr>
        <w:t xml:space="preserve"> docs/cs_greffe_os/25_COMMAND_CENTER docs/cs_greffe_os/01_PROJECT_MEMORY docs/cs_greffe_os/RESOURCE_INDEX_V1.md</w:t>
      </w:r>
    </w:p>
    <w:p>
      <w:pPr>
        <w:pStyle w:val="FirstParagraph"/>
      </w:pPr>
      <w:r>
        <w:t xml:space="preserve">Vérifier l’absence d’activation technique prématurée :</w:t>
      </w:r>
    </w:p>
    <w:p>
      <w:pPr>
        <w:pStyle w:val="SourceCode"/>
      </w:pPr>
      <w:r>
        <w:rPr>
          <w:rStyle w:val="FunctionTok"/>
        </w:rPr>
        <w:t xml:space="preserve">git</w:t>
      </w:r>
      <w:r>
        <w:rPr>
          <w:rStyle w:val="NormalTok"/>
        </w:rPr>
        <w:t xml:space="preserve"> diff </w:t>
      </w:r>
      <w:r>
        <w:rPr>
          <w:rStyle w:val="AttributeTok"/>
        </w:rPr>
        <w:t xml:space="preserve">--</w:t>
      </w:r>
      <w:r>
        <w:rPr>
          <w:rStyle w:val="NormalTok"/>
        </w:rPr>
        <w:t xml:space="preserve"> cs_greffe_os/app.py requirements.txt cs_greffe_os/data source_materials snowflake rag agents api dashboards </w:t>
      </w:r>
      <w:r>
        <w:rPr>
          <w:rStyle w:val="AttributeTok"/>
        </w:rPr>
        <w:t xml:space="preserve">--exit-code</w:t>
      </w:r>
    </w:p>
    <w:p>
      <w:pPr>
        <w:pStyle w:val="FirstParagraph"/>
      </w:pPr>
      <w:r>
        <w:t xml:space="preserve">Lancer le smoke test cloud si le script existe :</w:t>
      </w:r>
    </w:p>
    <w:p>
      <w:pPr>
        <w:pStyle w:val="SourceCode"/>
      </w:pPr>
      <w:r>
        <w:rPr>
          <w:rStyle w:val="ExtensionTok"/>
        </w:rPr>
        <w:t xml:space="preserve">./scripts/codex_cloud_smoke_test.sh</w:t>
      </w:r>
    </w:p>
    <w:p>
      <w:r>
        <w:pict>
          <v:rect style="width:0;height:1.5pt" o:hralign="center" o:hrstd="t" o:hr="t"/>
        </w:pict>
      </w:r>
    </w:p>
    <w:bookmarkEnd w:id="109"/>
    <w:bookmarkStart w:id="110" w:name="critères-de-sortie"/>
    <w:p>
      <w:pPr>
        <w:pStyle w:val="Heading1"/>
      </w:pPr>
      <w:r>
        <w:t xml:space="preserve">CRITÈRES DE SORTIE</w:t>
      </w:r>
    </w:p>
    <w:p>
      <w:pPr>
        <w:pStyle w:val="FirstParagraph"/>
      </w:pPr>
      <w:r>
        <w:t xml:space="preserve">La phase est terminée lorsque :</w:t>
      </w:r>
    </w:p>
    <w:p>
      <w:pPr>
        <w:pStyle w:val="BodyText"/>
      </w:pPr>
      <w:r>
        <w:t xml:space="preserve">✓ les Command Centers cibles sont définis ;</w:t>
      </w:r>
    </w:p>
    <w:p>
      <w:pPr>
        <w:pStyle w:val="BodyText"/>
      </w:pPr>
      <w:r>
        <w:t xml:space="preserve">✓ le modèle conceptuel est documenté ;</w:t>
      </w:r>
    </w:p>
    <w:p>
      <w:pPr>
        <w:pStyle w:val="BodyText"/>
      </w:pPr>
      <w:r>
        <w:t xml:space="preserve">✓ le registre des Command Centers est établi ;</w:t>
      </w:r>
    </w:p>
    <w:p>
      <w:pPr>
        <w:pStyle w:val="BodyText"/>
      </w:pPr>
      <w:r>
        <w:t xml:space="preserve">✓ les dépendances dashboards sont précisées ;</w:t>
      </w:r>
    </w:p>
    <w:p>
      <w:pPr>
        <w:pStyle w:val="BodyText"/>
      </w:pPr>
      <w:r>
        <w:t xml:space="preserve">✓ les dépendances métriques sont précisées ;</w:t>
      </w:r>
    </w:p>
    <w:p>
      <w:pPr>
        <w:pStyle w:val="BodyText"/>
      </w:pPr>
      <w:r>
        <w:t xml:space="preserve">✓ les alertes sont encadrées ;</w:t>
      </w:r>
    </w:p>
    <w:p>
      <w:pPr>
        <w:pStyle w:val="BodyText"/>
      </w:pPr>
      <w:r>
        <w:t xml:space="preserve">✓ les procédures d’escalade sont documentées ;</w:t>
      </w:r>
    </w:p>
    <w:p>
      <w:pPr>
        <w:pStyle w:val="BodyText"/>
      </w:pPr>
      <w:r>
        <w:t xml:space="preserve">✓ les limites de l’aide à la décision sont définies ;</w:t>
      </w:r>
    </w:p>
    <w:p>
      <w:pPr>
        <w:pStyle w:val="BodyText"/>
      </w:pPr>
      <w:r>
        <w:t xml:space="preserve">✓ la journalisation des décisions humaines est préparée ;</w:t>
      </w:r>
    </w:p>
    <w:p>
      <w:pPr>
        <w:pStyle w:val="BodyText"/>
      </w:pPr>
      <w:r>
        <w:t xml:space="preserve">✓ les responsabilités humaines sont définies ;</w:t>
      </w:r>
    </w:p>
    <w:p>
      <w:pPr>
        <w:pStyle w:val="BodyText"/>
      </w:pPr>
      <w:r>
        <w:t xml:space="preserve">✓ les rôles et accès sont documentés ;</w:t>
      </w:r>
    </w:p>
    <w:p>
      <w:pPr>
        <w:pStyle w:val="BodyText"/>
      </w:pPr>
      <w:r>
        <w:t xml:space="preserve">✓ la traçabilité est définie ;</w:t>
      </w:r>
    </w:p>
    <w:p>
      <w:pPr>
        <w:pStyle w:val="BodyText"/>
      </w:pPr>
      <w:r>
        <w:t xml:space="preserve">✓ la sécurité est documentée ;</w:t>
      </w:r>
    </w:p>
    <w:p>
      <w:pPr>
        <w:pStyle w:val="BodyText"/>
      </w:pPr>
      <w:r>
        <w:t xml:space="preserve">✓ les risques sont gouvernés ;</w:t>
      </w:r>
    </w:p>
    <w:p>
      <w:pPr>
        <w:pStyle w:val="BodyText"/>
      </w:pPr>
      <w:r>
        <w:t xml:space="preserve">✓ le Strategic Greffe Governance Command Center est documenté ;</w:t>
      </w:r>
    </w:p>
    <w:p>
      <w:pPr>
        <w:pStyle w:val="BodyText"/>
      </w:pPr>
      <w:r>
        <w:t xml:space="preserve">✓ la perspective Judicial Governance Command Center est préparée ;</w:t>
      </w:r>
    </w:p>
    <w:p>
      <w:pPr>
        <w:pStyle w:val="BodyText"/>
      </w:pPr>
      <w:r>
        <w:t xml:space="preserve">✓ le protocole Cloud → GitHub → Mac local est documenté ;</w:t>
      </w:r>
    </w:p>
    <w:p>
      <w:pPr>
        <w:pStyle w:val="BodyText"/>
      </w:pPr>
      <w:r>
        <w:t xml:space="preserve">✓ le dossier</w:t>
      </w:r>
      <w:r>
        <w:t xml:space="preserve"> </w:t>
      </w:r>
      <w:r>
        <w:rPr>
          <w:rStyle w:val="VerbatimChar"/>
        </w:rPr>
        <w:t xml:space="preserve">docs/cs_greffe_os/25_COMMAND_CENTER/</w:t>
      </w:r>
      <w:r>
        <w:t xml:space="preserve"> </w:t>
      </w:r>
      <w:r>
        <w:t xml:space="preserve">est versionné ;</w:t>
      </w:r>
    </w:p>
    <w:p>
      <w:pPr>
        <w:pStyle w:val="BodyText"/>
      </w:pPr>
      <w:r>
        <w:t xml:space="preserve">✓ les exclusions sont respectées ;</w:t>
      </w:r>
    </w:p>
    <w:p>
      <w:pPr>
        <w:pStyle w:val="BodyText"/>
      </w:pPr>
      <w:r>
        <w:t xml:space="preserve">✓ les conditions de réussite de la Phase 15 — Institutional Decision Support Foundation sont préparées.</w:t>
      </w:r>
    </w:p>
    <w:p>
      <w:r>
        <w:pict>
          <v:rect style="width:0;height:1.5pt" o:hralign="center" o:hrstd="t" o:hr="t"/>
        </w:pict>
      </w:r>
    </w:p>
    <w:bookmarkEnd w:id="110"/>
    <w:bookmarkStart w:id="111" w:name="principe-de-continuité"/>
    <w:p>
      <w:pPr>
        <w:pStyle w:val="Heading1"/>
      </w:pPr>
      <w:r>
        <w:t xml:space="preserve">PRINCIPE DE CONTINUITÉ</w:t>
      </w:r>
    </w:p>
    <w:p>
      <w:pPr>
        <w:pStyle w:val="FirstParagraph"/>
      </w:pPr>
      <w:r>
        <w:t xml:space="preserve">Conformément au Principe Fondamental n°8 :</w:t>
      </w:r>
    </w:p>
    <w:p>
      <w:pPr>
        <w:pStyle w:val="BlockText"/>
      </w:pPr>
      <w:r>
        <w:t xml:space="preserve">Every completed phase must prepare the next one.</w:t>
      </w:r>
    </w:p>
    <w:p>
      <w:pPr>
        <w:pStyle w:val="FirstParagraph"/>
      </w:pPr>
      <w:r>
        <w:t xml:space="preserve">La clôture de la PHASE 14 devra obligatoirement produire :</w:t>
      </w:r>
    </w:p>
    <w:bookmarkEnd w:id="111"/>
    <w:bookmarkStart w:id="112" w:name="X2ead7c1853ea50aa81e0af6d9d7338a9a1bf696"/>
    <w:p>
      <w:pPr>
        <w:pStyle w:val="Heading1"/>
      </w:pPr>
      <w:r>
        <w:t xml:space="preserve">PROMPT MÈRE — PHASE 15 : INSTITUTIONAL DECISION SUPPORT FOUNDATION</w:t>
      </w:r>
    </w:p>
    <w:p>
      <w:pPr>
        <w:pStyle w:val="FirstParagraph"/>
      </w:pPr>
      <w:r>
        <w:t xml:space="preserve">car :</w:t>
      </w:r>
    </w:p>
    <w:p>
      <w:pPr>
        <w:pStyle w:val="SourceCode"/>
      </w:pPr>
      <w:r>
        <w:rPr>
          <w:rStyle w:val="VerbatimChar"/>
        </w:rPr>
        <w:t xml:space="preserve">Foundation</w:t>
      </w:r>
      <w:r>
        <w:br/>
      </w:r>
      <w:r>
        <w:rPr>
          <w:rStyle w:val="VerbatimChar"/>
        </w:rPr>
        <w:t xml:space="preserve">↓</w:t>
      </w:r>
      <w:r>
        <w:br/>
      </w:r>
      <w:r>
        <w:rPr>
          <w:rStyle w:val="VerbatimChar"/>
        </w:rPr>
        <w:t xml:space="preserve">Memory</w:t>
      </w:r>
      <w:r>
        <w:br/>
      </w:r>
      <w:r>
        <w:rPr>
          <w:rStyle w:val="VerbatimChar"/>
        </w:rPr>
        <w:t xml:space="preserve">↓</w:t>
      </w:r>
      <w:r>
        <w:br/>
      </w:r>
      <w:r>
        <w:rPr>
          <w:rStyle w:val="VerbatimChar"/>
        </w:rPr>
        <w:t xml:space="preserve">Platform</w:t>
      </w:r>
      <w:r>
        <w:br/>
      </w:r>
      <w:r>
        <w:rPr>
          <w:rStyle w:val="VerbatimChar"/>
        </w:rPr>
        <w:t xml:space="preserve">↓</w:t>
      </w:r>
      <w:r>
        <w:br/>
      </w:r>
      <w:r>
        <w:rPr>
          <w:rStyle w:val="VerbatimChar"/>
        </w:rPr>
        <w:t xml:space="preserve">Knowledge</w:t>
      </w:r>
      <w:r>
        <w:br/>
      </w:r>
      <w:r>
        <w:rPr>
          <w:rStyle w:val="VerbatimChar"/>
        </w:rPr>
        <w:t xml:space="preserve">↓</w:t>
      </w:r>
      <w:r>
        <w:br/>
      </w:r>
      <w:r>
        <w:rPr>
          <w:rStyle w:val="VerbatimChar"/>
        </w:rPr>
        <w:t xml:space="preserve">Governance</w:t>
      </w:r>
      <w:r>
        <w:br/>
      </w:r>
      <w:r>
        <w:rPr>
          <w:rStyle w:val="VerbatimChar"/>
        </w:rPr>
        <w:t xml:space="preserve">↓</w:t>
      </w:r>
      <w:r>
        <w:br/>
      </w:r>
      <w:r>
        <w:rPr>
          <w:rStyle w:val="VerbatimChar"/>
        </w:rPr>
        <w:t xml:space="preserve">Data</w:t>
      </w:r>
      <w:r>
        <w:br/>
      </w:r>
      <w:r>
        <w:rPr>
          <w:rStyle w:val="VerbatimChar"/>
        </w:rPr>
        <w:t xml:space="preserve">↓</w:t>
      </w:r>
      <w:r>
        <w:br/>
      </w:r>
      <w:r>
        <w:rPr>
          <w:rStyle w:val="VerbatimChar"/>
        </w:rPr>
        <w:t xml:space="preserve">Snowflake</w:t>
      </w:r>
      <w:r>
        <w:br/>
      </w:r>
      <w:r>
        <w:rPr>
          <w:rStyle w:val="VerbatimChar"/>
        </w:rPr>
        <w:t xml:space="preserve">↓</w:t>
      </w:r>
      <w:r>
        <w:br/>
      </w:r>
      <w:r>
        <w:rPr>
          <w:rStyle w:val="VerbatimChar"/>
        </w:rPr>
        <w:t xml:space="preserve">Semantic Layer</w:t>
      </w:r>
      <w:r>
        <w:br/>
      </w:r>
      <w:r>
        <w:rPr>
          <w:rStyle w:val="VerbatimChar"/>
        </w:rPr>
        <w:t xml:space="preserve">↓</w:t>
      </w:r>
      <w:r>
        <w:br/>
      </w:r>
      <w:r>
        <w:rPr>
          <w:rStyle w:val="VerbatimChar"/>
        </w:rPr>
        <w:t xml:space="preserve">RAG</w:t>
      </w:r>
      <w:r>
        <w:br/>
      </w:r>
      <w:r>
        <w:rPr>
          <w:rStyle w:val="VerbatimChar"/>
        </w:rPr>
        <w:t xml:space="preserve">↓</w:t>
      </w:r>
      <w:r>
        <w:br/>
      </w:r>
      <w:r>
        <w:rPr>
          <w:rStyle w:val="VerbatimChar"/>
        </w:rPr>
        <w:t xml:space="preserve">Multi-Agent Systems</w:t>
      </w:r>
      <w:r>
        <w:br/>
      </w:r>
      <w:r>
        <w:rPr>
          <w:rStyle w:val="VerbatimChar"/>
        </w:rPr>
        <w:t xml:space="preserve">↓</w:t>
      </w:r>
      <w:r>
        <w:br/>
      </w:r>
      <w:r>
        <w:rPr>
          <w:rStyle w:val="VerbatimChar"/>
        </w:rPr>
        <w:t xml:space="preserve">AI Governance</w:t>
      </w:r>
      <w:r>
        <w:br/>
      </w:r>
      <w:r>
        <w:rPr>
          <w:rStyle w:val="VerbatimChar"/>
        </w:rPr>
        <w:t xml:space="preserve">↓</w:t>
      </w:r>
      <w:r>
        <w:br/>
      </w:r>
      <w:r>
        <w:rPr>
          <w:rStyle w:val="VerbatimChar"/>
        </w:rPr>
        <w:t xml:space="preserve">LLMOps</w:t>
      </w:r>
      <w:r>
        <w:br/>
      </w:r>
      <w:r>
        <w:rPr>
          <w:rStyle w:val="VerbatimChar"/>
        </w:rPr>
        <w:t xml:space="preserve">↓</w:t>
      </w:r>
      <w:r>
        <w:br/>
      </w:r>
      <w:r>
        <w:rPr>
          <w:rStyle w:val="VerbatimChar"/>
        </w:rPr>
        <w:t xml:space="preserve">Business Modules</w:t>
      </w:r>
      <w:r>
        <w:br/>
      </w:r>
      <w:r>
        <w:rPr>
          <w:rStyle w:val="VerbatimChar"/>
        </w:rPr>
        <w:t xml:space="preserve">↓</w:t>
      </w:r>
      <w:r>
        <w:br/>
      </w:r>
      <w:r>
        <w:rPr>
          <w:rStyle w:val="VerbatimChar"/>
        </w:rPr>
        <w:t xml:space="preserve">Applications</w:t>
      </w:r>
      <w:r>
        <w:br/>
      </w:r>
      <w:r>
        <w:rPr>
          <w:rStyle w:val="VerbatimChar"/>
        </w:rPr>
        <w:t xml:space="preserve">↓</w:t>
      </w:r>
      <w:r>
        <w:br/>
      </w:r>
      <w:r>
        <w:rPr>
          <w:rStyle w:val="VerbatimChar"/>
        </w:rPr>
        <w:t xml:space="preserve">Dashboards</w:t>
      </w:r>
      <w:r>
        <w:br/>
      </w:r>
      <w:r>
        <w:rPr>
          <w:rStyle w:val="VerbatimChar"/>
        </w:rPr>
        <w:t xml:space="preserve">↓</w:t>
      </w:r>
      <w:r>
        <w:br/>
      </w:r>
      <w:r>
        <w:rPr>
          <w:rStyle w:val="VerbatimChar"/>
        </w:rPr>
        <w:t xml:space="preserve">Command Centers</w:t>
      </w:r>
      <w:r>
        <w:br/>
      </w:r>
      <w:r>
        <w:rPr>
          <w:rStyle w:val="VerbatimChar"/>
        </w:rPr>
        <w:t xml:space="preserve">↓</w:t>
      </w:r>
      <w:r>
        <w:br/>
      </w:r>
      <w:r>
        <w:rPr>
          <w:rStyle w:val="VerbatimChar"/>
        </w:rPr>
        <w:t xml:space="preserve">Institutional Decision Support</w:t>
      </w:r>
    </w:p>
    <w:p>
      <w:r>
        <w:pict>
          <v:rect style="width:0;height:1.5pt" o:hralign="center" o:hrstd="t" o:hr="t"/>
        </w:pict>
      </w:r>
    </w:p>
    <w:bookmarkEnd w:id="112"/>
    <w:bookmarkStart w:id="113" w:name="maxime-de-la-phase-14"/>
    <w:p>
      <w:pPr>
        <w:pStyle w:val="Heading1"/>
      </w:pPr>
      <w:r>
        <w:t xml:space="preserve">MAXIME DE LA PHASE 14</w:t>
      </w:r>
    </w:p>
    <w:p>
      <w:pPr>
        <w:pStyle w:val="BlockText"/>
      </w:pPr>
      <w:r>
        <w:t xml:space="preserve">Un Command Center sans gouvernance devient un écran de contrôle fragile.</w:t>
      </w:r>
    </w:p>
    <w:p>
      <w:pPr>
        <w:pStyle w:val="BlockText"/>
      </w:pPr>
      <w:r>
        <w:t xml:space="preserve">Un Command Center gouverné transforme les dashboards, les alertes et les responsabilités humaines en pilotage institutionnel responsable.</w:t>
      </w:r>
    </w:p>
    <w:p>
      <w:pPr>
        <w:pStyle w:val="BlockText"/>
      </w:pPr>
      <w:r>
        <w:t xml:space="preserve">L’aide à la décision commence par la gouvernance du dispositif qui l’organise.</w:t>
      </w:r>
    </w:p>
    <w:p>
      <w:pPr>
        <w:pStyle w:val="FirstParagraph"/>
      </w:pPr>
      <w:r>
        <w:t xml:space="preserve">La Phase 14 transforme donc les dashboards gouvernés en fondations de Command Center.</w:t>
      </w:r>
    </w:p>
    <w:p>
      <w:pPr>
        <w:pStyle w:val="BodyText"/>
      </w:pPr>
      <w:r>
        <w:t xml:space="preserve">Elle ouvre la voie à la PHASE 15 — INSTITUTIONAL DECISION SUPPORT FOUNDATION.</w:t>
      </w:r>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2026-06-15T12:03:13Z</dcterms:created>
  <dcterms:modified xsi:type="dcterms:W3CDTF">2026-06-15T12:03:13Z</dcterms:modified>
</cp:coreProperties>
</file>

<file path=docProps/custom.xml><?xml version="1.0" encoding="utf-8"?>
<Properties xmlns="http://schemas.openxmlformats.org/officeDocument/2006/custom-properties" xmlns:vt="http://schemas.openxmlformats.org/officeDocument/2006/docPropsVTypes"/>
</file>