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e-xvii"/>
    <w:p>
      <w:pPr>
        <w:pStyle w:val="Heading1"/>
      </w:pPr>
      <w:r>
        <w:t xml:space="preserve">PARTIE XVII</w:t>
      </w:r>
    </w:p>
    <w:bookmarkEnd w:id="20"/>
    <w:bookmarkStart w:id="22" w:name="Xda710a234cdf2f86b2ebec49483251accf9306d"/>
    <w:p>
      <w:pPr>
        <w:pStyle w:val="Heading1"/>
      </w:pPr>
      <w:r>
        <w:t xml:space="preserve">PHASE 15 — INSTITUTIONAL DECISION SUPPORT FOUNDATION</w:t>
      </w:r>
    </w:p>
    <w:bookmarkStart w:id="21" w:name="X179fe0a73b164a56301f9c77285f516ac0ea58a"/>
    <w:p>
      <w:pPr>
        <w:pStyle w:val="Heading2"/>
      </w:pPr>
      <w:r>
        <w:t xml:space="preserve">Soutenir la décision humaine sans l’automatiser</w:t>
      </w:r>
    </w:p>
    <w:p>
      <w:r>
        <w:pict>
          <v:rect style="width:0;height:1.5pt" o:hralign="center" o:hrstd="t" o:hr="t"/>
        </w:pict>
      </w:r>
    </w:p>
    <w:bookmarkEnd w:id="21"/>
    <w:bookmarkEnd w:id="22"/>
    <w:bookmarkStart w:id="24" w:name="chapitre-200"/>
    <w:p>
      <w:pPr>
        <w:pStyle w:val="Heading1"/>
      </w:pPr>
      <w:r>
        <w:t xml:space="preserve">Chapitre 200</w:t>
      </w:r>
    </w:p>
    <w:bookmarkStart w:id="23" w:name="contexte-de-la-phase-15"/>
    <w:p>
      <w:pPr>
        <w:pStyle w:val="Heading2"/>
      </w:pPr>
      <w:r>
        <w:t xml:space="preserve">Contexte de la Phase 15</w:t>
      </w:r>
    </w:p>
    <w:p>
      <w:pPr>
        <w:pStyle w:val="FirstParagraph"/>
      </w:pPr>
      <w:r>
        <w:t xml:space="preserve">La Phase 14 — Command Center Foundation a marqué une étape décisive dans la construction de CS GREFFE OS.</w:t>
      </w:r>
    </w:p>
    <w:p>
      <w:pPr>
        <w:pStyle w:val="BodyText"/>
      </w:pPr>
      <w:r>
        <w:t xml:space="preserve">Après avoir préparé les dashboards gouvernés en Phase 13, le projet a organisé la couche Command Center comme dispositif de pilotage institutionnel. Il ne s’agissait pas de créer un simple écran de contrôle, ni une salle de supervision technique, ni une agrégation de tableaux de bord. Il s’agissait de préparer un cadre capable de relier les dashboards, les métriques, les alertes, les risques, les responsabilités humaines, les procédures d’escalade et la mémoire institutionnelle.</w:t>
      </w:r>
    </w:p>
    <w:p>
      <w:pPr>
        <w:pStyle w:val="BodyText"/>
      </w:pPr>
      <w:r>
        <w:t xml:space="preserve">La Phase 14 a introduit le principe :</w:t>
      </w:r>
    </w:p>
    <w:p>
      <w:pPr>
        <w:pStyle w:val="BlockText"/>
      </w:pPr>
      <w:r>
        <w:t xml:space="preserve">Governed Command Centers before Institutional Decision Support.</w:t>
      </w:r>
    </w:p>
    <w:p>
      <w:pPr>
        <w:pStyle w:val="FirstParagraph"/>
      </w:pPr>
      <w:r>
        <w:t xml:space="preserve">Ce principe signifie qu’une aide institutionnelle à la décision ne doit jamais apparaître avant que le dispositif qui la porte soit lui-même gouverné.</w:t>
      </w:r>
    </w:p>
    <w:p>
      <w:pPr>
        <w:pStyle w:val="BodyText"/>
      </w:pPr>
      <w:r>
        <w:t xml:space="preserve">À ce stade, CS GREFFE OS dispose désormais :</w:t>
      </w:r>
    </w:p>
    <w:p>
      <w:pPr>
        <w:pStyle w:val="Compact"/>
        <w:numPr>
          <w:ilvl w:val="0"/>
          <w:numId w:val="1001"/>
        </w:numPr>
      </w:pPr>
      <w:r>
        <w:t xml:space="preserve">d’une fondation intellectuelle ;</w:t>
      </w:r>
    </w:p>
    <w:p>
      <w:pPr>
        <w:pStyle w:val="Compact"/>
        <w:numPr>
          <w:ilvl w:val="0"/>
          <w:numId w:val="1001"/>
        </w:numPr>
      </w:pPr>
      <w:r>
        <w:t xml:space="preserve">d’une mémoire vivante ;</w:t>
      </w:r>
    </w:p>
    <w:p>
      <w:pPr>
        <w:pStyle w:val="Compact"/>
        <w:numPr>
          <w:ilvl w:val="0"/>
          <w:numId w:val="1001"/>
        </w:numPr>
      </w:pPr>
      <w:r>
        <w:t xml:space="preserve">d’une architecture documentaire ;</w:t>
      </w:r>
    </w:p>
    <w:p>
      <w:pPr>
        <w:pStyle w:val="Compact"/>
        <w:numPr>
          <w:ilvl w:val="0"/>
          <w:numId w:val="1001"/>
        </w:numPr>
      </w:pPr>
      <w:r>
        <w:t xml:space="preserve">d’une gouvernance des connaissances ;</w:t>
      </w:r>
    </w:p>
    <w:p>
      <w:pPr>
        <w:pStyle w:val="Compact"/>
        <w:numPr>
          <w:ilvl w:val="0"/>
          <w:numId w:val="1001"/>
        </w:numPr>
      </w:pPr>
      <w:r>
        <w:t xml:space="preserve">d’un Justice Data Governance Office ;</w:t>
      </w:r>
    </w:p>
    <w:p>
      <w:pPr>
        <w:pStyle w:val="Compact"/>
        <w:numPr>
          <w:ilvl w:val="0"/>
          <w:numId w:val="1001"/>
        </w:numPr>
      </w:pPr>
      <w:r>
        <w:t xml:space="preserve">d’une plateforme de données gouvernées ;</w:t>
      </w:r>
    </w:p>
    <w:p>
      <w:pPr>
        <w:pStyle w:val="Compact"/>
        <w:numPr>
          <w:ilvl w:val="0"/>
          <w:numId w:val="1001"/>
        </w:numPr>
      </w:pPr>
      <w:r>
        <w:t xml:space="preserve">d’une couche sémantique Snowflake ;</w:t>
      </w:r>
    </w:p>
    <w:p>
      <w:pPr>
        <w:pStyle w:val="Compact"/>
        <w:numPr>
          <w:ilvl w:val="0"/>
          <w:numId w:val="1001"/>
        </w:numPr>
      </w:pPr>
      <w:r>
        <w:t xml:space="preserve">d’une fondation RAG ;</w:t>
      </w:r>
    </w:p>
    <w:p>
      <w:pPr>
        <w:pStyle w:val="Compact"/>
        <w:numPr>
          <w:ilvl w:val="0"/>
          <w:numId w:val="1001"/>
        </w:numPr>
      </w:pPr>
      <w:r>
        <w:t xml:space="preserve">d’une fondation multi-agent ;</w:t>
      </w:r>
    </w:p>
    <w:p>
      <w:pPr>
        <w:pStyle w:val="Compact"/>
        <w:numPr>
          <w:ilvl w:val="0"/>
          <w:numId w:val="1001"/>
        </w:numPr>
      </w:pPr>
      <w:r>
        <w:t xml:space="preserve">d’une gouvernance IA ;</w:t>
      </w:r>
    </w:p>
    <w:p>
      <w:pPr>
        <w:pStyle w:val="Compact"/>
        <w:numPr>
          <w:ilvl w:val="0"/>
          <w:numId w:val="1001"/>
        </w:numPr>
      </w:pPr>
      <w:r>
        <w:t xml:space="preserve">d’une fondation LLMOps ;</w:t>
      </w:r>
    </w:p>
    <w:p>
      <w:pPr>
        <w:pStyle w:val="Compact"/>
        <w:numPr>
          <w:ilvl w:val="0"/>
          <w:numId w:val="1001"/>
        </w:numPr>
      </w:pPr>
      <w:r>
        <w:t xml:space="preserve">de modules métier ;</w:t>
      </w:r>
    </w:p>
    <w:p>
      <w:pPr>
        <w:pStyle w:val="Compact"/>
        <w:numPr>
          <w:ilvl w:val="0"/>
          <w:numId w:val="1001"/>
        </w:numPr>
      </w:pPr>
      <w:r>
        <w:t xml:space="preserve">de fondations applicatives ;</w:t>
      </w:r>
    </w:p>
    <w:p>
      <w:pPr>
        <w:pStyle w:val="Compact"/>
        <w:numPr>
          <w:ilvl w:val="0"/>
          <w:numId w:val="1001"/>
        </w:numPr>
      </w:pPr>
      <w:r>
        <w:t xml:space="preserve">de dashboards gouvernés ;</w:t>
      </w:r>
    </w:p>
    <w:p>
      <w:pPr>
        <w:pStyle w:val="Compact"/>
        <w:numPr>
          <w:ilvl w:val="0"/>
          <w:numId w:val="1001"/>
        </w:numPr>
      </w:pPr>
      <w:r>
        <w:t xml:space="preserve">de fondations Command Center.</w:t>
      </w:r>
    </w:p>
    <w:p>
      <w:pPr>
        <w:pStyle w:val="FirstParagraph"/>
      </w:pPr>
      <w:r>
        <w:t xml:space="preserve">Il devient donc possible de préparer une couche plus sensible : l’aide institutionnelle à la décision.</w:t>
      </w:r>
    </w:p>
    <w:p>
      <w:pPr>
        <w:pStyle w:val="BodyText"/>
      </w:pPr>
      <w:r>
        <w:t xml:space="preserve">Mais cette étape exige une vigilance maximale.</w:t>
      </w:r>
    </w:p>
    <w:p>
      <w:pPr>
        <w:pStyle w:val="BodyText"/>
      </w:pPr>
      <w:r>
        <w:t xml:space="preserve">Car aider à décider n’est pas décider.</w:t>
      </w:r>
    </w:p>
    <w:p>
      <w:pPr>
        <w:pStyle w:val="BodyText"/>
      </w:pPr>
      <w:r>
        <w:t xml:space="preserve">Recommander n’est pas ordonner.</w:t>
      </w:r>
    </w:p>
    <w:p>
      <w:pPr>
        <w:pStyle w:val="BodyText"/>
      </w:pPr>
      <w:r>
        <w:t xml:space="preserve">Alerter n’est pas trancher.</w:t>
      </w:r>
    </w:p>
    <w:p>
      <w:pPr>
        <w:pStyle w:val="BodyText"/>
      </w:pPr>
      <w:r>
        <w:t xml:space="preserve">Prioriser n’est pas imposer.</w:t>
      </w:r>
    </w:p>
    <w:p>
      <w:pPr>
        <w:pStyle w:val="BodyText"/>
      </w:pPr>
      <w:r>
        <w:t xml:space="preserve">Analyser n’est pas se substituer à l’autorité humaine.</w:t>
      </w:r>
    </w:p>
    <w:p>
      <w:pPr>
        <w:pStyle w:val="BodyText"/>
      </w:pPr>
      <w:r>
        <w:t xml:space="preserve">La Phase 15 apparaît donc pour organiser cette frontière.</w:t>
      </w:r>
    </w:p>
    <w:p>
      <w:r>
        <w:pict>
          <v:rect style="width:0;height:1.5pt" o:hralign="center" o:hrstd="t" o:hr="t"/>
        </w:pict>
      </w:r>
    </w:p>
    <w:bookmarkEnd w:id="23"/>
    <w:bookmarkEnd w:id="24"/>
    <w:bookmarkStart w:id="26" w:name="chapitre-201"/>
    <w:p>
      <w:pPr>
        <w:pStyle w:val="Heading1"/>
      </w:pPr>
      <w:r>
        <w:t xml:space="preserve">Chapitre 201</w:t>
      </w:r>
    </w:p>
    <w:bookmarkStart w:id="25" w:name="X1cab498eaff000e070545612575ec976bdc6da0"/>
    <w:p>
      <w:pPr>
        <w:pStyle w:val="Heading2"/>
      </w:pPr>
      <w:r>
        <w:t xml:space="preserve">Pourquoi la Phase 15 intervient maintenant</w:t>
      </w:r>
    </w:p>
    <w:p>
      <w:pPr>
        <w:pStyle w:val="FirstParagraph"/>
      </w:pPr>
      <w:r>
        <w:t xml:space="preserve">La Phase 15 ne pouvait pas intervenir avant la Phase 14.</w:t>
      </w:r>
    </w:p>
    <w:p>
      <w:pPr>
        <w:pStyle w:val="BodyText"/>
      </w:pPr>
      <w:r>
        <w:t xml:space="preserve">Il aurait été dangereux de préparer une aide institutionnelle à la décision avant d’avoir défini les Command Centers, les dashboards, les métriques, les applications, les modules, la gouvernance IA, LLMOps, le RAG, les données gouvernées et la mémoire du projet.</w:t>
      </w:r>
    </w:p>
    <w:p>
      <w:pPr>
        <w:pStyle w:val="BodyText"/>
      </w:pPr>
      <w:r>
        <w:t xml:space="preserve">Sans ces couches préalables, une aide à la décision aurait pu devenir :</w:t>
      </w:r>
    </w:p>
    <w:p>
      <w:pPr>
        <w:pStyle w:val="Compact"/>
        <w:numPr>
          <w:ilvl w:val="0"/>
          <w:numId w:val="1002"/>
        </w:numPr>
      </w:pPr>
      <w:r>
        <w:t xml:space="preserve">une recommandation sans source ;</w:t>
      </w:r>
    </w:p>
    <w:p>
      <w:pPr>
        <w:pStyle w:val="Compact"/>
        <w:numPr>
          <w:ilvl w:val="0"/>
          <w:numId w:val="1002"/>
        </w:numPr>
      </w:pPr>
      <w:r>
        <w:t xml:space="preserve">une priorisation sans règle ;</w:t>
      </w:r>
    </w:p>
    <w:p>
      <w:pPr>
        <w:pStyle w:val="Compact"/>
        <w:numPr>
          <w:ilvl w:val="0"/>
          <w:numId w:val="1002"/>
        </w:numPr>
      </w:pPr>
      <w:r>
        <w:t xml:space="preserve">une alerte sans seuil ;</w:t>
      </w:r>
    </w:p>
    <w:p>
      <w:pPr>
        <w:pStyle w:val="Compact"/>
        <w:numPr>
          <w:ilvl w:val="0"/>
          <w:numId w:val="1002"/>
        </w:numPr>
      </w:pPr>
      <w:r>
        <w:t xml:space="preserve">une analyse sans traçabilité ;</w:t>
      </w:r>
    </w:p>
    <w:p>
      <w:pPr>
        <w:pStyle w:val="Compact"/>
        <w:numPr>
          <w:ilvl w:val="0"/>
          <w:numId w:val="1002"/>
        </w:numPr>
      </w:pPr>
      <w:r>
        <w:t xml:space="preserve">une suggestion sans limite ;</w:t>
      </w:r>
    </w:p>
    <w:p>
      <w:pPr>
        <w:pStyle w:val="Compact"/>
        <w:numPr>
          <w:ilvl w:val="0"/>
          <w:numId w:val="1002"/>
        </w:numPr>
      </w:pPr>
      <w:r>
        <w:t xml:space="preserve">une décision déguisée ;</w:t>
      </w:r>
    </w:p>
    <w:p>
      <w:pPr>
        <w:pStyle w:val="Compact"/>
        <w:numPr>
          <w:ilvl w:val="0"/>
          <w:numId w:val="1002"/>
        </w:numPr>
      </w:pPr>
      <w:r>
        <w:t xml:space="preserve">une automatisation institutionnelle prématurée.</w:t>
      </w:r>
    </w:p>
    <w:p>
      <w:pPr>
        <w:pStyle w:val="FirstParagraph"/>
      </w:pPr>
      <w:r>
        <w:t xml:space="preserve">La Phase 15 intervient donc seulement lorsque la chaîne précédente a été suffisamment construite.</w:t>
      </w:r>
    </w:p>
    <w:p>
      <w:pPr>
        <w:pStyle w:val="BodyText"/>
      </w:pPr>
      <w:r>
        <w:t xml:space="preserve">Elle arrive après le Command Center, car le Command Center prépare la visibilité, la coordination et l’escalade.</w:t>
      </w:r>
    </w:p>
    <w:p>
      <w:pPr>
        <w:pStyle w:val="BodyText"/>
      </w:pPr>
      <w:r>
        <w:t xml:space="preserve">Elle arrive avant toute automatisation institutionnelle, car l’aide à la décision doit rester gouvernée, limitée, explicable et humaine.</w:t>
      </w:r>
    </w:p>
    <w:p>
      <w:r>
        <w:pict>
          <v:rect style="width:0;height:1.5pt" o:hralign="center" o:hrstd="t" o:hr="t"/>
        </w:pict>
      </w:r>
    </w:p>
    <w:bookmarkEnd w:id="25"/>
    <w:bookmarkEnd w:id="26"/>
    <w:bookmarkStart w:id="28" w:name="chapitre-202"/>
    <w:p>
      <w:pPr>
        <w:pStyle w:val="Heading1"/>
      </w:pPr>
      <w:r>
        <w:t xml:space="preserve">Chapitre 202</w:t>
      </w:r>
    </w:p>
    <w:bookmarkStart w:id="27" w:name="Xc4db8b49652bc78ef28c0fe0b2f2bbf54084e09"/>
    <w:p>
      <w:pPr>
        <w:pStyle w:val="Heading2"/>
      </w:pPr>
      <w:r>
        <w:t xml:space="preserve">Le problème spécifique résolu par la Phase 15</w:t>
      </w:r>
    </w:p>
    <w:p>
      <w:pPr>
        <w:pStyle w:val="FirstParagraph"/>
      </w:pPr>
      <w:r>
        <w:t xml:space="preserve">Le problème central de la Phase 15 est celui de la confusion entre aide et décision.</w:t>
      </w:r>
    </w:p>
    <w:p>
      <w:pPr>
        <w:pStyle w:val="BodyText"/>
      </w:pPr>
      <w:r>
        <w:t xml:space="preserve">Dans un environnement institutionnel, administratif ou judiciaire, cette confusion peut être dangereuse.</w:t>
      </w:r>
    </w:p>
    <w:p>
      <w:pPr>
        <w:pStyle w:val="BodyText"/>
      </w:pPr>
      <w:r>
        <w:t xml:space="preserve">Une analyse peut être perçue comme une instruction.</w:t>
      </w:r>
    </w:p>
    <w:p>
      <w:pPr>
        <w:pStyle w:val="BodyText"/>
      </w:pPr>
      <w:r>
        <w:t xml:space="preserve">Une recommandation peut être traitée comme une décision.</w:t>
      </w:r>
    </w:p>
    <w:p>
      <w:pPr>
        <w:pStyle w:val="BodyText"/>
      </w:pPr>
      <w:r>
        <w:t xml:space="preserve">Une alerte peut déclencher une action disproportionnée.</w:t>
      </w:r>
    </w:p>
    <w:p>
      <w:pPr>
        <w:pStyle w:val="BodyText"/>
      </w:pPr>
      <w:r>
        <w:t xml:space="preserve">Un score peut produire une impression d’objectivité excessive.</w:t>
      </w:r>
    </w:p>
    <w:p>
      <w:pPr>
        <w:pStyle w:val="BodyText"/>
      </w:pPr>
      <w:r>
        <w:t xml:space="preserve">Une priorité calculée peut masquer des critères humains, juridiques, contextuels ou éthiques.</w:t>
      </w:r>
    </w:p>
    <w:p>
      <w:pPr>
        <w:pStyle w:val="BodyText"/>
      </w:pPr>
      <w:r>
        <w:t xml:space="preserve">Une IA peut donner une apparence de certitude à une information incertaine.</w:t>
      </w:r>
    </w:p>
    <w:p>
      <w:pPr>
        <w:pStyle w:val="BodyText"/>
      </w:pPr>
      <w:r>
        <w:t xml:space="preserve">La Phase 15 résout ce problème en définissant une séparation stricte entre :</w:t>
      </w:r>
    </w:p>
    <w:p>
      <w:pPr>
        <w:pStyle w:val="SourceCode"/>
      </w:pPr>
      <w:r>
        <w:rPr>
          <w:rStyle w:val="VerbatimChar"/>
        </w:rPr>
        <w:t xml:space="preserve">information</w:t>
      </w:r>
      <w:r>
        <w:br/>
      </w:r>
      <w:r>
        <w:rPr>
          <w:rStyle w:val="VerbatimChar"/>
        </w:rPr>
        <w:t xml:space="preserve">alerte</w:t>
      </w:r>
      <w:r>
        <w:br/>
      </w:r>
      <w:r>
        <w:rPr>
          <w:rStyle w:val="VerbatimChar"/>
        </w:rPr>
        <w:t xml:space="preserve">analyse</w:t>
      </w:r>
      <w:r>
        <w:br/>
      </w:r>
      <w:r>
        <w:rPr>
          <w:rStyle w:val="VerbatimChar"/>
        </w:rPr>
        <w:t xml:space="preserve">recommandation</w:t>
      </w:r>
      <w:r>
        <w:br/>
      </w:r>
      <w:r>
        <w:rPr>
          <w:rStyle w:val="VerbatimChar"/>
        </w:rPr>
        <w:t xml:space="preserve">scénario</w:t>
      </w:r>
      <w:r>
        <w:br/>
      </w:r>
      <w:r>
        <w:rPr>
          <w:rStyle w:val="VerbatimChar"/>
        </w:rPr>
        <w:t xml:space="preserve">priorisation</w:t>
      </w:r>
      <w:r>
        <w:br/>
      </w:r>
      <w:r>
        <w:rPr>
          <w:rStyle w:val="VerbatimChar"/>
        </w:rPr>
        <w:t xml:space="preserve">aide à la décision</w:t>
      </w:r>
      <w:r>
        <w:br/>
      </w:r>
      <w:r>
        <w:rPr>
          <w:rStyle w:val="VerbatimChar"/>
        </w:rPr>
        <w:t xml:space="preserve">décision humaine</w:t>
      </w:r>
      <w:r>
        <w:br/>
      </w:r>
      <w:r>
        <w:rPr>
          <w:rStyle w:val="VerbatimChar"/>
        </w:rPr>
        <w:t xml:space="preserve">action institutionnelle</w:t>
      </w:r>
    </w:p>
    <w:p>
      <w:pPr>
        <w:pStyle w:val="FirstParagraph"/>
      </w:pPr>
      <w:r>
        <w:t xml:space="preserve">Elle affirme que CS GREFFE OS peut soutenir la décision, mais ne doit jamais la confisquer.</w:t>
      </w:r>
    </w:p>
    <w:p>
      <w:r>
        <w:pict>
          <v:rect style="width:0;height:1.5pt" o:hralign="center" o:hrstd="t" o:hr="t"/>
        </w:pict>
      </w:r>
    </w:p>
    <w:bookmarkEnd w:id="27"/>
    <w:bookmarkEnd w:id="28"/>
    <w:bookmarkStart w:id="30" w:name="chapitre-203"/>
    <w:p>
      <w:pPr>
        <w:pStyle w:val="Heading1"/>
      </w:pPr>
      <w:r>
        <w:t xml:space="preserve">Chapitre 203</w:t>
      </w:r>
    </w:p>
    <w:bookmarkStart w:id="29" w:name="le-principe-directeur-de-la-phase-15"/>
    <w:p>
      <w:pPr>
        <w:pStyle w:val="Heading2"/>
      </w:pPr>
      <w:r>
        <w:t xml:space="preserve">Le principe directeur de la Phase 15</w:t>
      </w:r>
    </w:p>
    <w:p>
      <w:pPr>
        <w:pStyle w:val="FirstParagraph"/>
      </w:pPr>
      <w:r>
        <w:t xml:space="preserve">La Phase 15 introduit un nouveau principe de Living Governance Engineering :</w:t>
      </w:r>
    </w:p>
    <w:p>
      <w:pPr>
        <w:pStyle w:val="BlockText"/>
      </w:pPr>
      <w:r>
        <w:t xml:space="preserve">Decision Support before Decision Automation.</w:t>
      </w:r>
    </w:p>
    <w:p>
      <w:pPr>
        <w:pStyle w:val="FirstParagraph"/>
      </w:pPr>
      <w:r>
        <w:t xml:space="preserve">Autrement dit :</w:t>
      </w:r>
    </w:p>
    <w:p>
      <w:pPr>
        <w:pStyle w:val="BlockText"/>
      </w:pPr>
      <w:r>
        <w:t xml:space="preserve">L’aide à la décision doit précéder toute automatisation de la décision.</w:t>
      </w:r>
    </w:p>
    <w:p>
      <w:pPr>
        <w:pStyle w:val="FirstParagraph"/>
      </w:pPr>
      <w:r>
        <w:t xml:space="preserve">Ce principe doit être compris avec prudence.</w:t>
      </w:r>
    </w:p>
    <w:p>
      <w:pPr>
        <w:pStyle w:val="BodyText"/>
      </w:pPr>
      <w:r>
        <w:t xml:space="preserve">Il ne signifie pas que la décision doit être automatisée plus tard.</w:t>
      </w:r>
    </w:p>
    <w:p>
      <w:pPr>
        <w:pStyle w:val="BodyText"/>
      </w:pPr>
      <w:r>
        <w:t xml:space="preserve">Il signifie qu’avant même d’envisager une automatisation, il faut savoir comment encadrer l’aide à la décision, ses limites, ses risques, ses responsabilités et ses usages.</w:t>
      </w:r>
    </w:p>
    <w:p>
      <w:pPr>
        <w:pStyle w:val="BodyText"/>
      </w:pPr>
      <w:r>
        <w:t xml:space="preserve">Dans le contexte de CS GREFFE OS, ce principe implique une règle forte :</w:t>
      </w:r>
    </w:p>
    <w:p>
      <w:pPr>
        <w:pStyle w:val="BlockText"/>
      </w:pPr>
      <w:r>
        <w:t xml:space="preserve">La décision institutionnelle, administrative ou juridictionnelle reste humaine.</w:t>
      </w:r>
    </w:p>
    <w:p>
      <w:pPr>
        <w:pStyle w:val="FirstParagraph"/>
      </w:pPr>
      <w:r>
        <w:t xml:space="preserve">Le système peut soutenir.</w:t>
      </w:r>
    </w:p>
    <w:p>
      <w:pPr>
        <w:pStyle w:val="BodyText"/>
      </w:pPr>
      <w:r>
        <w:t xml:space="preserve">Il peut éclairer.</w:t>
      </w:r>
    </w:p>
    <w:p>
      <w:pPr>
        <w:pStyle w:val="BodyText"/>
      </w:pPr>
      <w:r>
        <w:t xml:space="preserve">Il peut synthétiser.</w:t>
      </w:r>
    </w:p>
    <w:p>
      <w:pPr>
        <w:pStyle w:val="BodyText"/>
      </w:pPr>
      <w:r>
        <w:t xml:space="preserve">Il peut comparer.</w:t>
      </w:r>
    </w:p>
    <w:p>
      <w:pPr>
        <w:pStyle w:val="BodyText"/>
      </w:pPr>
      <w:r>
        <w:t xml:space="preserve">Il peut alerter.</w:t>
      </w:r>
    </w:p>
    <w:p>
      <w:pPr>
        <w:pStyle w:val="BodyText"/>
      </w:pPr>
      <w:r>
        <w:t xml:space="preserve">Il peut proposer des scénarios.</w:t>
      </w:r>
    </w:p>
    <w:p>
      <w:pPr>
        <w:pStyle w:val="BodyText"/>
      </w:pPr>
      <w:r>
        <w:t xml:space="preserve">Il peut documenter les options.</w:t>
      </w:r>
    </w:p>
    <w:p>
      <w:pPr>
        <w:pStyle w:val="BodyText"/>
      </w:pPr>
      <w:r>
        <w:t xml:space="preserve">Mais il ne doit pas décider à la place de l’autorité compétente.</w:t>
      </w:r>
    </w:p>
    <w:p>
      <w:r>
        <w:pict>
          <v:rect style="width:0;height:1.5pt" o:hralign="center" o:hrstd="t" o:hr="t"/>
        </w:pict>
      </w:r>
    </w:p>
    <w:bookmarkEnd w:id="29"/>
    <w:bookmarkEnd w:id="30"/>
    <w:bookmarkStart w:id="32" w:name="chapitre-204"/>
    <w:p>
      <w:pPr>
        <w:pStyle w:val="Heading1"/>
      </w:pPr>
      <w:r>
        <w:t xml:space="preserve">Chapitre 204</w:t>
      </w:r>
    </w:p>
    <w:bookmarkStart w:id="31" w:name="les-objectifs-de-la-phase-15"/>
    <w:p>
      <w:pPr>
        <w:pStyle w:val="Heading2"/>
      </w:pPr>
      <w:r>
        <w:t xml:space="preserve">Les objectifs de la Phase 15</w:t>
      </w:r>
    </w:p>
    <w:p>
      <w:pPr>
        <w:pStyle w:val="FirstParagraph"/>
      </w:pPr>
      <w:r>
        <w:t xml:space="preserve">La Phase 15 vise à construire la couche documentaire et conceptuelle de l’aide institutionnelle à la décision.</w:t>
      </w:r>
    </w:p>
    <w:p>
      <w:pPr>
        <w:pStyle w:val="BodyText"/>
      </w:pPr>
      <w:r>
        <w:t xml:space="preserve">Elle doit préparer :</w:t>
      </w:r>
    </w:p>
    <w:p>
      <w:pPr>
        <w:pStyle w:val="Compact"/>
        <w:numPr>
          <w:ilvl w:val="0"/>
          <w:numId w:val="1003"/>
        </w:numPr>
      </w:pPr>
      <w:r>
        <w:t xml:space="preserve">le cadre général de Decision Support ;</w:t>
      </w:r>
    </w:p>
    <w:p>
      <w:pPr>
        <w:pStyle w:val="Compact"/>
        <w:numPr>
          <w:ilvl w:val="0"/>
          <w:numId w:val="1003"/>
        </w:numPr>
      </w:pPr>
      <w:r>
        <w:t xml:space="preserve">les catégories d’aide à la décision ;</w:t>
      </w:r>
    </w:p>
    <w:p>
      <w:pPr>
        <w:pStyle w:val="Compact"/>
        <w:numPr>
          <w:ilvl w:val="0"/>
          <w:numId w:val="1003"/>
        </w:numPr>
      </w:pPr>
      <w:r>
        <w:t xml:space="preserve">les limites entre alerte, recommandation et décision ;</w:t>
      </w:r>
    </w:p>
    <w:p>
      <w:pPr>
        <w:pStyle w:val="Compact"/>
        <w:numPr>
          <w:ilvl w:val="0"/>
          <w:numId w:val="1003"/>
        </w:numPr>
      </w:pPr>
      <w:r>
        <w:t xml:space="preserve">les règles de responsabilité humaine ;</w:t>
      </w:r>
    </w:p>
    <w:p>
      <w:pPr>
        <w:pStyle w:val="Compact"/>
        <w:numPr>
          <w:ilvl w:val="0"/>
          <w:numId w:val="1003"/>
        </w:numPr>
      </w:pPr>
      <w:r>
        <w:t xml:space="preserve">les scénarios institutionnels ;</w:t>
      </w:r>
    </w:p>
    <w:p>
      <w:pPr>
        <w:pStyle w:val="Compact"/>
        <w:numPr>
          <w:ilvl w:val="0"/>
          <w:numId w:val="1003"/>
        </w:numPr>
      </w:pPr>
      <w:r>
        <w:t xml:space="preserve">les mécanismes de priorisation ;</w:t>
      </w:r>
    </w:p>
    <w:p>
      <w:pPr>
        <w:pStyle w:val="Compact"/>
        <w:numPr>
          <w:ilvl w:val="0"/>
          <w:numId w:val="1003"/>
        </w:numPr>
      </w:pPr>
      <w:r>
        <w:t xml:space="preserve">les règles de scoring gouverné ;</w:t>
      </w:r>
    </w:p>
    <w:p>
      <w:pPr>
        <w:pStyle w:val="Compact"/>
        <w:numPr>
          <w:ilvl w:val="0"/>
          <w:numId w:val="1003"/>
        </w:numPr>
      </w:pPr>
      <w:r>
        <w:t xml:space="preserve">les analyses de risques ;</w:t>
      </w:r>
    </w:p>
    <w:p>
      <w:pPr>
        <w:pStyle w:val="Compact"/>
        <w:numPr>
          <w:ilvl w:val="0"/>
          <w:numId w:val="1003"/>
        </w:numPr>
      </w:pPr>
      <w:r>
        <w:t xml:space="preserve">les notes d’aide à la décision ;</w:t>
      </w:r>
    </w:p>
    <w:p>
      <w:pPr>
        <w:pStyle w:val="Compact"/>
        <w:numPr>
          <w:ilvl w:val="0"/>
          <w:numId w:val="1003"/>
        </w:numPr>
      </w:pPr>
      <w:r>
        <w:t xml:space="preserve">les journaux de décision humaine ;</w:t>
      </w:r>
    </w:p>
    <w:p>
      <w:pPr>
        <w:pStyle w:val="Compact"/>
        <w:numPr>
          <w:ilvl w:val="0"/>
          <w:numId w:val="1003"/>
        </w:numPr>
      </w:pPr>
      <w:r>
        <w:t xml:space="preserve">les règles d’explicabilité ;</w:t>
      </w:r>
    </w:p>
    <w:p>
      <w:pPr>
        <w:pStyle w:val="Compact"/>
        <w:numPr>
          <w:ilvl w:val="0"/>
          <w:numId w:val="1003"/>
        </w:numPr>
      </w:pPr>
      <w:r>
        <w:t xml:space="preserve">les règles d’auditabilité ;</w:t>
      </w:r>
    </w:p>
    <w:p>
      <w:pPr>
        <w:pStyle w:val="Compact"/>
        <w:numPr>
          <w:ilvl w:val="0"/>
          <w:numId w:val="1003"/>
        </w:numPr>
      </w:pPr>
      <w:r>
        <w:t xml:space="preserve">les règles de contestabilité ;</w:t>
      </w:r>
    </w:p>
    <w:p>
      <w:pPr>
        <w:pStyle w:val="Compact"/>
        <w:numPr>
          <w:ilvl w:val="0"/>
          <w:numId w:val="1003"/>
        </w:numPr>
      </w:pPr>
      <w:r>
        <w:t xml:space="preserve">les limites d’usage ;</w:t>
      </w:r>
    </w:p>
    <w:p>
      <w:pPr>
        <w:pStyle w:val="Compact"/>
        <w:numPr>
          <w:ilvl w:val="0"/>
          <w:numId w:val="1003"/>
        </w:numPr>
      </w:pPr>
      <w:r>
        <w:t xml:space="preserve">les exclusions ;</w:t>
      </w:r>
    </w:p>
    <w:p>
      <w:pPr>
        <w:pStyle w:val="Compact"/>
        <w:numPr>
          <w:ilvl w:val="0"/>
          <w:numId w:val="1003"/>
        </w:numPr>
      </w:pPr>
      <w:r>
        <w:t xml:space="preserve">les mécanismes de supervision ;</w:t>
      </w:r>
    </w:p>
    <w:p>
      <w:pPr>
        <w:pStyle w:val="Compact"/>
        <w:numPr>
          <w:ilvl w:val="0"/>
          <w:numId w:val="1003"/>
        </w:numPr>
      </w:pPr>
      <w:r>
        <w:t xml:space="preserve">la continuité Cloud → GitHub → Mac local ;</w:t>
      </w:r>
    </w:p>
    <w:p>
      <w:pPr>
        <w:pStyle w:val="Compact"/>
        <w:numPr>
          <w:ilvl w:val="0"/>
          <w:numId w:val="1003"/>
        </w:numPr>
      </w:pPr>
      <w:r>
        <w:t xml:space="preserve">la préparation de la phase suivante.</w:t>
      </w:r>
    </w:p>
    <w:p>
      <w:pPr>
        <w:pStyle w:val="FirstParagraph"/>
      </w:pPr>
      <w:r>
        <w:t xml:space="preserve">La Phase 15 ne développe pas encore un moteur de décision.</w:t>
      </w:r>
    </w:p>
    <w:p>
      <w:pPr>
        <w:pStyle w:val="BodyText"/>
      </w:pPr>
      <w:r>
        <w:t xml:space="preserve">Elle ne déploie pas d’automatisation.</w:t>
      </w:r>
    </w:p>
    <w:p>
      <w:pPr>
        <w:pStyle w:val="BodyText"/>
      </w:pPr>
      <w:r>
        <w:t xml:space="preserve">Elle ne crée pas de décision institutionnelle automatique.</w:t>
      </w:r>
    </w:p>
    <w:p>
      <w:pPr>
        <w:pStyle w:val="BodyText"/>
      </w:pPr>
      <w:r>
        <w:t xml:space="preserve">Elle prépare seulement les cadres qui permettront à CS GREFFE OS de soutenir les décideurs sans se substituer à eux.</w:t>
      </w:r>
    </w:p>
    <w:p>
      <w:r>
        <w:pict>
          <v:rect style="width:0;height:1.5pt" o:hralign="center" o:hrstd="t" o:hr="t"/>
        </w:pict>
      </w:r>
    </w:p>
    <w:bookmarkEnd w:id="31"/>
    <w:bookmarkEnd w:id="32"/>
    <w:bookmarkStart w:id="34" w:name="chapitre-205"/>
    <w:p>
      <w:pPr>
        <w:pStyle w:val="Heading1"/>
      </w:pPr>
      <w:r>
        <w:t xml:space="preserve">Chapitre 205</w:t>
      </w:r>
    </w:p>
    <w:bookmarkStart w:id="33" w:name="de-lalerte-à-la-décision-humaine"/>
    <w:p>
      <w:pPr>
        <w:pStyle w:val="Heading2"/>
      </w:pPr>
      <w:r>
        <w:t xml:space="preserve">De l’alerte à la décision humaine</w:t>
      </w:r>
    </w:p>
    <w:p>
      <w:pPr>
        <w:pStyle w:val="FirstParagraph"/>
      </w:pPr>
      <w:r>
        <w:t xml:space="preserve">La Phase 14 avait préparé les alertes et les escalades.</w:t>
      </w:r>
    </w:p>
    <w:p>
      <w:pPr>
        <w:pStyle w:val="BodyText"/>
      </w:pPr>
      <w:r>
        <w:t xml:space="preserve">La Phase 15 doit maintenant définir comment une alerte peut devenir un élément d’aide à la décision.</w:t>
      </w:r>
    </w:p>
    <w:p>
      <w:pPr>
        <w:pStyle w:val="BodyText"/>
      </w:pPr>
      <w:r>
        <w:t xml:space="preserve">La chaîne doit être strictement gouvernée :</w:t>
      </w:r>
    </w:p>
    <w:p>
      <w:pPr>
        <w:pStyle w:val="SourceCode"/>
      </w:pPr>
      <w:r>
        <w:rPr>
          <w:rStyle w:val="VerbatimChar"/>
        </w:rPr>
        <w:t xml:space="preserve">Signal</w:t>
      </w:r>
      <w:r>
        <w:br/>
      </w:r>
      <w:r>
        <w:rPr>
          <w:rStyle w:val="VerbatimChar"/>
        </w:rPr>
        <w:t xml:space="preserve">↓</w:t>
      </w:r>
      <w:r>
        <w:br/>
      </w:r>
      <w:r>
        <w:rPr>
          <w:rStyle w:val="VerbatimChar"/>
        </w:rPr>
        <w:t xml:space="preserve">Alerte</w:t>
      </w:r>
      <w:r>
        <w:br/>
      </w:r>
      <w:r>
        <w:rPr>
          <w:rStyle w:val="VerbatimChar"/>
        </w:rPr>
        <w:t xml:space="preserve">↓</w:t>
      </w:r>
      <w:r>
        <w:br/>
      </w:r>
      <w:r>
        <w:rPr>
          <w:rStyle w:val="VerbatimChar"/>
        </w:rPr>
        <w:t xml:space="preserve">Qualification</w:t>
      </w:r>
      <w:r>
        <w:br/>
      </w:r>
      <w:r>
        <w:rPr>
          <w:rStyle w:val="VerbatimChar"/>
        </w:rPr>
        <w:t xml:space="preserve">↓</w:t>
      </w:r>
      <w:r>
        <w:br/>
      </w:r>
      <w:r>
        <w:rPr>
          <w:rStyle w:val="VerbatimChar"/>
        </w:rPr>
        <w:t xml:space="preserve">Analyse</w:t>
      </w:r>
      <w:r>
        <w:br/>
      </w:r>
      <w:r>
        <w:rPr>
          <w:rStyle w:val="VerbatimChar"/>
        </w:rPr>
        <w:t xml:space="preserve">↓</w:t>
      </w:r>
      <w:r>
        <w:br/>
      </w:r>
      <w:r>
        <w:rPr>
          <w:rStyle w:val="VerbatimChar"/>
        </w:rPr>
        <w:t xml:space="preserve">Options</w:t>
      </w:r>
      <w:r>
        <w:br/>
      </w:r>
      <w:r>
        <w:rPr>
          <w:rStyle w:val="VerbatimChar"/>
        </w:rPr>
        <w:t xml:space="preserve">↓</w:t>
      </w:r>
      <w:r>
        <w:br/>
      </w:r>
      <w:r>
        <w:rPr>
          <w:rStyle w:val="VerbatimChar"/>
        </w:rPr>
        <w:t xml:space="preserve">Recommandation éventuelle</w:t>
      </w:r>
      <w:r>
        <w:br/>
      </w:r>
      <w:r>
        <w:rPr>
          <w:rStyle w:val="VerbatimChar"/>
        </w:rPr>
        <w:t xml:space="preserve">↓</w:t>
      </w:r>
      <w:r>
        <w:br/>
      </w:r>
      <w:r>
        <w:rPr>
          <w:rStyle w:val="VerbatimChar"/>
        </w:rPr>
        <w:t xml:space="preserve">Validation humaine</w:t>
      </w:r>
      <w:r>
        <w:br/>
      </w:r>
      <w:r>
        <w:rPr>
          <w:rStyle w:val="VerbatimChar"/>
        </w:rPr>
        <w:t xml:space="preserve">↓</w:t>
      </w:r>
      <w:r>
        <w:br/>
      </w:r>
      <w:r>
        <w:rPr>
          <w:rStyle w:val="VerbatimChar"/>
        </w:rPr>
        <w:t xml:space="preserve">Décision humaine</w:t>
      </w:r>
      <w:r>
        <w:br/>
      </w:r>
      <w:r>
        <w:rPr>
          <w:rStyle w:val="VerbatimChar"/>
        </w:rPr>
        <w:t xml:space="preserve">↓</w:t>
      </w:r>
      <w:r>
        <w:br/>
      </w:r>
      <w:r>
        <w:rPr>
          <w:rStyle w:val="VerbatimChar"/>
        </w:rPr>
        <w:t xml:space="preserve">Action institutionnelle</w:t>
      </w:r>
      <w:r>
        <w:br/>
      </w:r>
      <w:r>
        <w:rPr>
          <w:rStyle w:val="VerbatimChar"/>
        </w:rPr>
        <w:t xml:space="preserve">↓</w:t>
      </w:r>
      <w:r>
        <w:br/>
      </w:r>
      <w:r>
        <w:rPr>
          <w:rStyle w:val="VerbatimChar"/>
        </w:rPr>
        <w:t xml:space="preserve">Trace</w:t>
      </w:r>
      <w:r>
        <w:br/>
      </w:r>
      <w:r>
        <w:rPr>
          <w:rStyle w:val="VerbatimChar"/>
        </w:rPr>
        <w:t xml:space="preserve">↓</w:t>
      </w:r>
      <w:r>
        <w:br/>
      </w:r>
      <w:r>
        <w:rPr>
          <w:rStyle w:val="VerbatimChar"/>
        </w:rPr>
        <w:t xml:space="preserve">Retour d’expérience</w:t>
      </w:r>
    </w:p>
    <w:p>
      <w:pPr>
        <w:pStyle w:val="FirstParagraph"/>
      </w:pPr>
      <w:r>
        <w:t xml:space="preserve">Cette chaîne est essentielle.</w:t>
      </w:r>
    </w:p>
    <w:p>
      <w:pPr>
        <w:pStyle w:val="BodyText"/>
      </w:pPr>
      <w:r>
        <w:t xml:space="preserve">Elle empêche l’alerte de devenir automatiquement une action.</w:t>
      </w:r>
    </w:p>
    <w:p>
      <w:pPr>
        <w:pStyle w:val="BodyText"/>
      </w:pPr>
      <w:r>
        <w:t xml:space="preserve">Elle empêche le score de devenir une décision.</w:t>
      </w:r>
    </w:p>
    <w:p>
      <w:pPr>
        <w:pStyle w:val="BodyText"/>
      </w:pPr>
      <w:r>
        <w:t xml:space="preserve">Elle empêche l’analyse de remplacer l’autorité.</w:t>
      </w:r>
    </w:p>
    <w:p>
      <w:pPr>
        <w:pStyle w:val="BodyText"/>
      </w:pPr>
      <w:r>
        <w:t xml:space="preserve">Chaque étape doit être documentée, tracée et rattachée à une responsabilité humaine.</w:t>
      </w:r>
    </w:p>
    <w:p>
      <w:r>
        <w:pict>
          <v:rect style="width:0;height:1.5pt" o:hralign="center" o:hrstd="t" o:hr="t"/>
        </w:pict>
      </w:r>
    </w:p>
    <w:bookmarkEnd w:id="33"/>
    <w:bookmarkEnd w:id="34"/>
    <w:bookmarkStart w:id="36" w:name="chapitre-206"/>
    <w:p>
      <w:pPr>
        <w:pStyle w:val="Heading1"/>
      </w:pPr>
      <w:r>
        <w:t xml:space="preserve">Chapitre 206</w:t>
      </w:r>
    </w:p>
    <w:bookmarkStart w:id="35" w:name="les-catégories-daide-à-la-décision"/>
    <w:p>
      <w:pPr>
        <w:pStyle w:val="Heading2"/>
      </w:pPr>
      <w:r>
        <w:t xml:space="preserve">Les catégories d’aide à la décision</w:t>
      </w:r>
    </w:p>
    <w:p>
      <w:pPr>
        <w:pStyle w:val="FirstParagraph"/>
      </w:pPr>
      <w:r>
        <w:t xml:space="preserve">La Phase 15 doit distinguer plusieurs catégories d’aide à la décision.</w:t>
      </w:r>
    </w:p>
    <w:p>
      <w:pPr>
        <w:pStyle w:val="BodyText"/>
      </w:pPr>
      <w:r>
        <w:t xml:space="preserve">La première catégorie est l’aide informationnelle.</w:t>
      </w:r>
    </w:p>
    <w:p>
      <w:pPr>
        <w:pStyle w:val="BodyText"/>
      </w:pPr>
      <w:r>
        <w:t xml:space="preserve">Elle consiste à fournir des faits, des sources, des synthèses, des indicateurs ou des historiques.</w:t>
      </w:r>
    </w:p>
    <w:p>
      <w:pPr>
        <w:pStyle w:val="BodyText"/>
      </w:pPr>
      <w:r>
        <w:t xml:space="preserve">La deuxième catégorie est l’aide analytique.</w:t>
      </w:r>
    </w:p>
    <w:p>
      <w:pPr>
        <w:pStyle w:val="BodyText"/>
      </w:pPr>
      <w:r>
        <w:t xml:space="preserve">Elle consiste à comparer, expliquer, détecter des tendances, identifier des risques ou produire des analyses structurées.</w:t>
      </w:r>
    </w:p>
    <w:p>
      <w:pPr>
        <w:pStyle w:val="BodyText"/>
      </w:pPr>
      <w:r>
        <w:t xml:space="preserve">La troisième catégorie est l’aide à la priorisation.</w:t>
      </w:r>
    </w:p>
    <w:p>
      <w:pPr>
        <w:pStyle w:val="BodyText"/>
      </w:pPr>
      <w:r>
        <w:t xml:space="preserve">Elle consiste à classer des éléments selon des critères explicitement définis et gouvernés.</w:t>
      </w:r>
    </w:p>
    <w:p>
      <w:pPr>
        <w:pStyle w:val="BodyText"/>
      </w:pPr>
      <w:r>
        <w:t xml:space="preserve">La quatrième catégorie est l’aide scénarielle.</w:t>
      </w:r>
    </w:p>
    <w:p>
      <w:pPr>
        <w:pStyle w:val="BodyText"/>
      </w:pPr>
      <w:r>
        <w:t xml:space="preserve">Elle consiste à présenter plusieurs options possibles, avec leurs avantages, limites, risques et conditions.</w:t>
      </w:r>
    </w:p>
    <w:p>
      <w:pPr>
        <w:pStyle w:val="BodyText"/>
      </w:pPr>
      <w:r>
        <w:t xml:space="preserve">La cinquième catégorie est l’aide à la vigilance.</w:t>
      </w:r>
    </w:p>
    <w:p>
      <w:pPr>
        <w:pStyle w:val="BodyText"/>
      </w:pPr>
      <w:r>
        <w:t xml:space="preserve">Elle consiste à signaler des anomalies, incohérences, seuils critiques ou dérives.</w:t>
      </w:r>
    </w:p>
    <w:p>
      <w:pPr>
        <w:pStyle w:val="BodyText"/>
      </w:pPr>
      <w:r>
        <w:t xml:space="preserve">La sixième catégorie est l’aide documentaire.</w:t>
      </w:r>
    </w:p>
    <w:p>
      <w:pPr>
        <w:pStyle w:val="BodyText"/>
      </w:pPr>
      <w:r>
        <w:t xml:space="preserve">Elle consiste à préparer une note, un résumé, un brouillon ou un support d’arbitrage.</w:t>
      </w:r>
    </w:p>
    <w:p>
      <w:pPr>
        <w:pStyle w:val="BodyText"/>
      </w:pPr>
      <w:r>
        <w:t xml:space="preserve">Aucune de ces catégories ne doit être confondue avec la décision elle-même.</w:t>
      </w:r>
    </w:p>
    <w:p>
      <w:r>
        <w:pict>
          <v:rect style="width:0;height:1.5pt" o:hralign="center" o:hrstd="t" o:hr="t"/>
        </w:pict>
      </w:r>
    </w:p>
    <w:bookmarkEnd w:id="35"/>
    <w:bookmarkEnd w:id="36"/>
    <w:bookmarkStart w:id="41" w:name="chapitre-207"/>
    <w:p>
      <w:pPr>
        <w:pStyle w:val="Heading1"/>
      </w:pPr>
      <w:r>
        <w:t xml:space="preserve">Chapitre 207</w:t>
      </w:r>
    </w:p>
    <w:bookmarkStart w:id="37" w:name="X188288848af211b2b00509ff76fa409494e1902"/>
    <w:p>
      <w:pPr>
        <w:pStyle w:val="Heading2"/>
      </w:pPr>
      <w:r>
        <w:t xml:space="preserve">Les frontières entre alerte, recommandation et décision</w:t>
      </w:r>
    </w:p>
    <w:p>
      <w:pPr>
        <w:pStyle w:val="FirstParagraph"/>
      </w:pPr>
      <w:r>
        <w:t xml:space="preserve">La Phase 15 doit établir une frontière claire entre trois notions.</w:t>
      </w:r>
    </w:p>
    <w:bookmarkEnd w:id="37"/>
    <w:bookmarkStart w:id="38" w:name="lalerte"/>
    <w:p>
      <w:pPr>
        <w:pStyle w:val="Heading2"/>
      </w:pPr>
      <w:r>
        <w:t xml:space="preserve">L’alerte</w:t>
      </w:r>
    </w:p>
    <w:p>
      <w:pPr>
        <w:pStyle w:val="FirstParagraph"/>
      </w:pPr>
      <w:r>
        <w:t xml:space="preserve">L’alerte signale un événement, un risque, un seuil ou une anomalie.</w:t>
      </w:r>
    </w:p>
    <w:p>
      <w:pPr>
        <w:pStyle w:val="BodyText"/>
      </w:pPr>
      <w:r>
        <w:t xml:space="preserve">Elle appelle une attention humaine.</w:t>
      </w:r>
    </w:p>
    <w:p>
      <w:pPr>
        <w:pStyle w:val="BodyText"/>
      </w:pPr>
      <w:r>
        <w:t xml:space="preserve">Elle ne décide pas.</w:t>
      </w:r>
    </w:p>
    <w:bookmarkEnd w:id="38"/>
    <w:bookmarkStart w:id="39" w:name="la-recommandation"/>
    <w:p>
      <w:pPr>
        <w:pStyle w:val="Heading2"/>
      </w:pPr>
      <w:r>
        <w:t xml:space="preserve">La recommandation</w:t>
      </w:r>
    </w:p>
    <w:p>
      <w:pPr>
        <w:pStyle w:val="FirstParagraph"/>
      </w:pPr>
      <w:r>
        <w:t xml:space="preserve">La recommandation propose une option ou une orientation possible.</w:t>
      </w:r>
    </w:p>
    <w:p>
      <w:pPr>
        <w:pStyle w:val="BodyText"/>
      </w:pPr>
      <w:r>
        <w:t xml:space="preserve">Elle doit être explicable, sourcée, limitée et contestable.</w:t>
      </w:r>
    </w:p>
    <w:p>
      <w:pPr>
        <w:pStyle w:val="BodyText"/>
      </w:pPr>
      <w:r>
        <w:t xml:space="preserve">Elle ne s’impose pas à l’humain.</w:t>
      </w:r>
    </w:p>
    <w:bookmarkEnd w:id="39"/>
    <w:bookmarkStart w:id="40" w:name="la-décision"/>
    <w:p>
      <w:pPr>
        <w:pStyle w:val="Heading2"/>
      </w:pPr>
      <w:r>
        <w:t xml:space="preserve">La décision</w:t>
      </w:r>
    </w:p>
    <w:p>
      <w:pPr>
        <w:pStyle w:val="FirstParagraph"/>
      </w:pPr>
      <w:r>
        <w:t xml:space="preserve">La décision appartient à l’autorité humaine compétente.</w:t>
      </w:r>
    </w:p>
    <w:p>
      <w:pPr>
        <w:pStyle w:val="BodyText"/>
      </w:pPr>
      <w:r>
        <w:t xml:space="preserve">Elle engage une responsabilité.</w:t>
      </w:r>
    </w:p>
    <w:p>
      <w:pPr>
        <w:pStyle w:val="BodyText"/>
      </w:pPr>
      <w:r>
        <w:t xml:space="preserve">Elle peut produire des effets administratifs, organisationnels, disciplinaires ou juridiques.</w:t>
      </w:r>
    </w:p>
    <w:p>
      <w:pPr>
        <w:pStyle w:val="BodyText"/>
      </w:pPr>
      <w:r>
        <w:t xml:space="preserve">Elle ne doit pas être automatisée par CS GREFFE OS.</w:t>
      </w:r>
    </w:p>
    <w:p>
      <w:pPr>
        <w:pStyle w:val="BodyText"/>
      </w:pPr>
      <w:r>
        <w:t xml:space="preserve">Cette distinction doit être permanente dans tous les documents de la Phase 15.</w:t>
      </w:r>
    </w:p>
    <w:p>
      <w:r>
        <w:pict>
          <v:rect style="width:0;height:1.5pt" o:hralign="center" o:hrstd="t" o:hr="t"/>
        </w:pict>
      </w:r>
    </w:p>
    <w:bookmarkEnd w:id="40"/>
    <w:bookmarkEnd w:id="41"/>
    <w:bookmarkStart w:id="43" w:name="chapitre-208"/>
    <w:p>
      <w:pPr>
        <w:pStyle w:val="Heading1"/>
      </w:pPr>
      <w:r>
        <w:t xml:space="preserve">Chapitre 208</w:t>
      </w:r>
    </w:p>
    <w:bookmarkStart w:id="42" w:name="la-gouvernance-des-recommandations"/>
    <w:p>
      <w:pPr>
        <w:pStyle w:val="Heading2"/>
      </w:pPr>
      <w:r>
        <w:t xml:space="preserve">La gouvernance des recommandations</w:t>
      </w:r>
    </w:p>
    <w:p>
      <w:pPr>
        <w:pStyle w:val="FirstParagraph"/>
      </w:pPr>
      <w:r>
        <w:t xml:space="preserve">Si CS GREFFE OS prépare des recommandations, celles-ci doivent être gouvernées.</w:t>
      </w:r>
    </w:p>
    <w:p>
      <w:pPr>
        <w:pStyle w:val="BodyText"/>
      </w:pPr>
      <w:r>
        <w:t xml:space="preserve">Une recommandation doit toujours préciser :</w:t>
      </w:r>
    </w:p>
    <w:p>
      <w:pPr>
        <w:pStyle w:val="Compact"/>
        <w:numPr>
          <w:ilvl w:val="0"/>
          <w:numId w:val="1004"/>
        </w:numPr>
      </w:pPr>
      <w:r>
        <w:t xml:space="preserve">son objectif ;</w:t>
      </w:r>
    </w:p>
    <w:p>
      <w:pPr>
        <w:pStyle w:val="Compact"/>
        <w:numPr>
          <w:ilvl w:val="0"/>
          <w:numId w:val="1004"/>
        </w:numPr>
      </w:pPr>
      <w:r>
        <w:t xml:space="preserve">ses sources ;</w:t>
      </w:r>
    </w:p>
    <w:p>
      <w:pPr>
        <w:pStyle w:val="Compact"/>
        <w:numPr>
          <w:ilvl w:val="0"/>
          <w:numId w:val="1004"/>
        </w:numPr>
      </w:pPr>
      <w:r>
        <w:t xml:space="preserve">ses hypothèses ;</w:t>
      </w:r>
    </w:p>
    <w:p>
      <w:pPr>
        <w:pStyle w:val="Compact"/>
        <w:numPr>
          <w:ilvl w:val="0"/>
          <w:numId w:val="1004"/>
        </w:numPr>
      </w:pPr>
      <w:r>
        <w:t xml:space="preserve">ses critères ;</w:t>
      </w:r>
    </w:p>
    <w:p>
      <w:pPr>
        <w:pStyle w:val="Compact"/>
        <w:numPr>
          <w:ilvl w:val="0"/>
          <w:numId w:val="1004"/>
        </w:numPr>
      </w:pPr>
      <w:r>
        <w:t xml:space="preserve">ses limites ;</w:t>
      </w:r>
    </w:p>
    <w:p>
      <w:pPr>
        <w:pStyle w:val="Compact"/>
        <w:numPr>
          <w:ilvl w:val="0"/>
          <w:numId w:val="1004"/>
        </w:numPr>
      </w:pPr>
      <w:r>
        <w:t xml:space="preserve">son niveau de confiance ;</w:t>
      </w:r>
    </w:p>
    <w:p>
      <w:pPr>
        <w:pStyle w:val="Compact"/>
        <w:numPr>
          <w:ilvl w:val="0"/>
          <w:numId w:val="1004"/>
        </w:numPr>
      </w:pPr>
      <w:r>
        <w:t xml:space="preserve">les alternatives possibles ;</w:t>
      </w:r>
    </w:p>
    <w:p>
      <w:pPr>
        <w:pStyle w:val="Compact"/>
        <w:numPr>
          <w:ilvl w:val="0"/>
          <w:numId w:val="1004"/>
        </w:numPr>
      </w:pPr>
      <w:r>
        <w:t xml:space="preserve">les risques associés ;</w:t>
      </w:r>
    </w:p>
    <w:p>
      <w:pPr>
        <w:pStyle w:val="Compact"/>
        <w:numPr>
          <w:ilvl w:val="0"/>
          <w:numId w:val="1004"/>
        </w:numPr>
      </w:pPr>
      <w:r>
        <w:t xml:space="preserve">la nécessité d’une validation humaine ;</w:t>
      </w:r>
    </w:p>
    <w:p>
      <w:pPr>
        <w:pStyle w:val="Compact"/>
        <w:numPr>
          <w:ilvl w:val="0"/>
          <w:numId w:val="1004"/>
        </w:numPr>
      </w:pPr>
      <w:r>
        <w:t xml:space="preserve">la trace de consultation ;</w:t>
      </w:r>
    </w:p>
    <w:p>
      <w:pPr>
        <w:pStyle w:val="Compact"/>
        <w:numPr>
          <w:ilvl w:val="0"/>
          <w:numId w:val="1004"/>
        </w:numPr>
      </w:pPr>
      <w:r>
        <w:t xml:space="preserve">le statut final donné par l’humain.</w:t>
      </w:r>
    </w:p>
    <w:p>
      <w:pPr>
        <w:pStyle w:val="FirstParagraph"/>
      </w:pPr>
      <w:r>
        <w:t xml:space="preserve">Une recommandation ne doit jamais être présentée comme une vérité absolue.</w:t>
      </w:r>
    </w:p>
    <w:p>
      <w:pPr>
        <w:pStyle w:val="BodyText"/>
      </w:pPr>
      <w:r>
        <w:t xml:space="preserve">Elle doit être présentée comme un support d’analyse.</w:t>
      </w:r>
    </w:p>
    <w:p>
      <w:pPr>
        <w:pStyle w:val="BodyText"/>
      </w:pPr>
      <w:r>
        <w:t xml:space="preserve">Elle doit pouvoir être acceptée, modifiée, rejetée ou suspendue par l’humain.</w:t>
      </w:r>
    </w:p>
    <w:p>
      <w:r>
        <w:pict>
          <v:rect style="width:0;height:1.5pt" o:hralign="center" o:hrstd="t" o:hr="t"/>
        </w:pict>
      </w:r>
    </w:p>
    <w:bookmarkEnd w:id="42"/>
    <w:bookmarkEnd w:id="43"/>
    <w:bookmarkStart w:id="45" w:name="chapitre-209"/>
    <w:p>
      <w:pPr>
        <w:pStyle w:val="Heading1"/>
      </w:pPr>
      <w:r>
        <w:t xml:space="preserve">Chapitre 209</w:t>
      </w:r>
    </w:p>
    <w:bookmarkStart w:id="44" w:name="la-gouvernance-des-scénarios"/>
    <w:p>
      <w:pPr>
        <w:pStyle w:val="Heading2"/>
      </w:pPr>
      <w:r>
        <w:t xml:space="preserve">La gouvernance des scénarios</w:t>
      </w:r>
    </w:p>
    <w:p>
      <w:pPr>
        <w:pStyle w:val="FirstParagraph"/>
      </w:pPr>
      <w:r>
        <w:t xml:space="preserve">La Phase 15 doit préparer la gouvernance des scénarios.</w:t>
      </w:r>
    </w:p>
    <w:p>
      <w:pPr>
        <w:pStyle w:val="BodyText"/>
      </w:pPr>
      <w:r>
        <w:t xml:space="preserve">Un scénario est une représentation possible d’une action, d’une évolution ou d’un arbitrage.</w:t>
      </w:r>
    </w:p>
    <w:p>
      <w:pPr>
        <w:pStyle w:val="BodyText"/>
      </w:pPr>
      <w:r>
        <w:t xml:space="preserve">Il peut aider à comparer plusieurs options.</w:t>
      </w:r>
    </w:p>
    <w:p>
      <w:pPr>
        <w:pStyle w:val="BodyText"/>
      </w:pPr>
      <w:r>
        <w:t xml:space="preserve">Mais il ne doit pas enfermer la décision humaine dans un choix automatique.</w:t>
      </w:r>
    </w:p>
    <w:p>
      <w:pPr>
        <w:pStyle w:val="BodyText"/>
      </w:pPr>
      <w:r>
        <w:t xml:space="preserve">Chaque scénario doit préciser :</w:t>
      </w:r>
    </w:p>
    <w:p>
      <w:pPr>
        <w:pStyle w:val="Compact"/>
        <w:numPr>
          <w:ilvl w:val="0"/>
          <w:numId w:val="1005"/>
        </w:numPr>
      </w:pPr>
      <w:r>
        <w:t xml:space="preserve">la situation de départ ;</w:t>
      </w:r>
    </w:p>
    <w:p>
      <w:pPr>
        <w:pStyle w:val="Compact"/>
        <w:numPr>
          <w:ilvl w:val="0"/>
          <w:numId w:val="1005"/>
        </w:numPr>
      </w:pPr>
      <w:r>
        <w:t xml:space="preserve">les données utilisées ;</w:t>
      </w:r>
    </w:p>
    <w:p>
      <w:pPr>
        <w:pStyle w:val="Compact"/>
        <w:numPr>
          <w:ilvl w:val="0"/>
          <w:numId w:val="1005"/>
        </w:numPr>
      </w:pPr>
      <w:r>
        <w:t xml:space="preserve">les hypothèses ;</w:t>
      </w:r>
    </w:p>
    <w:p>
      <w:pPr>
        <w:pStyle w:val="Compact"/>
        <w:numPr>
          <w:ilvl w:val="0"/>
          <w:numId w:val="1005"/>
        </w:numPr>
      </w:pPr>
      <w:r>
        <w:t xml:space="preserve">les options envisagées ;</w:t>
      </w:r>
    </w:p>
    <w:p>
      <w:pPr>
        <w:pStyle w:val="Compact"/>
        <w:numPr>
          <w:ilvl w:val="0"/>
          <w:numId w:val="1005"/>
        </w:numPr>
      </w:pPr>
      <w:r>
        <w:t xml:space="preserve">les conséquences possibles ;</w:t>
      </w:r>
    </w:p>
    <w:p>
      <w:pPr>
        <w:pStyle w:val="Compact"/>
        <w:numPr>
          <w:ilvl w:val="0"/>
          <w:numId w:val="1005"/>
        </w:numPr>
      </w:pPr>
      <w:r>
        <w:t xml:space="preserve">les risques ;</w:t>
      </w:r>
    </w:p>
    <w:p>
      <w:pPr>
        <w:pStyle w:val="Compact"/>
        <w:numPr>
          <w:ilvl w:val="0"/>
          <w:numId w:val="1005"/>
        </w:numPr>
      </w:pPr>
      <w:r>
        <w:t xml:space="preserve">les limites ;</w:t>
      </w:r>
    </w:p>
    <w:p>
      <w:pPr>
        <w:pStyle w:val="Compact"/>
        <w:numPr>
          <w:ilvl w:val="0"/>
          <w:numId w:val="1005"/>
        </w:numPr>
      </w:pPr>
      <w:r>
        <w:t xml:space="preserve">les incertitudes ;</w:t>
      </w:r>
    </w:p>
    <w:p>
      <w:pPr>
        <w:pStyle w:val="Compact"/>
        <w:numPr>
          <w:ilvl w:val="0"/>
          <w:numId w:val="1005"/>
        </w:numPr>
      </w:pPr>
      <w:r>
        <w:t xml:space="preserve">les conditions de validité ;</w:t>
      </w:r>
    </w:p>
    <w:p>
      <w:pPr>
        <w:pStyle w:val="Compact"/>
        <w:numPr>
          <w:ilvl w:val="0"/>
          <w:numId w:val="1005"/>
        </w:numPr>
      </w:pPr>
      <w:r>
        <w:t xml:space="preserve">les responsabilités humaines.</w:t>
      </w:r>
    </w:p>
    <w:p>
      <w:pPr>
        <w:pStyle w:val="FirstParagraph"/>
      </w:pPr>
      <w:r>
        <w:t xml:space="preserve">Le scénario doit éclairer.</w:t>
      </w:r>
    </w:p>
    <w:p>
      <w:pPr>
        <w:pStyle w:val="BodyText"/>
      </w:pPr>
      <w:r>
        <w:t xml:space="preserve">Il ne doit pas imposer.</w:t>
      </w:r>
    </w:p>
    <w:p>
      <w:r>
        <w:pict>
          <v:rect style="width:0;height:1.5pt" o:hralign="center" o:hrstd="t" o:hr="t"/>
        </w:pict>
      </w:r>
    </w:p>
    <w:bookmarkEnd w:id="44"/>
    <w:bookmarkEnd w:id="45"/>
    <w:bookmarkStart w:id="47" w:name="chapitre-210"/>
    <w:p>
      <w:pPr>
        <w:pStyle w:val="Heading1"/>
      </w:pPr>
      <w:r>
        <w:t xml:space="preserve">Chapitre 210</w:t>
      </w:r>
    </w:p>
    <w:bookmarkStart w:id="46" w:name="la-gouvernance-du-scoring"/>
    <w:p>
      <w:pPr>
        <w:pStyle w:val="Heading2"/>
      </w:pPr>
      <w:r>
        <w:t xml:space="preserve">La gouvernance du scoring</w:t>
      </w:r>
    </w:p>
    <w:p>
      <w:pPr>
        <w:pStyle w:val="FirstParagraph"/>
      </w:pPr>
      <w:r>
        <w:t xml:space="preserve">La Phase 15 doit encadrer très strictement tout mécanisme de scoring.</w:t>
      </w:r>
    </w:p>
    <w:p>
      <w:pPr>
        <w:pStyle w:val="BodyText"/>
      </w:pPr>
      <w:r>
        <w:t xml:space="preserve">Un score peut être utile pour prioriser.</w:t>
      </w:r>
    </w:p>
    <w:p>
      <w:pPr>
        <w:pStyle w:val="BodyText"/>
      </w:pPr>
      <w:r>
        <w:t xml:space="preserve">Mais un score peut aussi être dangereux.</w:t>
      </w:r>
    </w:p>
    <w:p>
      <w:pPr>
        <w:pStyle w:val="BodyText"/>
      </w:pPr>
      <w:r>
        <w:t xml:space="preserve">Il peut donner l’impression qu’une réalité complexe est résumée par un chiffre objectif.</w:t>
      </w:r>
    </w:p>
    <w:p>
      <w:pPr>
        <w:pStyle w:val="BodyText"/>
      </w:pPr>
      <w:r>
        <w:t xml:space="preserve">Il peut masquer des biais.</w:t>
      </w:r>
    </w:p>
    <w:p>
      <w:pPr>
        <w:pStyle w:val="BodyText"/>
      </w:pPr>
      <w:r>
        <w:t xml:space="preserve">Il peut être mal interprété.</w:t>
      </w:r>
    </w:p>
    <w:p>
      <w:pPr>
        <w:pStyle w:val="BodyText"/>
      </w:pPr>
      <w:r>
        <w:t xml:space="preserve">Il peut devenir une décision implicite.</w:t>
      </w:r>
    </w:p>
    <w:p>
      <w:pPr>
        <w:pStyle w:val="BodyText"/>
      </w:pPr>
      <w:r>
        <w:t xml:space="preserve">La Phase 15 doit donc imposer que tout scoring soit :</w:t>
      </w:r>
    </w:p>
    <w:p>
      <w:pPr>
        <w:pStyle w:val="Compact"/>
        <w:numPr>
          <w:ilvl w:val="0"/>
          <w:numId w:val="1006"/>
        </w:numPr>
      </w:pPr>
      <w:r>
        <w:t xml:space="preserve">documenté ;</w:t>
      </w:r>
    </w:p>
    <w:p>
      <w:pPr>
        <w:pStyle w:val="Compact"/>
        <w:numPr>
          <w:ilvl w:val="0"/>
          <w:numId w:val="1006"/>
        </w:numPr>
      </w:pPr>
      <w:r>
        <w:t xml:space="preserve">explicable ;</w:t>
      </w:r>
    </w:p>
    <w:p>
      <w:pPr>
        <w:pStyle w:val="Compact"/>
        <w:numPr>
          <w:ilvl w:val="0"/>
          <w:numId w:val="1006"/>
        </w:numPr>
      </w:pPr>
      <w:r>
        <w:t xml:space="preserve">limité ;</w:t>
      </w:r>
    </w:p>
    <w:p>
      <w:pPr>
        <w:pStyle w:val="Compact"/>
        <w:numPr>
          <w:ilvl w:val="0"/>
          <w:numId w:val="1006"/>
        </w:numPr>
      </w:pPr>
      <w:r>
        <w:t xml:space="preserve">non automatique ;</w:t>
      </w:r>
    </w:p>
    <w:p>
      <w:pPr>
        <w:pStyle w:val="Compact"/>
        <w:numPr>
          <w:ilvl w:val="0"/>
          <w:numId w:val="1006"/>
        </w:numPr>
      </w:pPr>
      <w:r>
        <w:t xml:space="preserve">validé humainement ;</w:t>
      </w:r>
    </w:p>
    <w:p>
      <w:pPr>
        <w:pStyle w:val="Compact"/>
        <w:numPr>
          <w:ilvl w:val="0"/>
          <w:numId w:val="1006"/>
        </w:numPr>
      </w:pPr>
      <w:r>
        <w:t xml:space="preserve">contestable ;</w:t>
      </w:r>
    </w:p>
    <w:p>
      <w:pPr>
        <w:pStyle w:val="Compact"/>
        <w:numPr>
          <w:ilvl w:val="0"/>
          <w:numId w:val="1006"/>
        </w:numPr>
      </w:pPr>
      <w:r>
        <w:t xml:space="preserve">auditable ;</w:t>
      </w:r>
    </w:p>
    <w:p>
      <w:pPr>
        <w:pStyle w:val="Compact"/>
        <w:numPr>
          <w:ilvl w:val="0"/>
          <w:numId w:val="1006"/>
        </w:numPr>
      </w:pPr>
      <w:r>
        <w:t xml:space="preserve">rattaché à des critères ;</w:t>
      </w:r>
    </w:p>
    <w:p>
      <w:pPr>
        <w:pStyle w:val="Compact"/>
        <w:numPr>
          <w:ilvl w:val="0"/>
          <w:numId w:val="1006"/>
        </w:numPr>
      </w:pPr>
      <w:r>
        <w:t xml:space="preserve">accompagné d’une limite d’interprétation.</w:t>
      </w:r>
    </w:p>
    <w:p>
      <w:pPr>
        <w:pStyle w:val="FirstParagraph"/>
      </w:pPr>
      <w:r>
        <w:t xml:space="preserve">Un score ne doit jamais produire seul une décision institutionnelle.</w:t>
      </w:r>
    </w:p>
    <w:p>
      <w:r>
        <w:pict>
          <v:rect style="width:0;height:1.5pt" o:hralign="center" o:hrstd="t" o:hr="t"/>
        </w:pict>
      </w:r>
    </w:p>
    <w:bookmarkEnd w:id="46"/>
    <w:bookmarkEnd w:id="47"/>
    <w:bookmarkStart w:id="49" w:name="chapitre-211"/>
    <w:p>
      <w:pPr>
        <w:pStyle w:val="Heading1"/>
      </w:pPr>
      <w:r>
        <w:t xml:space="preserve">Chapitre 211</w:t>
      </w:r>
    </w:p>
    <w:bookmarkStart w:id="48" w:name="les-notes-daide-à-la-décision"/>
    <w:p>
      <w:pPr>
        <w:pStyle w:val="Heading2"/>
      </w:pPr>
      <w:r>
        <w:t xml:space="preserve">Les notes d’aide à la décision</w:t>
      </w:r>
    </w:p>
    <w:p>
      <w:pPr>
        <w:pStyle w:val="FirstParagraph"/>
      </w:pPr>
      <w:r>
        <w:t xml:space="preserve">La Phase 15 doit préparer le modèle de note d’aide à la décision.</w:t>
      </w:r>
    </w:p>
    <w:p>
      <w:pPr>
        <w:pStyle w:val="BodyText"/>
      </w:pPr>
      <w:r>
        <w:t xml:space="preserve">Une note d’aide à la décision doit permettre à un responsable humain de comprendre une situation et d’arbitrer.</w:t>
      </w:r>
    </w:p>
    <w:p>
      <w:pPr>
        <w:pStyle w:val="BodyText"/>
      </w:pPr>
      <w:r>
        <w:t xml:space="preserve">Elle peut contenir :</w:t>
      </w:r>
    </w:p>
    <w:p>
      <w:pPr>
        <w:pStyle w:val="Compact"/>
        <w:numPr>
          <w:ilvl w:val="0"/>
          <w:numId w:val="1007"/>
        </w:numPr>
      </w:pPr>
      <w:r>
        <w:t xml:space="preserve">le contexte ;</w:t>
      </w:r>
    </w:p>
    <w:p>
      <w:pPr>
        <w:pStyle w:val="Compact"/>
        <w:numPr>
          <w:ilvl w:val="0"/>
          <w:numId w:val="1007"/>
        </w:numPr>
      </w:pPr>
      <w:r>
        <w:t xml:space="preserve">les faits ;</w:t>
      </w:r>
    </w:p>
    <w:p>
      <w:pPr>
        <w:pStyle w:val="Compact"/>
        <w:numPr>
          <w:ilvl w:val="0"/>
          <w:numId w:val="1007"/>
        </w:numPr>
      </w:pPr>
      <w:r>
        <w:t xml:space="preserve">les sources ;</w:t>
      </w:r>
    </w:p>
    <w:p>
      <w:pPr>
        <w:pStyle w:val="Compact"/>
        <w:numPr>
          <w:ilvl w:val="0"/>
          <w:numId w:val="1007"/>
        </w:numPr>
      </w:pPr>
      <w:r>
        <w:t xml:space="preserve">les indicateurs ;</w:t>
      </w:r>
    </w:p>
    <w:p>
      <w:pPr>
        <w:pStyle w:val="Compact"/>
        <w:numPr>
          <w:ilvl w:val="0"/>
          <w:numId w:val="1007"/>
        </w:numPr>
      </w:pPr>
      <w:r>
        <w:t xml:space="preserve">les alertes ;</w:t>
      </w:r>
    </w:p>
    <w:p>
      <w:pPr>
        <w:pStyle w:val="Compact"/>
        <w:numPr>
          <w:ilvl w:val="0"/>
          <w:numId w:val="1007"/>
        </w:numPr>
      </w:pPr>
      <w:r>
        <w:t xml:space="preserve">les risques ;</w:t>
      </w:r>
    </w:p>
    <w:p>
      <w:pPr>
        <w:pStyle w:val="Compact"/>
        <w:numPr>
          <w:ilvl w:val="0"/>
          <w:numId w:val="1007"/>
        </w:numPr>
      </w:pPr>
      <w:r>
        <w:t xml:space="preserve">les options ;</w:t>
      </w:r>
    </w:p>
    <w:p>
      <w:pPr>
        <w:pStyle w:val="Compact"/>
        <w:numPr>
          <w:ilvl w:val="0"/>
          <w:numId w:val="1007"/>
        </w:numPr>
      </w:pPr>
      <w:r>
        <w:t xml:space="preserve">les scénarios ;</w:t>
      </w:r>
    </w:p>
    <w:p>
      <w:pPr>
        <w:pStyle w:val="Compact"/>
        <w:numPr>
          <w:ilvl w:val="0"/>
          <w:numId w:val="1007"/>
        </w:numPr>
      </w:pPr>
      <w:r>
        <w:t xml:space="preserve">les limites ;</w:t>
      </w:r>
    </w:p>
    <w:p>
      <w:pPr>
        <w:pStyle w:val="Compact"/>
        <w:numPr>
          <w:ilvl w:val="0"/>
          <w:numId w:val="1007"/>
        </w:numPr>
      </w:pPr>
      <w:r>
        <w:t xml:space="preserve">les recommandations éventuelles ;</w:t>
      </w:r>
    </w:p>
    <w:p>
      <w:pPr>
        <w:pStyle w:val="Compact"/>
        <w:numPr>
          <w:ilvl w:val="0"/>
          <w:numId w:val="1007"/>
        </w:numPr>
      </w:pPr>
      <w:r>
        <w:t xml:space="preserve">les points nécessitant validation humaine ;</w:t>
      </w:r>
    </w:p>
    <w:p>
      <w:pPr>
        <w:pStyle w:val="Compact"/>
        <w:numPr>
          <w:ilvl w:val="0"/>
          <w:numId w:val="1007"/>
        </w:numPr>
      </w:pPr>
      <w:r>
        <w:t xml:space="preserve">les pièces ou documents associés ;</w:t>
      </w:r>
    </w:p>
    <w:p>
      <w:pPr>
        <w:pStyle w:val="Compact"/>
        <w:numPr>
          <w:ilvl w:val="0"/>
          <w:numId w:val="1007"/>
        </w:numPr>
      </w:pPr>
      <w:r>
        <w:t xml:space="preserve">la trace de décision.</w:t>
      </w:r>
    </w:p>
    <w:p>
      <w:pPr>
        <w:pStyle w:val="FirstParagraph"/>
      </w:pPr>
      <w:r>
        <w:t xml:space="preserve">La note ne décide pas.</w:t>
      </w:r>
    </w:p>
    <w:p>
      <w:pPr>
        <w:pStyle w:val="BodyText"/>
      </w:pPr>
      <w:r>
        <w:t xml:space="preserve">Elle prépare la décision.</w:t>
      </w:r>
    </w:p>
    <w:p>
      <w:r>
        <w:pict>
          <v:rect style="width:0;height:1.5pt" o:hralign="center" o:hrstd="t" o:hr="t"/>
        </w:pict>
      </w:r>
    </w:p>
    <w:bookmarkEnd w:id="48"/>
    <w:bookmarkEnd w:id="49"/>
    <w:bookmarkStart w:id="51" w:name="chapitre-212"/>
    <w:p>
      <w:pPr>
        <w:pStyle w:val="Heading1"/>
      </w:pPr>
      <w:r>
        <w:t xml:space="preserve">Chapitre 212</w:t>
      </w:r>
    </w:p>
    <w:bookmarkStart w:id="50" w:name="la-journalisation-des-décisions-humaines"/>
    <w:p>
      <w:pPr>
        <w:pStyle w:val="Heading2"/>
      </w:pPr>
      <w:r>
        <w:t xml:space="preserve">La journalisation des décisions humaines</w:t>
      </w:r>
    </w:p>
    <w:p>
      <w:pPr>
        <w:pStyle w:val="FirstParagraph"/>
      </w:pPr>
      <w:r>
        <w:t xml:space="preserve">La Phase 15 doit renforcer la journalisation des décisions humaines.</w:t>
      </w:r>
    </w:p>
    <w:p>
      <w:pPr>
        <w:pStyle w:val="BodyText"/>
      </w:pPr>
      <w:r>
        <w:t xml:space="preserve">Lorsqu’un humain prend une décision à partir d’une aide fournie par le système, il doit être possible de conserver :</w:t>
      </w:r>
    </w:p>
    <w:p>
      <w:pPr>
        <w:pStyle w:val="Compact"/>
        <w:numPr>
          <w:ilvl w:val="0"/>
          <w:numId w:val="1008"/>
        </w:numPr>
      </w:pPr>
      <w:r>
        <w:t xml:space="preserve">la date ;</w:t>
      </w:r>
    </w:p>
    <w:p>
      <w:pPr>
        <w:pStyle w:val="Compact"/>
        <w:numPr>
          <w:ilvl w:val="0"/>
          <w:numId w:val="1008"/>
        </w:numPr>
      </w:pPr>
      <w:r>
        <w:t xml:space="preserve">le responsable ;</w:t>
      </w:r>
    </w:p>
    <w:p>
      <w:pPr>
        <w:pStyle w:val="Compact"/>
        <w:numPr>
          <w:ilvl w:val="0"/>
          <w:numId w:val="1008"/>
        </w:numPr>
      </w:pPr>
      <w:r>
        <w:t xml:space="preserve">le contexte ;</w:t>
      </w:r>
    </w:p>
    <w:p>
      <w:pPr>
        <w:pStyle w:val="Compact"/>
        <w:numPr>
          <w:ilvl w:val="0"/>
          <w:numId w:val="1008"/>
        </w:numPr>
      </w:pPr>
      <w:r>
        <w:t xml:space="preserve">les informations consultées ;</w:t>
      </w:r>
    </w:p>
    <w:p>
      <w:pPr>
        <w:pStyle w:val="Compact"/>
        <w:numPr>
          <w:ilvl w:val="0"/>
          <w:numId w:val="1008"/>
        </w:numPr>
      </w:pPr>
      <w:r>
        <w:t xml:space="preserve">les dashboards utilisés ;</w:t>
      </w:r>
    </w:p>
    <w:p>
      <w:pPr>
        <w:pStyle w:val="Compact"/>
        <w:numPr>
          <w:ilvl w:val="0"/>
          <w:numId w:val="1008"/>
        </w:numPr>
      </w:pPr>
      <w:r>
        <w:t xml:space="preserve">les alertes examinées ;</w:t>
      </w:r>
    </w:p>
    <w:p>
      <w:pPr>
        <w:pStyle w:val="Compact"/>
        <w:numPr>
          <w:ilvl w:val="0"/>
          <w:numId w:val="1008"/>
        </w:numPr>
      </w:pPr>
      <w:r>
        <w:t xml:space="preserve">les recommandations reçues ;</w:t>
      </w:r>
    </w:p>
    <w:p>
      <w:pPr>
        <w:pStyle w:val="Compact"/>
        <w:numPr>
          <w:ilvl w:val="0"/>
          <w:numId w:val="1008"/>
        </w:numPr>
      </w:pPr>
      <w:r>
        <w:t xml:space="preserve">les options retenues ou écartées ;</w:t>
      </w:r>
    </w:p>
    <w:p>
      <w:pPr>
        <w:pStyle w:val="Compact"/>
        <w:numPr>
          <w:ilvl w:val="0"/>
          <w:numId w:val="1008"/>
        </w:numPr>
      </w:pPr>
      <w:r>
        <w:t xml:space="preserve">la décision finale ;</w:t>
      </w:r>
    </w:p>
    <w:p>
      <w:pPr>
        <w:pStyle w:val="Compact"/>
        <w:numPr>
          <w:ilvl w:val="0"/>
          <w:numId w:val="1008"/>
        </w:numPr>
      </w:pPr>
      <w:r>
        <w:t xml:space="preserve">les motifs ;</w:t>
      </w:r>
    </w:p>
    <w:p>
      <w:pPr>
        <w:pStyle w:val="Compact"/>
        <w:numPr>
          <w:ilvl w:val="0"/>
          <w:numId w:val="1008"/>
        </w:numPr>
      </w:pPr>
      <w:r>
        <w:t xml:space="preserve">les suites données ;</w:t>
      </w:r>
    </w:p>
    <w:p>
      <w:pPr>
        <w:pStyle w:val="Compact"/>
        <w:numPr>
          <w:ilvl w:val="0"/>
          <w:numId w:val="1008"/>
        </w:numPr>
      </w:pPr>
      <w:r>
        <w:t xml:space="preserve">les révisions éventuelles.</w:t>
      </w:r>
    </w:p>
    <w:p>
      <w:pPr>
        <w:pStyle w:val="FirstParagraph"/>
      </w:pPr>
      <w:r>
        <w:t xml:space="preserve">Cette journalisation permet de renforcer la mémoire institutionnelle.</w:t>
      </w:r>
    </w:p>
    <w:p>
      <w:pPr>
        <w:pStyle w:val="BodyText"/>
      </w:pPr>
      <w:r>
        <w:t xml:space="preserve">Elle permet aussi l’audit, l’apprentissage et la responsabilité.</w:t>
      </w:r>
    </w:p>
    <w:p>
      <w:r>
        <w:pict>
          <v:rect style="width:0;height:1.5pt" o:hralign="center" o:hrstd="t" o:hr="t"/>
        </w:pict>
      </w:r>
    </w:p>
    <w:bookmarkEnd w:id="50"/>
    <w:bookmarkEnd w:id="51"/>
    <w:bookmarkStart w:id="56" w:name="chapitre-213"/>
    <w:p>
      <w:pPr>
        <w:pStyle w:val="Heading1"/>
      </w:pPr>
      <w:r>
        <w:t xml:space="preserve">Chapitre 213</w:t>
      </w:r>
    </w:p>
    <w:bookmarkStart w:id="52" w:name="X7e583aced9c6c17c43a4ea0510de74cf6650265"/>
    <w:p>
      <w:pPr>
        <w:pStyle w:val="Heading2"/>
      </w:pPr>
      <w:r>
        <w:t xml:space="preserve">Explicabilité, auditabilité et contestabilité</w:t>
      </w:r>
    </w:p>
    <w:p>
      <w:pPr>
        <w:pStyle w:val="FirstParagraph"/>
      </w:pPr>
      <w:r>
        <w:t xml:space="preserve">La Phase 15 doit articuler trois exigences.</w:t>
      </w:r>
    </w:p>
    <w:bookmarkEnd w:id="52"/>
    <w:bookmarkStart w:id="53" w:name="explicabilité"/>
    <w:p>
      <w:pPr>
        <w:pStyle w:val="Heading2"/>
      </w:pPr>
      <w:r>
        <w:t xml:space="preserve">Explicabilité</w:t>
      </w:r>
    </w:p>
    <w:p>
      <w:pPr>
        <w:pStyle w:val="FirstParagraph"/>
      </w:pPr>
      <w:r>
        <w:t xml:space="preserve">L’utilisateur doit comprendre pourquoi une alerte, une recommandation ou une priorisation a été produite.</w:t>
      </w:r>
    </w:p>
    <w:bookmarkEnd w:id="53"/>
    <w:bookmarkStart w:id="54" w:name="auditabilité"/>
    <w:p>
      <w:pPr>
        <w:pStyle w:val="Heading2"/>
      </w:pPr>
      <w:r>
        <w:t xml:space="preserve">Auditabilité</w:t>
      </w:r>
    </w:p>
    <w:p>
      <w:pPr>
        <w:pStyle w:val="FirstParagraph"/>
      </w:pPr>
      <w:r>
        <w:t xml:space="preserve">Un auditeur doit pouvoir retrouver les sources, les règles, les données, les étapes et les validations.</w:t>
      </w:r>
    </w:p>
    <w:bookmarkEnd w:id="54"/>
    <w:bookmarkStart w:id="55" w:name="contestabilité"/>
    <w:p>
      <w:pPr>
        <w:pStyle w:val="Heading2"/>
      </w:pPr>
      <w:r>
        <w:t xml:space="preserve">Contestabilité</w:t>
      </w:r>
    </w:p>
    <w:p>
      <w:pPr>
        <w:pStyle w:val="FirstParagraph"/>
      </w:pPr>
      <w:r>
        <w:t xml:space="preserve">Un humain doit pouvoir contester, corriger, rejeter ou suspendre une recommandation.</w:t>
      </w:r>
    </w:p>
    <w:p>
      <w:pPr>
        <w:pStyle w:val="BodyText"/>
      </w:pPr>
      <w:r>
        <w:t xml:space="preserve">Ces trois exigences protègent la responsabilité humaine.</w:t>
      </w:r>
    </w:p>
    <w:p>
      <w:pPr>
        <w:pStyle w:val="BodyText"/>
      </w:pPr>
      <w:r>
        <w:t xml:space="preserve">Elles empêchent l’aide à la décision de devenir une boîte noire.</w:t>
      </w:r>
    </w:p>
    <w:p>
      <w:r>
        <w:pict>
          <v:rect style="width:0;height:1.5pt" o:hralign="center" o:hrstd="t" o:hr="t"/>
        </w:pict>
      </w:r>
    </w:p>
    <w:bookmarkEnd w:id="55"/>
    <w:bookmarkEnd w:id="56"/>
    <w:bookmarkStart w:id="58" w:name="chapitre-214"/>
    <w:p>
      <w:pPr>
        <w:pStyle w:val="Heading1"/>
      </w:pPr>
      <w:r>
        <w:t xml:space="preserve">Chapitre 214</w:t>
      </w:r>
    </w:p>
    <w:bookmarkStart w:id="57" w:name="la-protection-du-human-in-the-loop"/>
    <w:p>
      <w:pPr>
        <w:pStyle w:val="Heading2"/>
      </w:pPr>
      <w:r>
        <w:t xml:space="preserve">La protection du Human-in-the-loop</w:t>
      </w:r>
    </w:p>
    <w:p>
      <w:pPr>
        <w:pStyle w:val="FirstParagraph"/>
      </w:pPr>
      <w:r>
        <w:t xml:space="preserve">La Phase 15 doit protéger le Human-in-the-loop avec une exigence encore plus forte que les phases précédentes.</w:t>
      </w:r>
    </w:p>
    <w:p>
      <w:pPr>
        <w:pStyle w:val="BodyText"/>
      </w:pPr>
      <w:r>
        <w:t xml:space="preserve">Ici, le sujet n’est plus seulement la production d’un brouillon, d’une synthèse ou d’un dashboard.</w:t>
      </w:r>
    </w:p>
    <w:p>
      <w:pPr>
        <w:pStyle w:val="BodyText"/>
      </w:pPr>
      <w:r>
        <w:t xml:space="preserve">Le sujet est la proximité avec la décision.</w:t>
      </w:r>
    </w:p>
    <w:p>
      <w:pPr>
        <w:pStyle w:val="BodyText"/>
      </w:pPr>
      <w:r>
        <w:t xml:space="preserve">Chaque mécanisme d’aide à la décision doit donc préciser :</w:t>
      </w:r>
    </w:p>
    <w:p>
      <w:pPr>
        <w:pStyle w:val="Compact"/>
        <w:numPr>
          <w:ilvl w:val="0"/>
          <w:numId w:val="1009"/>
        </w:numPr>
      </w:pPr>
      <w:r>
        <w:t xml:space="preserve">qui reçoit l’aide ;</w:t>
      </w:r>
    </w:p>
    <w:p>
      <w:pPr>
        <w:pStyle w:val="Compact"/>
        <w:numPr>
          <w:ilvl w:val="0"/>
          <w:numId w:val="1009"/>
        </w:numPr>
      </w:pPr>
      <w:r>
        <w:t xml:space="preserve">qui l’interprète ;</w:t>
      </w:r>
    </w:p>
    <w:p>
      <w:pPr>
        <w:pStyle w:val="Compact"/>
        <w:numPr>
          <w:ilvl w:val="0"/>
          <w:numId w:val="1009"/>
        </w:numPr>
      </w:pPr>
      <w:r>
        <w:t xml:space="preserve">qui peut la valider ;</w:t>
      </w:r>
    </w:p>
    <w:p>
      <w:pPr>
        <w:pStyle w:val="Compact"/>
        <w:numPr>
          <w:ilvl w:val="0"/>
          <w:numId w:val="1009"/>
        </w:numPr>
      </w:pPr>
      <w:r>
        <w:t xml:space="preserve">qui peut la rejeter ;</w:t>
      </w:r>
    </w:p>
    <w:p>
      <w:pPr>
        <w:pStyle w:val="Compact"/>
        <w:numPr>
          <w:ilvl w:val="0"/>
          <w:numId w:val="1009"/>
        </w:numPr>
      </w:pPr>
      <w:r>
        <w:t xml:space="preserve">qui décide ;</w:t>
      </w:r>
    </w:p>
    <w:p>
      <w:pPr>
        <w:pStyle w:val="Compact"/>
        <w:numPr>
          <w:ilvl w:val="0"/>
          <w:numId w:val="1009"/>
        </w:numPr>
      </w:pPr>
      <w:r>
        <w:t xml:space="preserve">qui assume la responsabilité ;</w:t>
      </w:r>
    </w:p>
    <w:p>
      <w:pPr>
        <w:pStyle w:val="Compact"/>
        <w:numPr>
          <w:ilvl w:val="0"/>
          <w:numId w:val="1009"/>
        </w:numPr>
      </w:pPr>
      <w:r>
        <w:t xml:space="preserve">qui peut auditer ;</w:t>
      </w:r>
    </w:p>
    <w:p>
      <w:pPr>
        <w:pStyle w:val="Compact"/>
        <w:numPr>
          <w:ilvl w:val="0"/>
          <w:numId w:val="1009"/>
        </w:numPr>
      </w:pPr>
      <w:r>
        <w:t xml:space="preserve">qui peut suspendre le mécanisme.</w:t>
      </w:r>
    </w:p>
    <w:p>
      <w:pPr>
        <w:pStyle w:val="FirstParagraph"/>
      </w:pPr>
      <w:r>
        <w:t xml:space="preserve">La décision humaine doit rester visible, documentée et non transférable.</w:t>
      </w:r>
    </w:p>
    <w:p>
      <w:r>
        <w:pict>
          <v:rect style="width:0;height:1.5pt" o:hralign="center" o:hrstd="t" o:hr="t"/>
        </w:pict>
      </w:r>
    </w:p>
    <w:bookmarkEnd w:id="57"/>
    <w:bookmarkEnd w:id="58"/>
    <w:bookmarkStart w:id="60" w:name="chapitre-215"/>
    <w:p>
      <w:pPr>
        <w:pStyle w:val="Heading1"/>
      </w:pPr>
      <w:r>
        <w:t xml:space="preserve">Chapitre 215</w:t>
      </w:r>
    </w:p>
    <w:bookmarkStart w:id="59" w:name="les-limites-imposées-par-la-phase-15"/>
    <w:p>
      <w:pPr>
        <w:pStyle w:val="Heading2"/>
      </w:pPr>
      <w:r>
        <w:t xml:space="preserve">Les limites imposées par la Phase 15</w:t>
      </w:r>
    </w:p>
    <w:p>
      <w:pPr>
        <w:pStyle w:val="FirstParagraph"/>
      </w:pPr>
      <w:r>
        <w:t xml:space="preserve">La Phase 15 impose des limites strictes.</w:t>
      </w:r>
    </w:p>
    <w:p>
      <w:pPr>
        <w:pStyle w:val="BodyText"/>
      </w:pPr>
      <w:r>
        <w:t xml:space="preserve">Elle ne doit pas :</w:t>
      </w:r>
    </w:p>
    <w:p>
      <w:pPr>
        <w:pStyle w:val="Compact"/>
        <w:numPr>
          <w:ilvl w:val="0"/>
          <w:numId w:val="1010"/>
        </w:numPr>
      </w:pPr>
      <w:r>
        <w:t xml:space="preserve">automatiser une décision institutionnelle ;</w:t>
      </w:r>
    </w:p>
    <w:p>
      <w:pPr>
        <w:pStyle w:val="Compact"/>
        <w:numPr>
          <w:ilvl w:val="0"/>
          <w:numId w:val="1010"/>
        </w:numPr>
      </w:pPr>
      <w:r>
        <w:t xml:space="preserve">automatiser une décision administrative sensible ;</w:t>
      </w:r>
    </w:p>
    <w:p>
      <w:pPr>
        <w:pStyle w:val="Compact"/>
        <w:numPr>
          <w:ilvl w:val="0"/>
          <w:numId w:val="1010"/>
        </w:numPr>
      </w:pPr>
      <w:r>
        <w:t xml:space="preserve">automatiser une décision juridictionnelle ;</w:t>
      </w:r>
    </w:p>
    <w:p>
      <w:pPr>
        <w:pStyle w:val="Compact"/>
        <w:numPr>
          <w:ilvl w:val="0"/>
          <w:numId w:val="1010"/>
        </w:numPr>
      </w:pPr>
      <w:r>
        <w:t xml:space="preserve">remplacer le greffier ;</w:t>
      </w:r>
    </w:p>
    <w:p>
      <w:pPr>
        <w:pStyle w:val="Compact"/>
        <w:numPr>
          <w:ilvl w:val="0"/>
          <w:numId w:val="1010"/>
        </w:numPr>
      </w:pPr>
      <w:r>
        <w:t xml:space="preserve">remplacer le magistrat ;</w:t>
      </w:r>
    </w:p>
    <w:p>
      <w:pPr>
        <w:pStyle w:val="Compact"/>
        <w:numPr>
          <w:ilvl w:val="0"/>
          <w:numId w:val="1010"/>
        </w:numPr>
      </w:pPr>
      <w:r>
        <w:t xml:space="preserve">remplacer une autorité administrative ;</w:t>
      </w:r>
    </w:p>
    <w:p>
      <w:pPr>
        <w:pStyle w:val="Compact"/>
        <w:numPr>
          <w:ilvl w:val="0"/>
          <w:numId w:val="1010"/>
        </w:numPr>
      </w:pPr>
      <w:r>
        <w:t xml:space="preserve">transformer une alerte en action automatique ;</w:t>
      </w:r>
    </w:p>
    <w:p>
      <w:pPr>
        <w:pStyle w:val="Compact"/>
        <w:numPr>
          <w:ilvl w:val="0"/>
          <w:numId w:val="1010"/>
        </w:numPr>
      </w:pPr>
      <w:r>
        <w:t xml:space="preserve">transformer une recommandation en instruction ;</w:t>
      </w:r>
    </w:p>
    <w:p>
      <w:pPr>
        <w:pStyle w:val="Compact"/>
        <w:numPr>
          <w:ilvl w:val="0"/>
          <w:numId w:val="1010"/>
        </w:numPr>
      </w:pPr>
      <w:r>
        <w:t xml:space="preserve">transformer un score en décision ;</w:t>
      </w:r>
    </w:p>
    <w:p>
      <w:pPr>
        <w:pStyle w:val="Compact"/>
        <w:numPr>
          <w:ilvl w:val="0"/>
          <w:numId w:val="1010"/>
        </w:numPr>
      </w:pPr>
      <w:r>
        <w:t xml:space="preserve">déclencher des actions sensibles ;</w:t>
      </w:r>
    </w:p>
    <w:p>
      <w:pPr>
        <w:pStyle w:val="Compact"/>
        <w:numPr>
          <w:ilvl w:val="0"/>
          <w:numId w:val="1010"/>
        </w:numPr>
      </w:pPr>
      <w:r>
        <w:t xml:space="preserve">utiliser des données judiciaires réelles non gouvernées ;</w:t>
      </w:r>
    </w:p>
    <w:p>
      <w:pPr>
        <w:pStyle w:val="Compact"/>
        <w:numPr>
          <w:ilvl w:val="0"/>
          <w:numId w:val="1010"/>
        </w:numPr>
      </w:pPr>
      <w:r>
        <w:t xml:space="preserve">publier des informations sensibles ;</w:t>
      </w:r>
    </w:p>
    <w:p>
      <w:pPr>
        <w:pStyle w:val="Compact"/>
        <w:numPr>
          <w:ilvl w:val="0"/>
          <w:numId w:val="1010"/>
        </w:numPr>
      </w:pPr>
      <w:r>
        <w:t xml:space="preserve">contourner la validation humaine ;</w:t>
      </w:r>
    </w:p>
    <w:p>
      <w:pPr>
        <w:pStyle w:val="Compact"/>
        <w:numPr>
          <w:ilvl w:val="0"/>
          <w:numId w:val="1010"/>
        </w:numPr>
      </w:pPr>
      <w:r>
        <w:t xml:space="preserve">supprimer la possibilité de contestation ;</w:t>
      </w:r>
    </w:p>
    <w:p>
      <w:pPr>
        <w:pStyle w:val="Compact"/>
        <w:numPr>
          <w:ilvl w:val="0"/>
          <w:numId w:val="1010"/>
        </w:numPr>
      </w:pPr>
      <w:r>
        <w:t xml:space="preserve">casser l’arborescence documentaire existante ;</w:t>
      </w:r>
    </w:p>
    <w:p>
      <w:pPr>
        <w:pStyle w:val="Compact"/>
        <w:numPr>
          <w:ilvl w:val="0"/>
          <w:numId w:val="1010"/>
        </w:numPr>
      </w:pPr>
      <w:r>
        <w:t xml:space="preserve">recréer manuellement en local des dossiers déjà créés dans le cloud.</w:t>
      </w:r>
    </w:p>
    <w:p>
      <w:pPr>
        <w:pStyle w:val="FirstParagraph"/>
      </w:pPr>
      <w:r>
        <w:t xml:space="preserve">La Phase 15 prépare l’aide à la décision.</w:t>
      </w:r>
    </w:p>
    <w:p>
      <w:pPr>
        <w:pStyle w:val="BodyText"/>
      </w:pPr>
      <w:r>
        <w:t xml:space="preserve">Elle n’autorise pas la décision automatisée.</w:t>
      </w:r>
    </w:p>
    <w:p>
      <w:r>
        <w:pict>
          <v:rect style="width:0;height:1.5pt" o:hralign="center" o:hrstd="t" o:hr="t"/>
        </w:pict>
      </w:r>
    </w:p>
    <w:bookmarkEnd w:id="59"/>
    <w:bookmarkEnd w:id="60"/>
    <w:bookmarkStart w:id="62" w:name="chapitre-216"/>
    <w:p>
      <w:pPr>
        <w:pStyle w:val="Heading1"/>
      </w:pPr>
      <w:r>
        <w:t xml:space="preserve">Chapitre 216</w:t>
      </w:r>
    </w:p>
    <w:bookmarkStart w:id="61" w:name="les-risques-gouvernés-par-la-phase-15"/>
    <w:p>
      <w:pPr>
        <w:pStyle w:val="Heading2"/>
      </w:pPr>
      <w:r>
        <w:t xml:space="preserve">Les risques gouvernés par la Phase 15</w:t>
      </w:r>
    </w:p>
    <w:p>
      <w:pPr>
        <w:pStyle w:val="FirstParagraph"/>
      </w:pPr>
      <w:r>
        <w:t xml:space="preserve">La Phase 15 gouverne plusieurs risques majeurs.</w:t>
      </w:r>
    </w:p>
    <w:p>
      <w:pPr>
        <w:pStyle w:val="BodyText"/>
      </w:pPr>
      <w:r>
        <w:t xml:space="preserve">Le premier est le risque de décision déguisée.</w:t>
      </w:r>
    </w:p>
    <w:p>
      <w:pPr>
        <w:pStyle w:val="BodyText"/>
      </w:pPr>
      <w:r>
        <w:t xml:space="preserve">Un système peut prétendre seulement recommander, mais en pratique imposer une orientation.</w:t>
      </w:r>
    </w:p>
    <w:p>
      <w:pPr>
        <w:pStyle w:val="BodyText"/>
      </w:pPr>
      <w:r>
        <w:t xml:space="preserve">Le deuxième est le risque de surconfiance.</w:t>
      </w:r>
    </w:p>
    <w:p>
      <w:pPr>
        <w:pStyle w:val="BodyText"/>
      </w:pPr>
      <w:r>
        <w:t xml:space="preserve">Plus l’aide paraît sophistiquée, plus l’humain peut être tenté de suivre la recommandation sans analyse.</w:t>
      </w:r>
    </w:p>
    <w:p>
      <w:pPr>
        <w:pStyle w:val="BodyText"/>
      </w:pPr>
      <w:r>
        <w:t xml:space="preserve">Le troisième est le risque de biais.</w:t>
      </w:r>
    </w:p>
    <w:p>
      <w:pPr>
        <w:pStyle w:val="BodyText"/>
      </w:pPr>
      <w:r>
        <w:t xml:space="preserve">Une priorisation, un score ou un scénario peut intégrer des biais de source, de donnée, de modèle ou de conception.</w:t>
      </w:r>
    </w:p>
    <w:p>
      <w:pPr>
        <w:pStyle w:val="BodyText"/>
      </w:pPr>
      <w:r>
        <w:t xml:space="preserve">Le quatrième est le risque d’opacité.</w:t>
      </w:r>
    </w:p>
    <w:p>
      <w:pPr>
        <w:pStyle w:val="BodyText"/>
      </w:pPr>
      <w:r>
        <w:t xml:space="preserve">Une aide non explicable fragilise la responsabilité.</w:t>
      </w:r>
    </w:p>
    <w:p>
      <w:pPr>
        <w:pStyle w:val="BodyText"/>
      </w:pPr>
      <w:r>
        <w:t xml:space="preserve">Le cinquième est le risque d’absence de contestation.</w:t>
      </w:r>
    </w:p>
    <w:p>
      <w:pPr>
        <w:pStyle w:val="BodyText"/>
      </w:pPr>
      <w:r>
        <w:t xml:space="preserve">Si l’utilisateur ne peut pas refuser ou corriger, l’aide devient contrainte.</w:t>
      </w:r>
    </w:p>
    <w:p>
      <w:pPr>
        <w:pStyle w:val="BodyText"/>
      </w:pPr>
      <w:r>
        <w:t xml:space="preserve">Le sixième est le risque de confusion entre efficacité et légitimité.</w:t>
      </w:r>
    </w:p>
    <w:p>
      <w:pPr>
        <w:pStyle w:val="BodyText"/>
      </w:pPr>
      <w:r>
        <w:t xml:space="preserve">Une solution rapide n’est pas nécessairement une solution juste, légale ou institutionnellement acceptable.</w:t>
      </w:r>
    </w:p>
    <w:p>
      <w:pPr>
        <w:pStyle w:val="BodyText"/>
      </w:pPr>
      <w:r>
        <w:t xml:space="preserve">La Phase 15 transforme ces risques en cadres de contrôle.</w:t>
      </w:r>
    </w:p>
    <w:p>
      <w:r>
        <w:pict>
          <v:rect style="width:0;height:1.5pt" o:hralign="center" o:hrstd="t" o:hr="t"/>
        </w:pict>
      </w:r>
    </w:p>
    <w:bookmarkEnd w:id="61"/>
    <w:bookmarkEnd w:id="62"/>
    <w:bookmarkStart w:id="64" w:name="chapitre-217"/>
    <w:p>
      <w:pPr>
        <w:pStyle w:val="Heading1"/>
      </w:pPr>
      <w:r>
        <w:t xml:space="preserve">Chapitre 217</w:t>
      </w:r>
    </w:p>
    <w:bookmarkStart w:id="63" w:name="Xba85bd5a7264ceac2ef0f78a94ce9abd1a12611"/>
    <w:p>
      <w:pPr>
        <w:pStyle w:val="Heading2"/>
      </w:pPr>
      <w:r>
        <w:t xml:space="preserve">Repository Continuity &amp; Local Synchronization</w:t>
      </w:r>
    </w:p>
    <w:p>
      <w:pPr>
        <w:pStyle w:val="FirstParagraph"/>
      </w:pPr>
      <w:r>
        <w:t xml:space="preserve">La Phase 15 hérite du protocole de continuité introduit en Phase 13 et maintenu en Phase 14.</w:t>
      </w:r>
    </w:p>
    <w:p>
      <w:pPr>
        <w:pStyle w:val="BodyText"/>
      </w:pPr>
      <w:r>
        <w:t xml:space="preserve">Toute structure créée dans le cloud doit être :</w:t>
      </w:r>
    </w:p>
    <w:p>
      <w:pPr>
        <w:pStyle w:val="Compact"/>
        <w:numPr>
          <w:ilvl w:val="0"/>
          <w:numId w:val="1011"/>
        </w:numPr>
      </w:pPr>
      <w:r>
        <w:t xml:space="preserve">versionnée ;</w:t>
      </w:r>
    </w:p>
    <w:p>
      <w:pPr>
        <w:pStyle w:val="Compact"/>
        <w:numPr>
          <w:ilvl w:val="0"/>
          <w:numId w:val="1011"/>
        </w:numPr>
      </w:pPr>
      <w:r>
        <w:t xml:space="preserve">committée ;</w:t>
      </w:r>
    </w:p>
    <w:p>
      <w:pPr>
        <w:pStyle w:val="Compact"/>
        <w:numPr>
          <w:ilvl w:val="0"/>
          <w:numId w:val="1011"/>
        </w:numPr>
      </w:pPr>
      <w:r>
        <w:t xml:space="preserve">poussée sur GitHub ;</w:t>
      </w:r>
    </w:p>
    <w:p>
      <w:pPr>
        <w:pStyle w:val="Compact"/>
        <w:numPr>
          <w:ilvl w:val="0"/>
          <w:numId w:val="1011"/>
        </w:numPr>
      </w:pPr>
      <w:r>
        <w:t xml:space="preserve">rattachée à une pull request ;</w:t>
      </w:r>
    </w:p>
    <w:p>
      <w:pPr>
        <w:pStyle w:val="Compact"/>
        <w:numPr>
          <w:ilvl w:val="0"/>
          <w:numId w:val="1011"/>
        </w:numPr>
      </w:pPr>
      <w:r>
        <w:t xml:space="preserve">récupérable localement par</w:t>
      </w:r>
      <w:r>
        <w:t xml:space="preserve"> </w:t>
      </w:r>
      <w:r>
        <w:rPr>
          <w:rStyle w:val="VerbatimChar"/>
        </w:rPr>
        <w:t xml:space="preserve">git pull</w:t>
      </w:r>
      <w:r>
        <w:t xml:space="preserve">.</w:t>
      </w:r>
    </w:p>
    <w:p>
      <w:pPr>
        <w:pStyle w:val="FirstParagraph"/>
      </w:pPr>
      <w:r>
        <w:t xml:space="preserve">La source de vérité reste GitHub.</w:t>
      </w:r>
    </w:p>
    <w:p>
      <w:pPr>
        <w:pStyle w:val="BodyText"/>
      </w:pPr>
      <w:r>
        <w:t xml:space="preserve">Le Mac local ne doit pas devenir une seconde source de vérité.</w:t>
      </w:r>
    </w:p>
    <w:p>
      <w:pPr>
        <w:pStyle w:val="BodyText"/>
      </w:pPr>
      <w:r>
        <w:t xml:space="preserve">La procédure locale future reste :</w:t>
      </w:r>
    </w:p>
    <w:p>
      <w:pPr>
        <w:pStyle w:val="SourceCode"/>
      </w:pPr>
      <w:r>
        <w:rPr>
          <w:rStyle w:val="BuiltInTok"/>
        </w:rPr>
        <w:t xml:space="preserve">cd</w:t>
      </w:r>
      <w:r>
        <w:rPr>
          <w:rStyle w:val="NormalTok"/>
        </w:rPr>
        <w:t xml:space="preserve"> ~/chemin/vers/cs-greffe-os-cloud</w:t>
      </w:r>
      <w:r>
        <w:br/>
      </w:r>
      <w:r>
        <w:rPr>
          <w:rStyle w:val="FunctionTok"/>
        </w:rPr>
        <w:t xml:space="preserve">git</w:t>
      </w:r>
      <w:r>
        <w:rPr>
          <w:rStyle w:val="NormalTok"/>
        </w:rPr>
        <w:t xml:space="preserve"> status</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ls</w:t>
      </w:r>
      <w:r>
        <w:rPr>
          <w:rStyle w:val="NormalTok"/>
        </w:rPr>
        <w:t xml:space="preserve"> </w:t>
      </w:r>
      <w:r>
        <w:rPr>
          <w:rStyle w:val="AttributeTok"/>
        </w:rPr>
        <w:t xml:space="preserve">-la</w:t>
      </w:r>
      <w:r>
        <w:rPr>
          <w:rStyle w:val="NormalTok"/>
        </w:rPr>
        <w:t xml:space="preserve"> docs/cs_greffe_os</w:t>
      </w:r>
    </w:p>
    <w:p>
      <w:pPr>
        <w:pStyle w:val="FirstParagraph"/>
      </w:pPr>
      <w:r>
        <w:t xml:space="preserve">Si la branche n’est pas encore mergée :</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branch </w:t>
      </w:r>
      <w:r>
        <w:rPr>
          <w:rStyle w:val="AttributeTok"/>
        </w:rPr>
        <w:t xml:space="preserve">-r</w:t>
      </w:r>
      <w:r>
        <w:br/>
      </w:r>
      <w:r>
        <w:rPr>
          <w:rStyle w:val="FunctionTok"/>
        </w:rPr>
        <w:t xml:space="preserve">git</w:t>
      </w:r>
      <w:r>
        <w:rPr>
          <w:rStyle w:val="NormalTok"/>
        </w:rPr>
        <w:t xml:space="preserve"> checkout </w:t>
      </w:r>
      <w:r>
        <w:rPr>
          <w:rStyle w:val="AttributeTok"/>
        </w:rPr>
        <w:t xml:space="preserve">-b</w:t>
      </w:r>
      <w:r>
        <w:rPr>
          <w:rStyle w:val="NormalTok"/>
        </w:rPr>
        <w:t xml:space="preserve"> nom-de-la-branche origin/nom-de-la-branche</w:t>
      </w:r>
    </w:p>
    <w:p>
      <w:pPr>
        <w:pStyle w:val="FirstParagraph"/>
      </w:pPr>
      <w:r>
        <w:t xml:space="preserve">Tout dossier vide nécessaire doit contenir un fichier :</w:t>
      </w:r>
    </w:p>
    <w:p>
      <w:pPr>
        <w:pStyle w:val="SourceCode"/>
      </w:pPr>
      <w:r>
        <w:rPr>
          <w:rStyle w:val="VerbatimChar"/>
        </w:rPr>
        <w:t xml:space="preserve">.gitkeep</w:t>
      </w:r>
    </w:p>
    <w:p>
      <w:r>
        <w:pict>
          <v:rect style="width:0;height:1.5pt" o:hralign="center" o:hrstd="t" o:hr="t"/>
        </w:pict>
      </w:r>
    </w:p>
    <w:bookmarkEnd w:id="63"/>
    <w:bookmarkEnd w:id="64"/>
    <w:bookmarkStart w:id="66" w:name="chapitre-218"/>
    <w:p>
      <w:pPr>
        <w:pStyle w:val="Heading1"/>
      </w:pPr>
      <w:r>
        <w:t xml:space="preserve">Chapitre 218</w:t>
      </w:r>
    </w:p>
    <w:bookmarkStart w:id="65" w:name="choix-du-domaine-documentaire"/>
    <w:p>
      <w:pPr>
        <w:pStyle w:val="Heading2"/>
      </w:pPr>
      <w:r>
        <w:t xml:space="preserve">Choix du domaine documentaire</w:t>
      </w:r>
    </w:p>
    <w:p>
      <w:pPr>
        <w:pStyle w:val="FirstParagraph"/>
      </w:pPr>
      <w:r>
        <w:t xml:space="preserve">La Phase 14 a retenu le domaine :</w:t>
      </w:r>
    </w:p>
    <w:p>
      <w:pPr>
        <w:pStyle w:val="SourceCode"/>
      </w:pPr>
      <w:r>
        <w:rPr>
          <w:rStyle w:val="VerbatimChar"/>
        </w:rPr>
        <w:t xml:space="preserve">docs/cs_greffe_os/25_COMMAND_CENTER/</w:t>
      </w:r>
    </w:p>
    <w:p>
      <w:pPr>
        <w:pStyle w:val="FirstParagraph"/>
      </w:pPr>
      <w:r>
        <w:t xml:space="preserve">Pour préserver la continuité de l’arborescence, la Phase 15 doit poursuivre cette logique.</w:t>
      </w:r>
    </w:p>
    <w:p>
      <w:pPr>
        <w:pStyle w:val="BodyText"/>
      </w:pPr>
      <w:r>
        <w:t xml:space="preserve">Le domaine documentaire recommandé est donc :</w:t>
      </w:r>
    </w:p>
    <w:p>
      <w:pPr>
        <w:pStyle w:val="SourceCode"/>
      </w:pPr>
      <w:r>
        <w:rPr>
          <w:rStyle w:val="VerbatimChar"/>
        </w:rPr>
        <w:t xml:space="preserve">docs/cs_greffe_os/26_DECISION_SUPPORT/</w:t>
      </w:r>
    </w:p>
    <w:p>
      <w:pPr>
        <w:pStyle w:val="FirstParagraph"/>
      </w:pPr>
      <w:r>
        <w:t xml:space="preserve">Cette structure maintient la continuité :</w:t>
      </w:r>
    </w:p>
    <w:p>
      <w:pPr>
        <w:pStyle w:val="SourceCode"/>
      </w:pPr>
      <w:r>
        <w:rPr>
          <w:rStyle w:val="VerbatimChar"/>
        </w:rPr>
        <w:t xml:space="preserve">23_APPLICATIONS/</w:t>
      </w:r>
      <w:r>
        <w:br/>
      </w:r>
      <w:r>
        <w:rPr>
          <w:rStyle w:val="VerbatimChar"/>
        </w:rPr>
        <w:t xml:space="preserve">24_DASHBOARDS/</w:t>
      </w:r>
      <w:r>
        <w:br/>
      </w:r>
      <w:r>
        <w:rPr>
          <w:rStyle w:val="VerbatimChar"/>
        </w:rPr>
        <w:t xml:space="preserve">25_COMMAND_CENTER/</w:t>
      </w:r>
      <w:r>
        <w:br/>
      </w:r>
      <w:r>
        <w:rPr>
          <w:rStyle w:val="VerbatimChar"/>
        </w:rPr>
        <w:t xml:space="preserve">26_DECISION_SUPPORT/</w:t>
      </w:r>
    </w:p>
    <w:p>
      <w:pPr>
        <w:pStyle w:val="FirstParagraph"/>
      </w:pPr>
      <w:r>
        <w:t xml:space="preserve">Elle évite de perturber les dossiers historiques déjà existants.</w:t>
      </w:r>
    </w:p>
    <w:p>
      <w:pPr>
        <w:pStyle w:val="BodyText"/>
      </w:pPr>
      <w:r>
        <w:t xml:space="preserve">Elle facilite aussi la récupération locale via Git.</w:t>
      </w:r>
    </w:p>
    <w:p>
      <w:r>
        <w:pict>
          <v:rect style="width:0;height:1.5pt" o:hralign="center" o:hrstd="t" o:hr="t"/>
        </w:pict>
      </w:r>
    </w:p>
    <w:bookmarkEnd w:id="65"/>
    <w:bookmarkEnd w:id="66"/>
    <w:bookmarkStart w:id="68" w:name="chapitre-219"/>
    <w:p>
      <w:pPr>
        <w:pStyle w:val="Heading1"/>
      </w:pPr>
      <w:r>
        <w:t xml:space="preserve">Chapitre 219</w:t>
      </w:r>
    </w:p>
    <w:bookmarkStart w:id="67" w:name="articulation-avec-les-phases-antérieures"/>
    <w:p>
      <w:pPr>
        <w:pStyle w:val="Heading2"/>
      </w:pPr>
      <w:r>
        <w:t xml:space="preserve">Articulation avec les phases antérieures</w:t>
      </w:r>
    </w:p>
    <w:p>
      <w:pPr>
        <w:pStyle w:val="FirstParagraph"/>
      </w:pPr>
      <w:r>
        <w:t xml:space="preserve">La Phase 15 hérite de toutes les phases précédentes.</w:t>
      </w:r>
    </w:p>
    <w:p>
      <w:pPr>
        <w:pStyle w:val="BodyText"/>
      </w:pPr>
      <w:r>
        <w:t xml:space="preserve">Elle hérite de la Phase 0 son identité.</w:t>
      </w:r>
    </w:p>
    <w:p>
      <w:pPr>
        <w:pStyle w:val="BodyText"/>
      </w:pPr>
      <w:r>
        <w:t xml:space="preserve">Elle hérite de la Phase 1 sa mémoire.</w:t>
      </w:r>
    </w:p>
    <w:p>
      <w:pPr>
        <w:pStyle w:val="BodyText"/>
      </w:pPr>
      <w:r>
        <w:t xml:space="preserve">Elle hérite de la Phase 2 son architecture.</w:t>
      </w:r>
    </w:p>
    <w:p>
      <w:pPr>
        <w:pStyle w:val="BodyText"/>
      </w:pPr>
      <w:r>
        <w:t xml:space="preserve">Elle hérite de la Phase 3 sa gouvernance des connaissances.</w:t>
      </w:r>
    </w:p>
    <w:p>
      <w:pPr>
        <w:pStyle w:val="BodyText"/>
      </w:pPr>
      <w:r>
        <w:t xml:space="preserve">Elle hérite de la Phase 4 son JDGO.</w:t>
      </w:r>
    </w:p>
    <w:p>
      <w:pPr>
        <w:pStyle w:val="BodyText"/>
      </w:pPr>
      <w:r>
        <w:t xml:space="preserve">Elle hérite de la Phase 5 ses données gouvernées.</w:t>
      </w:r>
    </w:p>
    <w:p>
      <w:pPr>
        <w:pStyle w:val="BodyText"/>
      </w:pPr>
      <w:r>
        <w:t xml:space="preserve">Elle hérite de la Phase 6 sa couche sémantique.</w:t>
      </w:r>
    </w:p>
    <w:p>
      <w:pPr>
        <w:pStyle w:val="BodyText"/>
      </w:pPr>
      <w:r>
        <w:t xml:space="preserve">Elle hérite de la Phase 7 son RAG.</w:t>
      </w:r>
    </w:p>
    <w:p>
      <w:pPr>
        <w:pStyle w:val="BodyText"/>
      </w:pPr>
      <w:r>
        <w:t xml:space="preserve">Elle hérite de la Phase 8 ses agents.</w:t>
      </w:r>
    </w:p>
    <w:p>
      <w:pPr>
        <w:pStyle w:val="BodyText"/>
      </w:pPr>
      <w:r>
        <w:t xml:space="preserve">Elle hérite de la Phase 9 sa gouvernance IA.</w:t>
      </w:r>
    </w:p>
    <w:p>
      <w:pPr>
        <w:pStyle w:val="BodyText"/>
      </w:pPr>
      <w:r>
        <w:t xml:space="preserve">Elle hérite de la Phase 10 son LLMOps.</w:t>
      </w:r>
    </w:p>
    <w:p>
      <w:pPr>
        <w:pStyle w:val="BodyText"/>
      </w:pPr>
      <w:r>
        <w:t xml:space="preserve">Elle hérite de la Phase 11 ses modules métier.</w:t>
      </w:r>
    </w:p>
    <w:p>
      <w:pPr>
        <w:pStyle w:val="BodyText"/>
      </w:pPr>
      <w:r>
        <w:t xml:space="preserve">Elle hérite de la Phase 12 ses applications.</w:t>
      </w:r>
    </w:p>
    <w:p>
      <w:pPr>
        <w:pStyle w:val="BodyText"/>
      </w:pPr>
      <w:r>
        <w:t xml:space="preserve">Elle hérite de la Phase 13 ses dashboards.</w:t>
      </w:r>
    </w:p>
    <w:p>
      <w:pPr>
        <w:pStyle w:val="BodyText"/>
      </w:pPr>
      <w:r>
        <w:t xml:space="preserve">Elle hérite de la Phase 14 ses Command Centers.</w:t>
      </w:r>
    </w:p>
    <w:p>
      <w:pPr>
        <w:pStyle w:val="BodyText"/>
      </w:pPr>
      <w:r>
        <w:t xml:space="preserve">Elle ajoute une nouvelle couche : l’aide institutionnelle à la décision gouvernée.</w:t>
      </w:r>
    </w:p>
    <w:p>
      <w:r>
        <w:pict>
          <v:rect style="width:0;height:1.5pt" o:hralign="center" o:hrstd="t" o:hr="t"/>
        </w:pict>
      </w:r>
    </w:p>
    <w:bookmarkEnd w:id="67"/>
    <w:bookmarkEnd w:id="68"/>
    <w:bookmarkStart w:id="70" w:name="chapitre-220"/>
    <w:p>
      <w:pPr>
        <w:pStyle w:val="Heading1"/>
      </w:pPr>
      <w:r>
        <w:t xml:space="preserve">Chapitre 220</w:t>
      </w:r>
    </w:p>
    <w:bookmarkStart w:id="69" w:name="Xb400075fdcce847d38e75a00a3080f47e0b21c4"/>
    <w:p>
      <w:pPr>
        <w:pStyle w:val="Heading2"/>
      </w:pPr>
      <w:r>
        <w:t xml:space="preserve">Les documents structurants de la Phase 15</w:t>
      </w:r>
    </w:p>
    <w:p>
      <w:pPr>
        <w:pStyle w:val="FirstParagraph"/>
      </w:pPr>
      <w:r>
        <w:t xml:space="preserve">La Phase 15 doit produire les cadres suivants :</w:t>
      </w:r>
    </w:p>
    <w:p>
      <w:pPr>
        <w:pStyle w:val="Compact"/>
        <w:numPr>
          <w:ilvl w:val="0"/>
          <w:numId w:val="1012"/>
        </w:numPr>
      </w:pPr>
      <w:r>
        <w:t xml:space="preserve">INSTITUTIONAL_DECISION_SUPPORT_FOUNDATION_FRAMEWORK_V1.md ;</w:t>
      </w:r>
    </w:p>
    <w:p>
      <w:pPr>
        <w:pStyle w:val="Compact"/>
        <w:numPr>
          <w:ilvl w:val="0"/>
          <w:numId w:val="1012"/>
        </w:numPr>
      </w:pPr>
      <w:r>
        <w:t xml:space="preserve">DECISION_SUPPORT_CONCEPTUAL_MODEL_V1.md ;</w:t>
      </w:r>
    </w:p>
    <w:p>
      <w:pPr>
        <w:pStyle w:val="Compact"/>
        <w:numPr>
          <w:ilvl w:val="0"/>
          <w:numId w:val="1012"/>
        </w:numPr>
      </w:pPr>
      <w:r>
        <w:t xml:space="preserve">DECISION_SUPPORT_REGISTRY_V1.md ;</w:t>
      </w:r>
    </w:p>
    <w:p>
      <w:pPr>
        <w:pStyle w:val="Compact"/>
        <w:numPr>
          <w:ilvl w:val="0"/>
          <w:numId w:val="1012"/>
        </w:numPr>
      </w:pPr>
      <w:r>
        <w:t xml:space="preserve">DECISION_SUPPORT_CLASSIFICATION_FRAMEWORK_V1.md ;</w:t>
      </w:r>
    </w:p>
    <w:p>
      <w:pPr>
        <w:pStyle w:val="Compact"/>
        <w:numPr>
          <w:ilvl w:val="0"/>
          <w:numId w:val="1012"/>
        </w:numPr>
      </w:pPr>
      <w:r>
        <w:t xml:space="preserve">DECISION_SUPPORT_BOUNDARIES_FRAMEWORK_V1.md ;</w:t>
      </w:r>
    </w:p>
    <w:p>
      <w:pPr>
        <w:pStyle w:val="Compact"/>
        <w:numPr>
          <w:ilvl w:val="0"/>
          <w:numId w:val="1012"/>
        </w:numPr>
      </w:pPr>
      <w:r>
        <w:t xml:space="preserve">ALERT_TO_DECISION_CHAIN_FRAMEWORK_V1.md ;</w:t>
      </w:r>
    </w:p>
    <w:p>
      <w:pPr>
        <w:pStyle w:val="Compact"/>
        <w:numPr>
          <w:ilvl w:val="0"/>
          <w:numId w:val="1012"/>
        </w:numPr>
      </w:pPr>
      <w:r>
        <w:t xml:space="preserve">RECOMMENDATION_GOVERNANCE_FRAMEWORK_V1.md ;</w:t>
      </w:r>
    </w:p>
    <w:p>
      <w:pPr>
        <w:pStyle w:val="Compact"/>
        <w:numPr>
          <w:ilvl w:val="0"/>
          <w:numId w:val="1012"/>
        </w:numPr>
      </w:pPr>
      <w:r>
        <w:t xml:space="preserve">SCENARIO_GOVERNANCE_FRAMEWORK_V1.md ;</w:t>
      </w:r>
    </w:p>
    <w:p>
      <w:pPr>
        <w:pStyle w:val="Compact"/>
        <w:numPr>
          <w:ilvl w:val="0"/>
          <w:numId w:val="1012"/>
        </w:numPr>
      </w:pPr>
      <w:r>
        <w:t xml:space="preserve">SCORING_GOVERNANCE_FRAMEWORK_V1.md ;</w:t>
      </w:r>
    </w:p>
    <w:p>
      <w:pPr>
        <w:pStyle w:val="Compact"/>
        <w:numPr>
          <w:ilvl w:val="0"/>
          <w:numId w:val="1012"/>
        </w:numPr>
      </w:pPr>
      <w:r>
        <w:t xml:space="preserve">PRIORITIZATION_GOVERNANCE_FRAMEWORK_V1.md ;</w:t>
      </w:r>
    </w:p>
    <w:p>
      <w:pPr>
        <w:pStyle w:val="Compact"/>
        <w:numPr>
          <w:ilvl w:val="0"/>
          <w:numId w:val="1012"/>
        </w:numPr>
      </w:pPr>
      <w:r>
        <w:t xml:space="preserve">HUMAN_DECISION_AUTHORITY_FRAMEWORK_V1.md ;</w:t>
      </w:r>
    </w:p>
    <w:p>
      <w:pPr>
        <w:pStyle w:val="Compact"/>
        <w:numPr>
          <w:ilvl w:val="0"/>
          <w:numId w:val="1012"/>
        </w:numPr>
      </w:pPr>
      <w:r>
        <w:t xml:space="preserve">HUMAN_DECISION_LOG_FRAMEWORK_V1.md ;</w:t>
      </w:r>
    </w:p>
    <w:p>
      <w:pPr>
        <w:pStyle w:val="Compact"/>
        <w:numPr>
          <w:ilvl w:val="0"/>
          <w:numId w:val="1012"/>
        </w:numPr>
      </w:pPr>
      <w:r>
        <w:t xml:space="preserve">DECISION_NOTE_TEMPLATE_FRAMEWORK_V1.md ;</w:t>
      </w:r>
    </w:p>
    <w:p>
      <w:pPr>
        <w:pStyle w:val="Compact"/>
        <w:numPr>
          <w:ilvl w:val="0"/>
          <w:numId w:val="1012"/>
        </w:numPr>
      </w:pPr>
      <w:r>
        <w:t xml:space="preserve">DECISION_EXPLAINABILITY_FRAMEWORK_V1.md ;</w:t>
      </w:r>
    </w:p>
    <w:p>
      <w:pPr>
        <w:pStyle w:val="Compact"/>
        <w:numPr>
          <w:ilvl w:val="0"/>
          <w:numId w:val="1012"/>
        </w:numPr>
      </w:pPr>
      <w:r>
        <w:t xml:space="preserve">DECISION_AUDITABILITY_FRAMEWORK_V1.md ;</w:t>
      </w:r>
    </w:p>
    <w:p>
      <w:pPr>
        <w:pStyle w:val="Compact"/>
        <w:numPr>
          <w:ilvl w:val="0"/>
          <w:numId w:val="1012"/>
        </w:numPr>
      </w:pPr>
      <w:r>
        <w:t xml:space="preserve">DECISION_CONTESTABILITY_FRAMEWORK_V1.md ;</w:t>
      </w:r>
    </w:p>
    <w:p>
      <w:pPr>
        <w:pStyle w:val="Compact"/>
        <w:numPr>
          <w:ilvl w:val="0"/>
          <w:numId w:val="1012"/>
        </w:numPr>
      </w:pPr>
      <w:r>
        <w:t xml:space="preserve">DECISION_SUPPORT_RISK_FRAMEWORK_V1.md ;</w:t>
      </w:r>
    </w:p>
    <w:p>
      <w:pPr>
        <w:pStyle w:val="Compact"/>
        <w:numPr>
          <w:ilvl w:val="0"/>
          <w:numId w:val="1012"/>
        </w:numPr>
      </w:pPr>
      <w:r>
        <w:t xml:space="preserve">DECISION_SUPPORT_SECURITY_FRAMEWORK_V1.md ;</w:t>
      </w:r>
    </w:p>
    <w:p>
      <w:pPr>
        <w:pStyle w:val="Compact"/>
        <w:numPr>
          <w:ilvl w:val="0"/>
          <w:numId w:val="1012"/>
        </w:numPr>
      </w:pPr>
      <w:r>
        <w:t xml:space="preserve">DECISION_SUPPORT_OBSERVABILITY_FRAMEWORK_V1.md ;</w:t>
      </w:r>
    </w:p>
    <w:p>
      <w:pPr>
        <w:pStyle w:val="Compact"/>
        <w:numPr>
          <w:ilvl w:val="0"/>
          <w:numId w:val="1012"/>
        </w:numPr>
      </w:pPr>
      <w:r>
        <w:t xml:space="preserve">DECISION_SUPPORT_MATURITY_MODEL_V1.md ;</w:t>
      </w:r>
    </w:p>
    <w:p>
      <w:pPr>
        <w:pStyle w:val="Compact"/>
        <w:numPr>
          <w:ilvl w:val="0"/>
          <w:numId w:val="1012"/>
        </w:numPr>
      </w:pPr>
      <w:r>
        <w:t xml:space="preserve">DECISION_SUPPORT_CONTINUITY_AND_LOCAL_SYNC_PROTOCOL_V1.md ;</w:t>
      </w:r>
    </w:p>
    <w:p>
      <w:pPr>
        <w:pStyle w:val="Compact"/>
        <w:numPr>
          <w:ilvl w:val="0"/>
          <w:numId w:val="1012"/>
        </w:numPr>
      </w:pPr>
      <w:r>
        <w:t xml:space="preserve">STRATEGIC_DECISION_SUPPORT_FRAMEWORK_V1.md ;</w:t>
      </w:r>
    </w:p>
    <w:p>
      <w:pPr>
        <w:pStyle w:val="Compact"/>
        <w:numPr>
          <w:ilvl w:val="0"/>
          <w:numId w:val="1012"/>
        </w:numPr>
      </w:pPr>
      <w:r>
        <w:t xml:space="preserve">JUDICIAL_DECISION_SUPPORT_LIMITS_FRAMEWORK_V1.md ;</w:t>
      </w:r>
    </w:p>
    <w:p>
      <w:pPr>
        <w:pStyle w:val="Compact"/>
        <w:numPr>
          <w:ilvl w:val="0"/>
          <w:numId w:val="1012"/>
        </w:numPr>
      </w:pPr>
      <w:r>
        <w:t xml:space="preserve">PHASE_15_COMPLETION_REPORT_V1.md ;</w:t>
      </w:r>
    </w:p>
    <w:p>
      <w:pPr>
        <w:pStyle w:val="Compact"/>
        <w:numPr>
          <w:ilvl w:val="0"/>
          <w:numId w:val="1012"/>
        </w:numPr>
      </w:pPr>
      <w:r>
        <w:t xml:space="preserve">PROMPT_MERE_PHASE_16_MVP_IMPLEMENTATION_FOUNDATION_V1.md.</w:t>
      </w:r>
    </w:p>
    <w:p>
      <w:pPr>
        <w:pStyle w:val="FirstParagraph"/>
      </w:pPr>
      <w:r>
        <w:t xml:space="preserve">Ces documents permettent de préparer une aide institutionnelle à la décision sans automatiser la décision.</w:t>
      </w:r>
    </w:p>
    <w:p>
      <w:r>
        <w:pict>
          <v:rect style="width:0;height:1.5pt" o:hralign="center" o:hrstd="t" o:hr="t"/>
        </w:pict>
      </w:r>
    </w:p>
    <w:bookmarkEnd w:id="69"/>
    <w:bookmarkEnd w:id="70"/>
    <w:bookmarkStart w:id="72" w:name="chapitre-221"/>
    <w:p>
      <w:pPr>
        <w:pStyle w:val="Heading1"/>
      </w:pPr>
      <w:r>
        <w:t xml:space="preserve">Chapitre 221</w:t>
      </w:r>
    </w:p>
    <w:bookmarkStart w:id="71" w:name="les-résultats-attendus"/>
    <w:p>
      <w:pPr>
        <w:pStyle w:val="Heading2"/>
      </w:pPr>
      <w:r>
        <w:t xml:space="preserve">Les résultats attendus</w:t>
      </w:r>
    </w:p>
    <w:p>
      <w:pPr>
        <w:pStyle w:val="FirstParagraph"/>
      </w:pPr>
      <w:r>
        <w:t xml:space="preserve">À l’issue de la Phase 15, CS GREFFE OS devra disposer d’une fondation claire pour l’aide institutionnelle à la décision.</w:t>
      </w:r>
    </w:p>
    <w:p>
      <w:pPr>
        <w:pStyle w:val="BodyText"/>
      </w:pPr>
      <w:r>
        <w:t xml:space="preserve">Chaque mécanisme d’aide devra être :</w:t>
      </w:r>
    </w:p>
    <w:p>
      <w:pPr>
        <w:pStyle w:val="Compact"/>
        <w:numPr>
          <w:ilvl w:val="0"/>
          <w:numId w:val="1013"/>
        </w:numPr>
      </w:pPr>
      <w:r>
        <w:t xml:space="preserve">identifié ;</w:t>
      </w:r>
    </w:p>
    <w:p>
      <w:pPr>
        <w:pStyle w:val="Compact"/>
        <w:numPr>
          <w:ilvl w:val="0"/>
          <w:numId w:val="1013"/>
        </w:numPr>
      </w:pPr>
      <w:r>
        <w:t xml:space="preserve">défini ;</w:t>
      </w:r>
    </w:p>
    <w:p>
      <w:pPr>
        <w:pStyle w:val="Compact"/>
        <w:numPr>
          <w:ilvl w:val="0"/>
          <w:numId w:val="1013"/>
        </w:numPr>
      </w:pPr>
      <w:r>
        <w:t xml:space="preserve">classifié ;</w:t>
      </w:r>
    </w:p>
    <w:p>
      <w:pPr>
        <w:pStyle w:val="Compact"/>
        <w:numPr>
          <w:ilvl w:val="0"/>
          <w:numId w:val="1013"/>
        </w:numPr>
      </w:pPr>
      <w:r>
        <w:t xml:space="preserve">rattaché à des Command Centers ;</w:t>
      </w:r>
    </w:p>
    <w:p>
      <w:pPr>
        <w:pStyle w:val="Compact"/>
        <w:numPr>
          <w:ilvl w:val="0"/>
          <w:numId w:val="1013"/>
        </w:numPr>
      </w:pPr>
      <w:r>
        <w:t xml:space="preserve">rattaché à des dashboards ;</w:t>
      </w:r>
    </w:p>
    <w:p>
      <w:pPr>
        <w:pStyle w:val="Compact"/>
        <w:numPr>
          <w:ilvl w:val="0"/>
          <w:numId w:val="1013"/>
        </w:numPr>
      </w:pPr>
      <w:r>
        <w:t xml:space="preserve">rattaché à des métriques ;</w:t>
      </w:r>
    </w:p>
    <w:p>
      <w:pPr>
        <w:pStyle w:val="Compact"/>
        <w:numPr>
          <w:ilvl w:val="0"/>
          <w:numId w:val="1013"/>
        </w:numPr>
      </w:pPr>
      <w:r>
        <w:t xml:space="preserve">rattaché à des sources ;</w:t>
      </w:r>
    </w:p>
    <w:p>
      <w:pPr>
        <w:pStyle w:val="Compact"/>
        <w:numPr>
          <w:ilvl w:val="0"/>
          <w:numId w:val="1013"/>
        </w:numPr>
      </w:pPr>
      <w:r>
        <w:t xml:space="preserve">rattaché à des scénarios ;</w:t>
      </w:r>
    </w:p>
    <w:p>
      <w:pPr>
        <w:pStyle w:val="Compact"/>
        <w:numPr>
          <w:ilvl w:val="0"/>
          <w:numId w:val="1013"/>
        </w:numPr>
      </w:pPr>
      <w:r>
        <w:t xml:space="preserve">rattaché à des recommandations éventuelles ;</w:t>
      </w:r>
    </w:p>
    <w:p>
      <w:pPr>
        <w:pStyle w:val="Compact"/>
        <w:numPr>
          <w:ilvl w:val="0"/>
          <w:numId w:val="1013"/>
        </w:numPr>
      </w:pPr>
      <w:r>
        <w:t xml:space="preserve">rattaché à des responsabilités humaines ;</w:t>
      </w:r>
    </w:p>
    <w:p>
      <w:pPr>
        <w:pStyle w:val="Compact"/>
        <w:numPr>
          <w:ilvl w:val="0"/>
          <w:numId w:val="1013"/>
        </w:numPr>
      </w:pPr>
      <w:r>
        <w:t xml:space="preserve">rattaché à des limites d’usage ;</w:t>
      </w:r>
    </w:p>
    <w:p>
      <w:pPr>
        <w:pStyle w:val="Compact"/>
        <w:numPr>
          <w:ilvl w:val="0"/>
          <w:numId w:val="1013"/>
        </w:numPr>
      </w:pPr>
      <w:r>
        <w:t xml:space="preserve">rattaché à une traçabilité ;</w:t>
      </w:r>
    </w:p>
    <w:p>
      <w:pPr>
        <w:pStyle w:val="Compact"/>
        <w:numPr>
          <w:ilvl w:val="0"/>
          <w:numId w:val="1013"/>
        </w:numPr>
      </w:pPr>
      <w:r>
        <w:t xml:space="preserve">rattaché à une possibilité de contestation ;</w:t>
      </w:r>
    </w:p>
    <w:p>
      <w:pPr>
        <w:pStyle w:val="Compact"/>
        <w:numPr>
          <w:ilvl w:val="0"/>
          <w:numId w:val="1013"/>
        </w:numPr>
      </w:pPr>
      <w:r>
        <w:t xml:space="preserve">rattaché à un journal de décision humaine.</w:t>
      </w:r>
    </w:p>
    <w:p>
      <w:pPr>
        <w:pStyle w:val="FirstParagraph"/>
      </w:pPr>
      <w:r>
        <w:t xml:space="preserve">La Phase 15 devra aussi confirmer que le dossier</w:t>
      </w:r>
      <w:r>
        <w:t xml:space="preserve"> </w:t>
      </w:r>
      <w:r>
        <w:rPr>
          <w:rStyle w:val="VerbatimChar"/>
        </w:rPr>
        <w:t xml:space="preserve">26_DECISION_SUPPORT/</w:t>
      </w:r>
      <w:r>
        <w:t xml:space="preserve"> </w:t>
      </w:r>
      <w:r>
        <w:t xml:space="preserve">est versionné, indexé et récupérable localement par</w:t>
      </w:r>
      <w:r>
        <w:t xml:space="preserve"> </w:t>
      </w:r>
      <w:r>
        <w:rPr>
          <w:rStyle w:val="VerbatimChar"/>
        </w:rPr>
        <w:t xml:space="preserve">git pull</w:t>
      </w:r>
      <w:r>
        <w:t xml:space="preserve">.</w:t>
      </w:r>
    </w:p>
    <w:p>
      <w:r>
        <w:pict>
          <v:rect style="width:0;height:1.5pt" o:hralign="center" o:hrstd="t" o:hr="t"/>
        </w:pict>
      </w:r>
    </w:p>
    <w:bookmarkEnd w:id="71"/>
    <w:bookmarkEnd w:id="72"/>
    <w:bookmarkStart w:id="74" w:name="chapitre-222"/>
    <w:p>
      <w:pPr>
        <w:pStyle w:val="Heading1"/>
      </w:pPr>
      <w:r>
        <w:t xml:space="preserve">Chapitre 222</w:t>
      </w:r>
    </w:p>
    <w:bookmarkStart w:id="73" w:name="enseignements-méthodologiques"/>
    <w:p>
      <w:pPr>
        <w:pStyle w:val="Heading2"/>
      </w:pPr>
      <w:r>
        <w:t xml:space="preserve">Enseignements méthodologiques</w:t>
      </w:r>
    </w:p>
    <w:p>
      <w:pPr>
        <w:pStyle w:val="FirstParagraph"/>
      </w:pPr>
      <w:r>
        <w:t xml:space="preserve">La Phase 15 apporte une leçon majeure à Living Governance Engineering.</w:t>
      </w:r>
    </w:p>
    <w:p>
      <w:pPr>
        <w:pStyle w:val="BodyText"/>
      </w:pPr>
      <w:r>
        <w:t xml:space="preserve">Le système peut aider l’humain à décider.</w:t>
      </w:r>
    </w:p>
    <w:p>
      <w:pPr>
        <w:pStyle w:val="BodyText"/>
      </w:pPr>
      <w:r>
        <w:t xml:space="preserve">Mais il ne doit pas décider à sa place.</w:t>
      </w:r>
    </w:p>
    <w:p>
      <w:pPr>
        <w:pStyle w:val="BodyText"/>
      </w:pPr>
      <w:r>
        <w:t xml:space="preserve">L’IA peut éclairer.</w:t>
      </w:r>
    </w:p>
    <w:p>
      <w:pPr>
        <w:pStyle w:val="BodyText"/>
      </w:pPr>
      <w:r>
        <w:t xml:space="preserve">Mais elle ne doit pas gouverner.</w:t>
      </w:r>
    </w:p>
    <w:p>
      <w:pPr>
        <w:pStyle w:val="BodyText"/>
      </w:pPr>
      <w:r>
        <w:t xml:space="preserve">Le dashboard peut alerter.</w:t>
      </w:r>
    </w:p>
    <w:p>
      <w:pPr>
        <w:pStyle w:val="BodyText"/>
      </w:pPr>
      <w:r>
        <w:t xml:space="preserve">Mais il ne doit pas ordonner.</w:t>
      </w:r>
    </w:p>
    <w:p>
      <w:pPr>
        <w:pStyle w:val="BodyText"/>
      </w:pPr>
      <w:r>
        <w:t xml:space="preserve">Le Command Center peut coordonner.</w:t>
      </w:r>
    </w:p>
    <w:p>
      <w:pPr>
        <w:pStyle w:val="BodyText"/>
      </w:pPr>
      <w:r>
        <w:t xml:space="preserve">Mais il ne doit pas se substituer à l’autorité.</w:t>
      </w:r>
    </w:p>
    <w:p>
      <w:pPr>
        <w:pStyle w:val="BodyText"/>
      </w:pPr>
      <w:r>
        <w:t xml:space="preserve">La recommandation peut orienter.</w:t>
      </w:r>
    </w:p>
    <w:p>
      <w:pPr>
        <w:pStyle w:val="BodyText"/>
      </w:pPr>
      <w:r>
        <w:t xml:space="preserve">Mais elle doit rester contestable.</w:t>
      </w:r>
    </w:p>
    <w:p>
      <w:pPr>
        <w:pStyle w:val="BodyText"/>
      </w:pPr>
      <w:r>
        <w:t xml:space="preserve">La décision humaine doit demeurer le point final de la chaîne institutionnelle.</w:t>
      </w:r>
    </w:p>
    <w:p>
      <w:r>
        <w:pict>
          <v:rect style="width:0;height:1.5pt" o:hralign="center" o:hrstd="t" o:hr="t"/>
        </w:pict>
      </w:r>
    </w:p>
    <w:bookmarkEnd w:id="73"/>
    <w:bookmarkEnd w:id="74"/>
    <w:bookmarkStart w:id="76" w:name="chapitre-223"/>
    <w:p>
      <w:pPr>
        <w:pStyle w:val="Heading1"/>
      </w:pPr>
      <w:r>
        <w:t xml:space="preserve">Chapitre 223</w:t>
      </w:r>
    </w:p>
    <w:bookmarkStart w:id="75" w:name="transition-vers-la-phase-16"/>
    <w:p>
      <w:pPr>
        <w:pStyle w:val="Heading2"/>
      </w:pPr>
      <w:r>
        <w:t xml:space="preserve">Transition vers la Phase 16</w:t>
      </w:r>
    </w:p>
    <w:p>
      <w:pPr>
        <w:pStyle w:val="FirstParagraph"/>
      </w:pPr>
      <w:r>
        <w:t xml:space="preserve">Une fois l’aide institutionnelle à la décision encadrée, une nouvelle étape devient possible.</w:t>
      </w:r>
    </w:p>
    <w:p>
      <w:pPr>
        <w:pStyle w:val="BodyText"/>
      </w:pPr>
      <w:r>
        <w:t xml:space="preserve">Le projet peut commencer à préparer son passage vers une première mise en œuvre contrôlée.</w:t>
      </w:r>
    </w:p>
    <w:p>
      <w:pPr>
        <w:pStyle w:val="BodyText"/>
      </w:pPr>
      <w:r>
        <w:t xml:space="preserve">Mais cette mise en œuvre ne doit pas être comprise comme un déploiement complet.</w:t>
      </w:r>
    </w:p>
    <w:p>
      <w:pPr>
        <w:pStyle w:val="BodyText"/>
      </w:pPr>
      <w:r>
        <w:t xml:space="preserve">Elle doit être comprise comme une fondation MVP.</w:t>
      </w:r>
    </w:p>
    <w:p>
      <w:pPr>
        <w:pStyle w:val="BodyText"/>
      </w:pPr>
      <w:r>
        <w:t xml:space="preserve">La Phase 16 devra donc répondre à une nouvelle question :</w:t>
      </w:r>
    </w:p>
    <w:p>
      <w:pPr>
        <w:pStyle w:val="BodyText"/>
      </w:pPr>
      <w:r>
        <w:t xml:space="preserve">Comment transformer l’architecture documentaire gouvernée en premier MVP contrôlé, limité, testable, non sensible et conforme aux principes de Living Governance Engineering ?</w:t>
      </w:r>
    </w:p>
    <w:p>
      <w:pPr>
        <w:pStyle w:val="BodyText"/>
      </w:pPr>
      <w:r>
        <w:t xml:space="preserve">Cette question ouvre la voie à :</w:t>
      </w:r>
    </w:p>
    <w:bookmarkEnd w:id="75"/>
    <w:bookmarkEnd w:id="76"/>
    <w:bookmarkStart w:id="77" w:name="phase-16-mvp-implementation-foundation"/>
    <w:p>
      <w:pPr>
        <w:pStyle w:val="Heading1"/>
      </w:pPr>
      <w:r>
        <w:t xml:space="preserve">PHASE 16 — MVP IMPLEMENTATION FOUNDATION</w:t>
      </w:r>
    </w:p>
    <w:p>
      <w:r>
        <w:pict>
          <v:rect style="width:0;height:1.5pt" o:hralign="center" o:hrstd="t" o:hr="t"/>
        </w:pict>
      </w:r>
    </w:p>
    <w:bookmarkEnd w:id="77"/>
    <w:bookmarkStart w:id="79" w:name="chapitre-224"/>
    <w:p>
      <w:pPr>
        <w:pStyle w:val="Heading1"/>
      </w:pPr>
      <w:r>
        <w:t xml:space="preserve">Chapitre 224</w:t>
      </w:r>
    </w:p>
    <w:bookmarkStart w:id="78" w:name="X62c05960c392dd201cb83562b5e24e5b286cb63"/>
    <w:p>
      <w:pPr>
        <w:pStyle w:val="Heading2"/>
      </w:pPr>
      <w:r>
        <w:t xml:space="preserve">PROMPT MÈRE VÉRIFIÉ — PHASE 15 : INSTITUTIONAL DECISION SUPPORT FOUNDATION</w:t>
      </w:r>
    </w:p>
    <w:bookmarkEnd w:id="78"/>
    <w:bookmarkEnd w:id="79"/>
    <w:bookmarkStart w:id="81" w:name="X88d40aee989b8679d00021948c63da38ff5dccc"/>
    <w:p>
      <w:pPr>
        <w:pStyle w:val="Heading1"/>
      </w:pPr>
      <w:r>
        <w:t xml:space="preserve">CS GREFFE OS — Strategic Greffe Governance Command Center</w:t>
      </w:r>
    </w:p>
    <w:bookmarkStart w:id="80" w:name="living-governance-engineering"/>
    <w:p>
      <w:pPr>
        <w:pStyle w:val="Heading2"/>
      </w:pPr>
      <w:r>
        <w:t xml:space="preserve">Living Governance Engineering</w:t>
      </w:r>
    </w:p>
    <w:p>
      <w:r>
        <w:pict>
          <v:rect style="width:0;height:1.5pt" o:hralign="center" o:hrstd="t" o:hr="t"/>
        </w:pict>
      </w:r>
    </w:p>
    <w:bookmarkEnd w:id="80"/>
    <w:bookmarkEnd w:id="81"/>
    <w:bookmarkStart w:id="82" w:name="contexte"/>
    <w:p>
      <w:pPr>
        <w:pStyle w:val="Heading1"/>
      </w:pPr>
      <w:r>
        <w:t xml:space="preserve">CONTEXTE</w:t>
      </w:r>
    </w:p>
    <w:p>
      <w:pPr>
        <w:pStyle w:val="FirstParagraph"/>
      </w:pPr>
      <w:r>
        <w:t xml:space="preserve">Tu es Codex.</w:t>
      </w:r>
    </w:p>
    <w:p>
      <w:pPr>
        <w:pStyle w:val="BodyText"/>
      </w:pPr>
      <w:r>
        <w:t xml:space="preserve">Tu travailles sur :</w:t>
      </w:r>
    </w:p>
    <w:bookmarkEnd w:id="82"/>
    <w:bookmarkStart w:id="83" w:name="X66473995df0efef41bcb4462f35045b0c0f82c1"/>
    <w:p>
      <w:pPr>
        <w:pStyle w:val="Heading1"/>
      </w:pPr>
      <w:r>
        <w:t xml:space="preserve">CS GREFFE OS — Strategic Greffe Governance Command Center</w:t>
      </w:r>
    </w:p>
    <w:p>
      <w:pPr>
        <w:pStyle w:val="FirstParagraph"/>
      </w:pPr>
      <w:r>
        <w:t xml:space="preserve">dans le cadre méthodologique :</w:t>
      </w:r>
    </w:p>
    <w:bookmarkEnd w:id="83"/>
    <w:bookmarkStart w:id="84" w:name="living-governance-engineering."/>
    <w:p>
      <w:pPr>
        <w:pStyle w:val="Heading1"/>
      </w:pPr>
      <w:r>
        <w:t xml:space="preserve">Living Governance Engineering.</w:t>
      </w:r>
    </w:p>
    <w:p>
      <w:pPr>
        <w:pStyle w:val="FirstParagraph"/>
      </w:pPr>
      <w:r>
        <w:t xml:space="preserve">Les phases suivantes sont considérées comme terminées :</w:t>
      </w:r>
    </w:p>
    <w:p>
      <w:pPr>
        <w:pStyle w:val="SourceCode"/>
      </w:pPr>
      <w:r>
        <w:rPr>
          <w:rStyle w:val="VerbatimChar"/>
        </w:rPr>
        <w:t xml:space="preserve">PHASE 0</w:t>
      </w:r>
      <w:r>
        <w:br/>
      </w:r>
      <w:r>
        <w:rPr>
          <w:rStyle w:val="VerbatimChar"/>
        </w:rPr>
        <w:t xml:space="preserve">Foundation</w:t>
      </w:r>
      <w:r>
        <w:br/>
      </w:r>
      <w:r>
        <w:rPr>
          <w:rStyle w:val="VerbatimChar"/>
        </w:rPr>
        <w:t xml:space="preserve">✓</w:t>
      </w:r>
      <w:r>
        <w:br/>
      </w:r>
      <w:r>
        <w:br/>
      </w:r>
      <w:r>
        <w:rPr>
          <w:rStyle w:val="VerbatimChar"/>
        </w:rPr>
        <w:t xml:space="preserve">PHASE 1</w:t>
      </w:r>
      <w:r>
        <w:br/>
      </w:r>
      <w:r>
        <w:rPr>
          <w:rStyle w:val="VerbatimChar"/>
        </w:rPr>
        <w:t xml:space="preserve">Living Memory</w:t>
      </w:r>
      <w:r>
        <w:br/>
      </w:r>
      <w:r>
        <w:rPr>
          <w:rStyle w:val="VerbatimChar"/>
        </w:rPr>
        <w:t xml:space="preserve">✓</w:t>
      </w:r>
      <w:r>
        <w:br/>
      </w:r>
      <w:r>
        <w:br/>
      </w:r>
      <w:r>
        <w:rPr>
          <w:rStyle w:val="VerbatimChar"/>
        </w:rPr>
        <w:t xml:space="preserve">PHASE 2</w:t>
      </w:r>
      <w:r>
        <w:br/>
      </w:r>
      <w:r>
        <w:rPr>
          <w:rStyle w:val="VerbatimChar"/>
        </w:rPr>
        <w:t xml:space="preserve">Platform Skeleton</w:t>
      </w:r>
      <w:r>
        <w:br/>
      </w:r>
      <w:r>
        <w:rPr>
          <w:rStyle w:val="VerbatimChar"/>
        </w:rPr>
        <w:t xml:space="preserve">✓</w:t>
      </w:r>
      <w:r>
        <w:br/>
      </w:r>
      <w:r>
        <w:br/>
      </w:r>
      <w:r>
        <w:rPr>
          <w:rStyle w:val="VerbatimChar"/>
        </w:rPr>
        <w:t xml:space="preserve">PHASE 3</w:t>
      </w:r>
      <w:r>
        <w:br/>
      </w:r>
      <w:r>
        <w:rPr>
          <w:rStyle w:val="VerbatimChar"/>
        </w:rPr>
        <w:t xml:space="preserve">Knowledge Foundation</w:t>
      </w:r>
      <w:r>
        <w:br/>
      </w:r>
      <w:r>
        <w:rPr>
          <w:rStyle w:val="VerbatimChar"/>
        </w:rPr>
        <w:t xml:space="preserve">✓</w:t>
      </w:r>
      <w:r>
        <w:br/>
      </w:r>
      <w:r>
        <w:br/>
      </w:r>
      <w:r>
        <w:rPr>
          <w:rStyle w:val="VerbatimChar"/>
        </w:rPr>
        <w:t xml:space="preserve">PHASE 4</w:t>
      </w:r>
      <w:r>
        <w:br/>
      </w:r>
      <w:r>
        <w:rPr>
          <w:rStyle w:val="VerbatimChar"/>
        </w:rPr>
        <w:t xml:space="preserve">Justice Data Governance Office</w:t>
      </w:r>
      <w:r>
        <w:br/>
      </w:r>
      <w:r>
        <w:rPr>
          <w:rStyle w:val="VerbatimChar"/>
        </w:rPr>
        <w:t xml:space="preserve">✓</w:t>
      </w:r>
      <w:r>
        <w:br/>
      </w:r>
      <w:r>
        <w:br/>
      </w:r>
      <w:r>
        <w:rPr>
          <w:rStyle w:val="VerbatimChar"/>
        </w:rPr>
        <w:t xml:space="preserve">PHASE 5</w:t>
      </w:r>
      <w:r>
        <w:br/>
      </w:r>
      <w:r>
        <w:rPr>
          <w:rStyle w:val="VerbatimChar"/>
        </w:rPr>
        <w:t xml:space="preserve">Governed Judicial Data Platform</w:t>
      </w:r>
      <w:r>
        <w:br/>
      </w:r>
      <w:r>
        <w:rPr>
          <w:rStyle w:val="VerbatimChar"/>
        </w:rPr>
        <w:t xml:space="preserve">✓</w:t>
      </w:r>
      <w:r>
        <w:br/>
      </w:r>
      <w:r>
        <w:br/>
      </w:r>
      <w:r>
        <w:rPr>
          <w:rStyle w:val="VerbatimChar"/>
        </w:rPr>
        <w:t xml:space="preserve">PHASE 6</w:t>
      </w:r>
      <w:r>
        <w:br/>
      </w:r>
      <w:r>
        <w:rPr>
          <w:rStyle w:val="VerbatimChar"/>
        </w:rPr>
        <w:t xml:space="preserve">Snowflake Semantic Layer</w:t>
      </w:r>
      <w:r>
        <w:br/>
      </w:r>
      <w:r>
        <w:rPr>
          <w:rStyle w:val="VerbatimChar"/>
        </w:rPr>
        <w:t xml:space="preserve">✓</w:t>
      </w:r>
      <w:r>
        <w:br/>
      </w:r>
      <w:r>
        <w:br/>
      </w:r>
      <w:r>
        <w:rPr>
          <w:rStyle w:val="VerbatimChar"/>
        </w:rPr>
        <w:t xml:space="preserve">PHASE 7</w:t>
      </w:r>
      <w:r>
        <w:br/>
      </w:r>
      <w:r>
        <w:rPr>
          <w:rStyle w:val="VerbatimChar"/>
        </w:rPr>
        <w:t xml:space="preserve">RAG Foundation</w:t>
      </w:r>
      <w:r>
        <w:br/>
      </w:r>
      <w:r>
        <w:rPr>
          <w:rStyle w:val="VerbatimChar"/>
        </w:rPr>
        <w:t xml:space="preserve">✓</w:t>
      </w:r>
      <w:r>
        <w:br/>
      </w:r>
      <w:r>
        <w:br/>
      </w:r>
      <w:r>
        <w:rPr>
          <w:rStyle w:val="VerbatimChar"/>
        </w:rPr>
        <w:t xml:space="preserve">PHASE 8</w:t>
      </w:r>
      <w:r>
        <w:br/>
      </w:r>
      <w:r>
        <w:rPr>
          <w:rStyle w:val="VerbatimChar"/>
        </w:rPr>
        <w:t xml:space="preserve">Multi-Agent Foundation</w:t>
      </w:r>
      <w:r>
        <w:br/>
      </w:r>
      <w:r>
        <w:rPr>
          <w:rStyle w:val="VerbatimChar"/>
        </w:rPr>
        <w:t xml:space="preserve">✓</w:t>
      </w:r>
      <w:r>
        <w:br/>
      </w:r>
      <w:r>
        <w:br/>
      </w:r>
      <w:r>
        <w:rPr>
          <w:rStyle w:val="VerbatimChar"/>
        </w:rPr>
        <w:t xml:space="preserve">PHASE 9</w:t>
      </w:r>
      <w:r>
        <w:br/>
      </w:r>
      <w:r>
        <w:rPr>
          <w:rStyle w:val="VerbatimChar"/>
        </w:rPr>
        <w:t xml:space="preserve">AI Governance</w:t>
      </w:r>
      <w:r>
        <w:br/>
      </w:r>
      <w:r>
        <w:rPr>
          <w:rStyle w:val="VerbatimChar"/>
        </w:rPr>
        <w:t xml:space="preserve">✓</w:t>
      </w:r>
      <w:r>
        <w:br/>
      </w:r>
      <w:r>
        <w:br/>
      </w:r>
      <w:r>
        <w:rPr>
          <w:rStyle w:val="VerbatimChar"/>
        </w:rPr>
        <w:t xml:space="preserve">PHASE 10</w:t>
      </w:r>
      <w:r>
        <w:br/>
      </w:r>
      <w:r>
        <w:rPr>
          <w:rStyle w:val="VerbatimChar"/>
        </w:rPr>
        <w:t xml:space="preserve">LLMOps Foundation</w:t>
      </w:r>
      <w:r>
        <w:br/>
      </w:r>
      <w:r>
        <w:rPr>
          <w:rStyle w:val="VerbatimChar"/>
        </w:rPr>
        <w:t xml:space="preserve">✓</w:t>
      </w:r>
      <w:r>
        <w:br/>
      </w:r>
      <w:r>
        <w:br/>
      </w:r>
      <w:r>
        <w:rPr>
          <w:rStyle w:val="VerbatimChar"/>
        </w:rPr>
        <w:t xml:space="preserve">PHASE 11</w:t>
      </w:r>
      <w:r>
        <w:br/>
      </w:r>
      <w:r>
        <w:rPr>
          <w:rStyle w:val="VerbatimChar"/>
        </w:rPr>
        <w:t xml:space="preserve">Business Modules Foundation</w:t>
      </w:r>
      <w:r>
        <w:br/>
      </w:r>
      <w:r>
        <w:rPr>
          <w:rStyle w:val="VerbatimChar"/>
        </w:rPr>
        <w:t xml:space="preserve">✓</w:t>
      </w:r>
      <w:r>
        <w:br/>
      </w:r>
      <w:r>
        <w:br/>
      </w:r>
      <w:r>
        <w:rPr>
          <w:rStyle w:val="VerbatimChar"/>
        </w:rPr>
        <w:t xml:space="preserve">PHASE 12</w:t>
      </w:r>
      <w:r>
        <w:br/>
      </w:r>
      <w:r>
        <w:rPr>
          <w:rStyle w:val="VerbatimChar"/>
        </w:rPr>
        <w:t xml:space="preserve">Applications Foundation</w:t>
      </w:r>
      <w:r>
        <w:br/>
      </w:r>
      <w:r>
        <w:rPr>
          <w:rStyle w:val="VerbatimChar"/>
        </w:rPr>
        <w:t xml:space="preserve">✓</w:t>
      </w:r>
      <w:r>
        <w:br/>
      </w:r>
      <w:r>
        <w:br/>
      </w:r>
      <w:r>
        <w:rPr>
          <w:rStyle w:val="VerbatimChar"/>
        </w:rPr>
        <w:t xml:space="preserve">PHASE 13</w:t>
      </w:r>
      <w:r>
        <w:br/>
      </w:r>
      <w:r>
        <w:rPr>
          <w:rStyle w:val="VerbatimChar"/>
        </w:rPr>
        <w:t xml:space="preserve">Dashboards Foundation</w:t>
      </w:r>
      <w:r>
        <w:br/>
      </w:r>
      <w:r>
        <w:rPr>
          <w:rStyle w:val="VerbatimChar"/>
        </w:rPr>
        <w:t xml:space="preserve">✓</w:t>
      </w:r>
      <w:r>
        <w:br/>
      </w:r>
      <w:r>
        <w:br/>
      </w:r>
      <w:r>
        <w:rPr>
          <w:rStyle w:val="VerbatimChar"/>
        </w:rPr>
        <w:t xml:space="preserve">PHASE 14</w:t>
      </w:r>
      <w:r>
        <w:br/>
      </w:r>
      <w:r>
        <w:rPr>
          <w:rStyle w:val="VerbatimChar"/>
        </w:rPr>
        <w:t xml:space="preserve">Command Center Foundation</w:t>
      </w:r>
      <w:r>
        <w:br/>
      </w:r>
      <w:r>
        <w:rPr>
          <w:rStyle w:val="VerbatimChar"/>
        </w:rPr>
        <w:t xml:space="preserve">✓</w:t>
      </w:r>
    </w:p>
    <w:p>
      <w:pPr>
        <w:pStyle w:val="FirstParagraph"/>
      </w:pPr>
      <w:r>
        <w:t xml:space="preserve">La mission actuelle est :</w:t>
      </w:r>
    </w:p>
    <w:bookmarkEnd w:id="84"/>
    <w:bookmarkStart w:id="85" w:name="X94ff3f82400b9b70b1d5807f7da86cf667f4f4c"/>
    <w:p>
      <w:pPr>
        <w:pStyle w:val="Heading1"/>
      </w:pPr>
      <w:r>
        <w:t xml:space="preserve">PHASE 15 — INSTITUTIONAL DECISION SUPPORT FOUNDATION</w:t>
      </w:r>
    </w:p>
    <w:p>
      <w:r>
        <w:pict>
          <v:rect style="width:0;height:1.5pt" o:hralign="center" o:hrstd="t" o:hr="t"/>
        </w:pict>
      </w:r>
    </w:p>
    <w:bookmarkEnd w:id="85"/>
    <w:bookmarkStart w:id="86" w:name="principe-directeur"/>
    <w:p>
      <w:pPr>
        <w:pStyle w:val="Heading1"/>
      </w:pPr>
      <w:r>
        <w:t xml:space="preserve">PRINCIPE DIRECTEUR</w:t>
      </w:r>
    </w:p>
    <w:p>
      <w:pPr>
        <w:pStyle w:val="BlockText"/>
      </w:pPr>
      <w:r>
        <w:t xml:space="preserve">Decision Support before Decision Automation.</w:t>
      </w:r>
    </w:p>
    <w:p>
      <w:pPr>
        <w:pStyle w:val="FirstParagraph"/>
      </w:pPr>
      <w:r>
        <w:t xml:space="preserve">L’aide à la décision doit être définie, limitée, gouvernée, explicable, auditable, contestable et humainement supervisée avant toute réflexion sur l’automatisation.</w:t>
      </w:r>
    </w:p>
    <w:p>
      <w:pPr>
        <w:pStyle w:val="BodyText"/>
      </w:pPr>
      <w:r>
        <w:t xml:space="preserve">Dans CS GREFFE OS, ce principe implique une règle stricte :</w:t>
      </w:r>
    </w:p>
    <w:p>
      <w:pPr>
        <w:pStyle w:val="BlockText"/>
      </w:pPr>
      <w:r>
        <w:t xml:space="preserve">La décision institutionnelle, administrative ou juridictionnelle reste humaine.</w:t>
      </w:r>
    </w:p>
    <w:p>
      <w:r>
        <w:pict>
          <v:rect style="width:0;height:1.5pt" o:hralign="center" o:hrstd="t" o:hr="t"/>
        </w:pict>
      </w:r>
    </w:p>
    <w:bookmarkEnd w:id="86"/>
    <w:bookmarkStart w:id="87" w:name="objectif"/>
    <w:p>
      <w:pPr>
        <w:pStyle w:val="Heading1"/>
      </w:pPr>
      <w:r>
        <w:t xml:space="preserve">OBJECTIF</w:t>
      </w:r>
    </w:p>
    <w:p>
      <w:pPr>
        <w:pStyle w:val="FirstParagraph"/>
      </w:pPr>
      <w:r>
        <w:t xml:space="preserve">Construire la couche documentaire et conceptuelle de l’aide institutionnelle à la décision.</w:t>
      </w:r>
    </w:p>
    <w:p>
      <w:pPr>
        <w:pStyle w:val="BodyText"/>
      </w:pPr>
      <w:r>
        <w:t xml:space="preserve">Préparer :</w:t>
      </w:r>
    </w:p>
    <w:p>
      <w:pPr>
        <w:pStyle w:val="Compact"/>
        <w:numPr>
          <w:ilvl w:val="0"/>
          <w:numId w:val="1014"/>
        </w:numPr>
      </w:pPr>
      <w:r>
        <w:t xml:space="preserve">les catégories d’aide à la décision ;</w:t>
      </w:r>
    </w:p>
    <w:p>
      <w:pPr>
        <w:pStyle w:val="Compact"/>
        <w:numPr>
          <w:ilvl w:val="0"/>
          <w:numId w:val="1014"/>
        </w:numPr>
      </w:pPr>
      <w:r>
        <w:t xml:space="preserve">les frontières entre information, alerte, recommandation et décision ;</w:t>
      </w:r>
    </w:p>
    <w:p>
      <w:pPr>
        <w:pStyle w:val="Compact"/>
        <w:numPr>
          <w:ilvl w:val="0"/>
          <w:numId w:val="1014"/>
        </w:numPr>
      </w:pPr>
      <w:r>
        <w:t xml:space="preserve">les recommandations gouvernées ;</w:t>
      </w:r>
    </w:p>
    <w:p>
      <w:pPr>
        <w:pStyle w:val="Compact"/>
        <w:numPr>
          <w:ilvl w:val="0"/>
          <w:numId w:val="1014"/>
        </w:numPr>
      </w:pPr>
      <w:r>
        <w:t xml:space="preserve">les scénarios ;</w:t>
      </w:r>
    </w:p>
    <w:p>
      <w:pPr>
        <w:pStyle w:val="Compact"/>
        <w:numPr>
          <w:ilvl w:val="0"/>
          <w:numId w:val="1014"/>
        </w:numPr>
      </w:pPr>
      <w:r>
        <w:t xml:space="preserve">les priorisations ;</w:t>
      </w:r>
    </w:p>
    <w:p>
      <w:pPr>
        <w:pStyle w:val="Compact"/>
        <w:numPr>
          <w:ilvl w:val="0"/>
          <w:numId w:val="1014"/>
        </w:numPr>
      </w:pPr>
      <w:r>
        <w:t xml:space="preserve">les scores ;</w:t>
      </w:r>
    </w:p>
    <w:p>
      <w:pPr>
        <w:pStyle w:val="Compact"/>
        <w:numPr>
          <w:ilvl w:val="0"/>
          <w:numId w:val="1014"/>
        </w:numPr>
      </w:pPr>
      <w:r>
        <w:t xml:space="preserve">les notes d’aide à la décision ;</w:t>
      </w:r>
    </w:p>
    <w:p>
      <w:pPr>
        <w:pStyle w:val="Compact"/>
        <w:numPr>
          <w:ilvl w:val="0"/>
          <w:numId w:val="1014"/>
        </w:numPr>
      </w:pPr>
      <w:r>
        <w:t xml:space="preserve">les journaux de décision humaine ;</w:t>
      </w:r>
    </w:p>
    <w:p>
      <w:pPr>
        <w:pStyle w:val="Compact"/>
        <w:numPr>
          <w:ilvl w:val="0"/>
          <w:numId w:val="1014"/>
        </w:numPr>
      </w:pPr>
      <w:r>
        <w:t xml:space="preserve">l’explicabilité ;</w:t>
      </w:r>
    </w:p>
    <w:p>
      <w:pPr>
        <w:pStyle w:val="Compact"/>
        <w:numPr>
          <w:ilvl w:val="0"/>
          <w:numId w:val="1014"/>
        </w:numPr>
      </w:pPr>
      <w:r>
        <w:t xml:space="preserve">l’auditabilité ;</w:t>
      </w:r>
    </w:p>
    <w:p>
      <w:pPr>
        <w:pStyle w:val="Compact"/>
        <w:numPr>
          <w:ilvl w:val="0"/>
          <w:numId w:val="1014"/>
        </w:numPr>
      </w:pPr>
      <w:r>
        <w:t xml:space="preserve">la contestabilité ;</w:t>
      </w:r>
    </w:p>
    <w:p>
      <w:pPr>
        <w:pStyle w:val="Compact"/>
        <w:numPr>
          <w:ilvl w:val="0"/>
          <w:numId w:val="1014"/>
        </w:numPr>
      </w:pPr>
      <w:r>
        <w:t xml:space="preserve">les limites ;</w:t>
      </w:r>
    </w:p>
    <w:p>
      <w:pPr>
        <w:pStyle w:val="Compact"/>
        <w:numPr>
          <w:ilvl w:val="0"/>
          <w:numId w:val="1014"/>
        </w:numPr>
      </w:pPr>
      <w:r>
        <w:t xml:space="preserve">les risques ;</w:t>
      </w:r>
    </w:p>
    <w:p>
      <w:pPr>
        <w:pStyle w:val="Compact"/>
        <w:numPr>
          <w:ilvl w:val="0"/>
          <w:numId w:val="1014"/>
        </w:numPr>
      </w:pPr>
      <w:r>
        <w:t xml:space="preserve">la sécurité ;</w:t>
      </w:r>
    </w:p>
    <w:p>
      <w:pPr>
        <w:pStyle w:val="Compact"/>
        <w:numPr>
          <w:ilvl w:val="0"/>
          <w:numId w:val="1014"/>
        </w:numPr>
      </w:pPr>
      <w:r>
        <w:t xml:space="preserve">la continuité cloud → GitHub → Mac local ;</w:t>
      </w:r>
    </w:p>
    <w:p>
      <w:pPr>
        <w:pStyle w:val="Compact"/>
        <w:numPr>
          <w:ilvl w:val="0"/>
          <w:numId w:val="1014"/>
        </w:numPr>
      </w:pPr>
      <w:r>
        <w:t xml:space="preserve">la préparation de la Phase 16.</w:t>
      </w:r>
    </w:p>
    <w:p>
      <w:pPr>
        <w:pStyle w:val="FirstParagraph"/>
      </w:pPr>
      <w:r>
        <w:t xml:space="preserve">Sans automatiser la décision.</w:t>
      </w:r>
    </w:p>
    <w:p>
      <w:pPr>
        <w:pStyle w:val="BodyText"/>
      </w:pPr>
      <w:r>
        <w:t xml:space="preserve">Sans déployer un moteur de décision.</w:t>
      </w:r>
    </w:p>
    <w:p>
      <w:pPr>
        <w:pStyle w:val="BodyText"/>
      </w:pPr>
      <w:r>
        <w:t xml:space="preserve">Sans utiliser de données judiciaires réelles non gouvernées.</w:t>
      </w:r>
    </w:p>
    <w:p>
      <w:r>
        <w:pict>
          <v:rect style="width:0;height:1.5pt" o:hralign="center" o:hrstd="t" o:hr="t"/>
        </w:pict>
      </w:r>
    </w:p>
    <w:bookmarkEnd w:id="87"/>
    <w:bookmarkStart w:id="88" w:name="domaine"/>
    <w:p>
      <w:pPr>
        <w:pStyle w:val="Heading1"/>
      </w:pPr>
      <w:r>
        <w:t xml:space="preserve">DOMAINE</w:t>
      </w:r>
    </w:p>
    <w:p>
      <w:pPr>
        <w:pStyle w:val="SourceCode"/>
      </w:pPr>
      <w:r>
        <w:rPr>
          <w:rStyle w:val="VerbatimChar"/>
        </w:rPr>
        <w:t xml:space="preserve">docs/cs_greffe_os/</w:t>
      </w:r>
      <w:r>
        <w:br/>
      </w:r>
      <w:r>
        <w:br/>
      </w:r>
      <w:r>
        <w:rPr>
          <w:rStyle w:val="VerbatimChar"/>
        </w:rPr>
        <w:t xml:space="preserve">26_DECISION_SUPPORT/</w:t>
      </w:r>
    </w:p>
    <w:p>
      <w:r>
        <w:pict>
          <v:rect style="width:0;height:1.5pt" o:hralign="center" o:hrstd="t" o:hr="t"/>
        </w:pict>
      </w:r>
    </w:p>
    <w:bookmarkEnd w:id="88"/>
    <w:bookmarkStart w:id="114" w:name="documents-à-produire"/>
    <w:p>
      <w:pPr>
        <w:pStyle w:val="Heading1"/>
      </w:pPr>
      <w:r>
        <w:t xml:space="preserve">DOCUMENTS À PRODUIRE</w:t>
      </w:r>
    </w:p>
    <w:bookmarkStart w:id="89" w:name="X15335134ff8b9728172b2c59ef24c583a9bd043"/>
    <w:p>
      <w:pPr>
        <w:pStyle w:val="Heading2"/>
      </w:pPr>
      <w:r>
        <w:t xml:space="preserve">INSTITUTIONAL_DECISION_SUPPORT_FOUNDATION_FRAMEWORK_V1.md</w:t>
      </w:r>
    </w:p>
    <w:p>
      <w:pPr>
        <w:pStyle w:val="FirstParagraph"/>
      </w:pPr>
      <w:r>
        <w:t xml:space="preserve">Document fondateur de l’aide institutionnelle à la décision.</w:t>
      </w:r>
    </w:p>
    <w:p>
      <w:r>
        <w:pict>
          <v:rect style="width:0;height:1.5pt" o:hralign="center" o:hrstd="t" o:hr="t"/>
        </w:pict>
      </w:r>
    </w:p>
    <w:bookmarkEnd w:id="89"/>
    <w:bookmarkStart w:id="90" w:name="decision_support_conceptual_model_v1.md"/>
    <w:p>
      <w:pPr>
        <w:pStyle w:val="Heading2"/>
      </w:pPr>
      <w:r>
        <w:t xml:space="preserve">DECISION_SUPPORT_CONCEPTUAL_MODEL_V1.md</w:t>
      </w:r>
    </w:p>
    <w:p>
      <w:pPr>
        <w:pStyle w:val="FirstParagraph"/>
      </w:pPr>
      <w:r>
        <w:t xml:space="preserve">Modèle conceptuel de Decision Support.</w:t>
      </w:r>
    </w:p>
    <w:p>
      <w:r>
        <w:pict>
          <v:rect style="width:0;height:1.5pt" o:hralign="center" o:hrstd="t" o:hr="t"/>
        </w:pict>
      </w:r>
    </w:p>
    <w:bookmarkEnd w:id="90"/>
    <w:bookmarkStart w:id="91" w:name="decision_support_registry_v1.md"/>
    <w:p>
      <w:pPr>
        <w:pStyle w:val="Heading2"/>
      </w:pPr>
      <w:r>
        <w:t xml:space="preserve">DECISION_SUPPORT_REGISTRY_V1.md</w:t>
      </w:r>
    </w:p>
    <w:p>
      <w:pPr>
        <w:pStyle w:val="FirstParagraph"/>
      </w:pPr>
      <w:r>
        <w:t xml:space="preserve">Registre des mécanismes d’aide à la décision.</w:t>
      </w:r>
    </w:p>
    <w:p>
      <w:r>
        <w:pict>
          <v:rect style="width:0;height:1.5pt" o:hralign="center" o:hrstd="t" o:hr="t"/>
        </w:pict>
      </w:r>
    </w:p>
    <w:bookmarkEnd w:id="91"/>
    <w:bookmarkStart w:id="92" w:name="Xc3ed93686fd0b5df7fac180460e7d86a52ebb1b"/>
    <w:p>
      <w:pPr>
        <w:pStyle w:val="Heading2"/>
      </w:pPr>
      <w:r>
        <w:t xml:space="preserve">DECISION_SUPPORT_CLASSIFICATION_FRAMEWORK_V1.md</w:t>
      </w:r>
    </w:p>
    <w:p>
      <w:pPr>
        <w:pStyle w:val="FirstParagraph"/>
      </w:pPr>
      <w:r>
        <w:t xml:space="preserve">Cadre de classification.</w:t>
      </w:r>
    </w:p>
    <w:p>
      <w:r>
        <w:pict>
          <v:rect style="width:0;height:1.5pt" o:hralign="center" o:hrstd="t" o:hr="t"/>
        </w:pict>
      </w:r>
    </w:p>
    <w:bookmarkEnd w:id="92"/>
    <w:bookmarkStart w:id="93" w:name="X8582edd60af0d3de0fdc015427c486fbba1e5c8"/>
    <w:p>
      <w:pPr>
        <w:pStyle w:val="Heading2"/>
      </w:pPr>
      <w:r>
        <w:t xml:space="preserve">DECISION_SUPPORT_BOUNDARIES_FRAMEWORK_V1.md</w:t>
      </w:r>
    </w:p>
    <w:p>
      <w:pPr>
        <w:pStyle w:val="FirstParagraph"/>
      </w:pPr>
      <w:r>
        <w:t xml:space="preserve">Cadre des frontières entre information, alerte, recommandation et décision.</w:t>
      </w:r>
    </w:p>
    <w:p>
      <w:r>
        <w:pict>
          <v:rect style="width:0;height:1.5pt" o:hralign="center" o:hrstd="t" o:hr="t"/>
        </w:pict>
      </w:r>
    </w:p>
    <w:bookmarkEnd w:id="93"/>
    <w:bookmarkStart w:id="94" w:name="alert_to_decision_chain_framework_v1.md"/>
    <w:p>
      <w:pPr>
        <w:pStyle w:val="Heading2"/>
      </w:pPr>
      <w:r>
        <w:t xml:space="preserve">ALERT_TO_DECISION_CHAIN_FRAMEWORK_V1.md</w:t>
      </w:r>
    </w:p>
    <w:p>
      <w:pPr>
        <w:pStyle w:val="FirstParagraph"/>
      </w:pPr>
      <w:r>
        <w:t xml:space="preserve">Cadre de la chaîne alerte → analyse → décision humaine.</w:t>
      </w:r>
    </w:p>
    <w:p>
      <w:r>
        <w:pict>
          <v:rect style="width:0;height:1.5pt" o:hralign="center" o:hrstd="t" o:hr="t"/>
        </w:pict>
      </w:r>
    </w:p>
    <w:bookmarkEnd w:id="94"/>
    <w:bookmarkStart w:id="95" w:name="X35d3a74389279e0f2dcf711e78df19cf826a37e"/>
    <w:p>
      <w:pPr>
        <w:pStyle w:val="Heading2"/>
      </w:pPr>
      <w:r>
        <w:t xml:space="preserve">RECOMMENDATION_GOVERNANCE_FRAMEWORK_V1.md</w:t>
      </w:r>
    </w:p>
    <w:p>
      <w:pPr>
        <w:pStyle w:val="FirstParagraph"/>
      </w:pPr>
      <w:r>
        <w:t xml:space="preserve">Cadre de gouvernance des recommandations.</w:t>
      </w:r>
    </w:p>
    <w:p>
      <w:r>
        <w:pict>
          <v:rect style="width:0;height:1.5pt" o:hralign="center" o:hrstd="t" o:hr="t"/>
        </w:pict>
      </w:r>
    </w:p>
    <w:bookmarkEnd w:id="95"/>
    <w:bookmarkStart w:id="96" w:name="scenario_governance_framework_v1.md"/>
    <w:p>
      <w:pPr>
        <w:pStyle w:val="Heading2"/>
      </w:pPr>
      <w:r>
        <w:t xml:space="preserve">SCENARIO_GOVERNANCE_FRAMEWORK_V1.md</w:t>
      </w:r>
    </w:p>
    <w:p>
      <w:pPr>
        <w:pStyle w:val="FirstParagraph"/>
      </w:pPr>
      <w:r>
        <w:t xml:space="preserve">Cadre de gouvernance des scénarios.</w:t>
      </w:r>
    </w:p>
    <w:p>
      <w:r>
        <w:pict>
          <v:rect style="width:0;height:1.5pt" o:hralign="center" o:hrstd="t" o:hr="t"/>
        </w:pict>
      </w:r>
    </w:p>
    <w:bookmarkEnd w:id="96"/>
    <w:bookmarkStart w:id="97" w:name="scoring_governance_framework_v1.md"/>
    <w:p>
      <w:pPr>
        <w:pStyle w:val="Heading2"/>
      </w:pPr>
      <w:r>
        <w:t xml:space="preserve">SCORING_GOVERNANCE_FRAMEWORK_V1.md</w:t>
      </w:r>
    </w:p>
    <w:p>
      <w:pPr>
        <w:pStyle w:val="FirstParagraph"/>
      </w:pPr>
      <w:r>
        <w:t xml:space="preserve">Cadre de gouvernance du scoring.</w:t>
      </w:r>
    </w:p>
    <w:p>
      <w:r>
        <w:pict>
          <v:rect style="width:0;height:1.5pt" o:hralign="center" o:hrstd="t" o:hr="t"/>
        </w:pict>
      </w:r>
    </w:p>
    <w:bookmarkEnd w:id="97"/>
    <w:bookmarkStart w:id="98" w:name="X0a4805006a3c89870fafaa8d7a51153ab5f68c3"/>
    <w:p>
      <w:pPr>
        <w:pStyle w:val="Heading2"/>
      </w:pPr>
      <w:r>
        <w:t xml:space="preserve">PRIORITIZATION_GOVERNANCE_FRAMEWORK_V1.md</w:t>
      </w:r>
    </w:p>
    <w:p>
      <w:pPr>
        <w:pStyle w:val="FirstParagraph"/>
      </w:pPr>
      <w:r>
        <w:t xml:space="preserve">Cadre de gouvernance de la priorisation.</w:t>
      </w:r>
    </w:p>
    <w:p>
      <w:r>
        <w:pict>
          <v:rect style="width:0;height:1.5pt" o:hralign="center" o:hrstd="t" o:hr="t"/>
        </w:pict>
      </w:r>
    </w:p>
    <w:bookmarkEnd w:id="98"/>
    <w:bookmarkStart w:id="99" w:name="human_decision_authority_framework_v1.md"/>
    <w:p>
      <w:pPr>
        <w:pStyle w:val="Heading2"/>
      </w:pPr>
      <w:r>
        <w:t xml:space="preserve">HUMAN_DECISION_AUTHORITY_FRAMEWORK_V1.md</w:t>
      </w:r>
    </w:p>
    <w:p>
      <w:pPr>
        <w:pStyle w:val="FirstParagraph"/>
      </w:pPr>
      <w:r>
        <w:t xml:space="preserve">Cadre de l’autorité humaine de décision.</w:t>
      </w:r>
    </w:p>
    <w:p>
      <w:r>
        <w:pict>
          <v:rect style="width:0;height:1.5pt" o:hralign="center" o:hrstd="t" o:hr="t"/>
        </w:pict>
      </w:r>
    </w:p>
    <w:bookmarkEnd w:id="99"/>
    <w:bookmarkStart w:id="100" w:name="human_decision_log_framework_v1.md"/>
    <w:p>
      <w:pPr>
        <w:pStyle w:val="Heading2"/>
      </w:pPr>
      <w:r>
        <w:t xml:space="preserve">HUMAN_DECISION_LOG_FRAMEWORK_V1.md</w:t>
      </w:r>
    </w:p>
    <w:p>
      <w:pPr>
        <w:pStyle w:val="FirstParagraph"/>
      </w:pPr>
      <w:r>
        <w:t xml:space="preserve">Cadre de journalisation des décisions humaines.</w:t>
      </w:r>
    </w:p>
    <w:p>
      <w:r>
        <w:pict>
          <v:rect style="width:0;height:1.5pt" o:hralign="center" o:hrstd="t" o:hr="t"/>
        </w:pict>
      </w:r>
    </w:p>
    <w:bookmarkEnd w:id="100"/>
    <w:bookmarkStart w:id="101" w:name="decision_note_template_framework_v1.md"/>
    <w:p>
      <w:pPr>
        <w:pStyle w:val="Heading2"/>
      </w:pPr>
      <w:r>
        <w:t xml:space="preserve">DECISION_NOTE_TEMPLATE_FRAMEWORK_V1.md</w:t>
      </w:r>
    </w:p>
    <w:p>
      <w:pPr>
        <w:pStyle w:val="FirstParagraph"/>
      </w:pPr>
      <w:r>
        <w:t xml:space="preserve">Modèle de note d’aide à la décision.</w:t>
      </w:r>
    </w:p>
    <w:p>
      <w:r>
        <w:pict>
          <v:rect style="width:0;height:1.5pt" o:hralign="center" o:hrstd="t" o:hr="t"/>
        </w:pict>
      </w:r>
    </w:p>
    <w:bookmarkEnd w:id="101"/>
    <w:bookmarkStart w:id="102" w:name="decision_explainability_framework_v1.md"/>
    <w:p>
      <w:pPr>
        <w:pStyle w:val="Heading2"/>
      </w:pPr>
      <w:r>
        <w:t xml:space="preserve">DECISION_EXPLAINABILITY_FRAMEWORK_V1.md</w:t>
      </w:r>
    </w:p>
    <w:p>
      <w:pPr>
        <w:pStyle w:val="FirstParagraph"/>
      </w:pPr>
      <w:r>
        <w:t xml:space="preserve">Cadre d’explicabilité.</w:t>
      </w:r>
    </w:p>
    <w:p>
      <w:r>
        <w:pict>
          <v:rect style="width:0;height:1.5pt" o:hralign="center" o:hrstd="t" o:hr="t"/>
        </w:pict>
      </w:r>
    </w:p>
    <w:bookmarkEnd w:id="102"/>
    <w:bookmarkStart w:id="103" w:name="decision_auditability_framework_v1.md"/>
    <w:p>
      <w:pPr>
        <w:pStyle w:val="Heading2"/>
      </w:pPr>
      <w:r>
        <w:t xml:space="preserve">DECISION_AUDITABILITY_FRAMEWORK_V1.md</w:t>
      </w:r>
    </w:p>
    <w:p>
      <w:pPr>
        <w:pStyle w:val="FirstParagraph"/>
      </w:pPr>
      <w:r>
        <w:t xml:space="preserve">Cadre d’auditabilité.</w:t>
      </w:r>
    </w:p>
    <w:p>
      <w:r>
        <w:pict>
          <v:rect style="width:0;height:1.5pt" o:hralign="center" o:hrstd="t" o:hr="t"/>
        </w:pict>
      </w:r>
    </w:p>
    <w:bookmarkEnd w:id="103"/>
    <w:bookmarkStart w:id="104" w:name="decision_contestability_framework_v1.md"/>
    <w:p>
      <w:pPr>
        <w:pStyle w:val="Heading2"/>
      </w:pPr>
      <w:r>
        <w:t xml:space="preserve">DECISION_CONTESTABILITY_FRAMEWORK_V1.md</w:t>
      </w:r>
    </w:p>
    <w:p>
      <w:pPr>
        <w:pStyle w:val="FirstParagraph"/>
      </w:pPr>
      <w:r>
        <w:t xml:space="preserve">Cadre de contestabilité.</w:t>
      </w:r>
    </w:p>
    <w:p>
      <w:r>
        <w:pict>
          <v:rect style="width:0;height:1.5pt" o:hralign="center" o:hrstd="t" o:hr="t"/>
        </w:pict>
      </w:r>
    </w:p>
    <w:bookmarkEnd w:id="104"/>
    <w:bookmarkStart w:id="105" w:name="decision_support_risk_framework_v1.md"/>
    <w:p>
      <w:pPr>
        <w:pStyle w:val="Heading2"/>
      </w:pPr>
      <w:r>
        <w:t xml:space="preserve">DECISION_SUPPORT_RISK_FRAMEWORK_V1.md</w:t>
      </w:r>
    </w:p>
    <w:p>
      <w:pPr>
        <w:pStyle w:val="FirstParagraph"/>
      </w:pPr>
      <w:r>
        <w:t xml:space="preserve">Cadre des risques.</w:t>
      </w:r>
    </w:p>
    <w:p>
      <w:r>
        <w:pict>
          <v:rect style="width:0;height:1.5pt" o:hralign="center" o:hrstd="t" o:hr="t"/>
        </w:pict>
      </w:r>
    </w:p>
    <w:bookmarkEnd w:id="105"/>
    <w:bookmarkStart w:id="106" w:name="Xef944e2e41c508538860f1e67317c66a56f131d"/>
    <w:p>
      <w:pPr>
        <w:pStyle w:val="Heading2"/>
      </w:pPr>
      <w:r>
        <w:t xml:space="preserve">DECISION_SUPPORT_SECURITY_FRAMEWORK_V1.md</w:t>
      </w:r>
    </w:p>
    <w:p>
      <w:pPr>
        <w:pStyle w:val="FirstParagraph"/>
      </w:pPr>
      <w:r>
        <w:t xml:space="preserve">Cadre de sécurité.</w:t>
      </w:r>
    </w:p>
    <w:p>
      <w:r>
        <w:pict>
          <v:rect style="width:0;height:1.5pt" o:hralign="center" o:hrstd="t" o:hr="t"/>
        </w:pict>
      </w:r>
    </w:p>
    <w:bookmarkEnd w:id="106"/>
    <w:bookmarkStart w:id="107" w:name="Xd152873a404ef2761cabed57c9289c567ae8124"/>
    <w:p>
      <w:pPr>
        <w:pStyle w:val="Heading2"/>
      </w:pPr>
      <w:r>
        <w:t xml:space="preserve">DECISION_SUPPORT_OBSERVABILITY_FRAMEWORK_V1.md</w:t>
      </w:r>
    </w:p>
    <w:p>
      <w:pPr>
        <w:pStyle w:val="FirstParagraph"/>
      </w:pPr>
      <w:r>
        <w:t xml:space="preserve">Cadre d’observabilité.</w:t>
      </w:r>
    </w:p>
    <w:p>
      <w:r>
        <w:pict>
          <v:rect style="width:0;height:1.5pt" o:hralign="center" o:hrstd="t" o:hr="t"/>
        </w:pict>
      </w:r>
    </w:p>
    <w:bookmarkEnd w:id="107"/>
    <w:bookmarkStart w:id="108" w:name="Xba60a9011fa05ef452af6af379a6a07d58d5640"/>
    <w:p>
      <w:pPr>
        <w:pStyle w:val="Heading2"/>
      </w:pPr>
      <w:r>
        <w:t xml:space="preserve">DECISION_SUPPORT_CONTINUITY_AND_LOCAL_SYNC_PROTOCOL_V1.md</w:t>
      </w:r>
    </w:p>
    <w:p>
      <w:pPr>
        <w:pStyle w:val="FirstParagraph"/>
      </w:pPr>
      <w:r>
        <w:t xml:space="preserve">Cadre de continuité Cloud → GitHub → Mac local.</w:t>
      </w:r>
    </w:p>
    <w:p>
      <w:r>
        <w:pict>
          <v:rect style="width:0;height:1.5pt" o:hralign="center" o:hrstd="t" o:hr="t"/>
        </w:pict>
      </w:r>
    </w:p>
    <w:bookmarkEnd w:id="108"/>
    <w:bookmarkStart w:id="109" w:name="decision_support_maturity_model_v1.md"/>
    <w:p>
      <w:pPr>
        <w:pStyle w:val="Heading2"/>
      </w:pPr>
      <w:r>
        <w:t xml:space="preserve">DECISION_SUPPORT_MATURITY_MODEL_V1.md</w:t>
      </w:r>
    </w:p>
    <w:p>
      <w:pPr>
        <w:pStyle w:val="FirstParagraph"/>
      </w:pPr>
      <w:r>
        <w:t xml:space="preserve">Modèle de maturité.</w:t>
      </w:r>
    </w:p>
    <w:p>
      <w:pPr>
        <w:pStyle w:val="BodyText"/>
      </w:pPr>
      <w:r>
        <w:t xml:space="preserve">Proposer :</w:t>
      </w:r>
    </w:p>
    <w:p>
      <w:pPr>
        <w:pStyle w:val="SourceCode"/>
      </w:pPr>
      <w:r>
        <w:rPr>
          <w:rStyle w:val="VerbatimChar"/>
        </w:rPr>
        <w:t xml:space="preserve">Level 1</w:t>
      </w:r>
      <w:r>
        <w:br/>
      </w:r>
      <w:r>
        <w:rPr>
          <w:rStyle w:val="VerbatimChar"/>
        </w:rPr>
        <w:t xml:space="preserve">Decision Support Identified</w:t>
      </w:r>
      <w:r>
        <w:br/>
      </w:r>
      <w:r>
        <w:br/>
      </w:r>
      <w:r>
        <w:rPr>
          <w:rStyle w:val="VerbatimChar"/>
        </w:rPr>
        <w:t xml:space="preserve">Level 2</w:t>
      </w:r>
      <w:r>
        <w:br/>
      </w:r>
      <w:r>
        <w:rPr>
          <w:rStyle w:val="VerbatimChar"/>
        </w:rPr>
        <w:t xml:space="preserve">Decision Support Documented</w:t>
      </w:r>
      <w:r>
        <w:br/>
      </w:r>
      <w:r>
        <w:br/>
      </w:r>
      <w:r>
        <w:rPr>
          <w:rStyle w:val="VerbatimChar"/>
        </w:rPr>
        <w:t xml:space="preserve">Level 3</w:t>
      </w:r>
      <w:r>
        <w:br/>
      </w:r>
      <w:r>
        <w:rPr>
          <w:rStyle w:val="VerbatimChar"/>
        </w:rPr>
        <w:t xml:space="preserve">Decision Support Governed</w:t>
      </w:r>
      <w:r>
        <w:br/>
      </w:r>
      <w:r>
        <w:br/>
      </w:r>
      <w:r>
        <w:rPr>
          <w:rStyle w:val="VerbatimChar"/>
        </w:rPr>
        <w:t xml:space="preserve">Level 4</w:t>
      </w:r>
      <w:r>
        <w:br/>
      </w:r>
      <w:r>
        <w:rPr>
          <w:rStyle w:val="VerbatimChar"/>
        </w:rPr>
        <w:t xml:space="preserve">Decision Support Auditable</w:t>
      </w:r>
      <w:r>
        <w:br/>
      </w:r>
      <w:r>
        <w:br/>
      </w:r>
      <w:r>
        <w:rPr>
          <w:rStyle w:val="VerbatimChar"/>
        </w:rPr>
        <w:t xml:space="preserve">Level 5</w:t>
      </w:r>
      <w:r>
        <w:br/>
      </w:r>
      <w:r>
        <w:rPr>
          <w:rStyle w:val="VerbatimChar"/>
        </w:rPr>
        <w:t xml:space="preserve">MVP-Ready Decision Support</w:t>
      </w:r>
      <w:r>
        <w:br/>
      </w:r>
      <w:r>
        <w:br/>
      </w:r>
      <w:r>
        <w:rPr>
          <w:rStyle w:val="VerbatimChar"/>
        </w:rPr>
        <w:t xml:space="preserve">Level 6</w:t>
      </w:r>
      <w:r>
        <w:br/>
      </w:r>
      <w:r>
        <w:rPr>
          <w:rStyle w:val="VerbatimChar"/>
        </w:rPr>
        <w:t xml:space="preserve">Living Decision Support</w:t>
      </w:r>
    </w:p>
    <w:p>
      <w:r>
        <w:pict>
          <v:rect style="width:0;height:1.5pt" o:hralign="center" o:hrstd="t" o:hr="t"/>
        </w:pict>
      </w:r>
    </w:p>
    <w:bookmarkEnd w:id="109"/>
    <w:bookmarkStart w:id="110" w:name="X776a560c6ebab5427788a63429d13ff9168cc07"/>
    <w:p>
      <w:pPr>
        <w:pStyle w:val="Heading2"/>
      </w:pPr>
      <w:r>
        <w:t xml:space="preserve">STRATEGIC_DECISION_SUPPORT_FRAMEWORK_V1.md</w:t>
      </w:r>
    </w:p>
    <w:p>
      <w:pPr>
        <w:pStyle w:val="FirstParagraph"/>
      </w:pPr>
      <w:r>
        <w:t xml:space="preserve">Cadre d’aide à la décision stratégique.</w:t>
      </w:r>
    </w:p>
    <w:p>
      <w:r>
        <w:pict>
          <v:rect style="width:0;height:1.5pt" o:hralign="center" o:hrstd="t" o:hr="t"/>
        </w:pict>
      </w:r>
    </w:p>
    <w:bookmarkEnd w:id="110"/>
    <w:bookmarkStart w:id="111" w:name="Xf6fdfa8623875bdce54a5235bbe12ba45f0367c"/>
    <w:p>
      <w:pPr>
        <w:pStyle w:val="Heading2"/>
      </w:pPr>
      <w:r>
        <w:t xml:space="preserve">JUDICIAL_DECISION_SUPPORT_LIMITS_FRAMEWORK_V1.md</w:t>
      </w:r>
    </w:p>
    <w:p>
      <w:pPr>
        <w:pStyle w:val="FirstParagraph"/>
      </w:pPr>
      <w:r>
        <w:t xml:space="preserve">Cadre des limites de l’aide à la décision judiciaire.</w:t>
      </w:r>
    </w:p>
    <w:p>
      <w:r>
        <w:pict>
          <v:rect style="width:0;height:1.5pt" o:hralign="center" o:hrstd="t" o:hr="t"/>
        </w:pict>
      </w:r>
    </w:p>
    <w:bookmarkEnd w:id="111"/>
    <w:bookmarkStart w:id="112" w:name="phase_15_completion_report_v1.md"/>
    <w:p>
      <w:pPr>
        <w:pStyle w:val="Heading2"/>
      </w:pPr>
      <w:r>
        <w:t xml:space="preserve">PHASE_15_COMPLETION_REPORT_V1.md</w:t>
      </w:r>
    </w:p>
    <w:p>
      <w:pPr>
        <w:pStyle w:val="FirstParagraph"/>
      </w:pPr>
      <w:r>
        <w:t xml:space="preserve">Rapport de clôture de la phase.</w:t>
      </w:r>
    </w:p>
    <w:p>
      <w:pPr>
        <w:pStyle w:val="BodyText"/>
      </w:pPr>
      <w:r>
        <w:t xml:space="preserve">Il doit confirmer :</w:t>
      </w:r>
    </w:p>
    <w:p>
      <w:pPr>
        <w:pStyle w:val="Compact"/>
        <w:numPr>
          <w:ilvl w:val="0"/>
          <w:numId w:val="1015"/>
        </w:numPr>
      </w:pPr>
      <w:r>
        <w:t xml:space="preserve">les mécanismes d’aide à la décision ;</w:t>
      </w:r>
    </w:p>
    <w:p>
      <w:pPr>
        <w:pStyle w:val="Compact"/>
        <w:numPr>
          <w:ilvl w:val="0"/>
          <w:numId w:val="1015"/>
        </w:numPr>
      </w:pPr>
      <w:r>
        <w:t xml:space="preserve">les limites ;</w:t>
      </w:r>
    </w:p>
    <w:p>
      <w:pPr>
        <w:pStyle w:val="Compact"/>
        <w:numPr>
          <w:ilvl w:val="0"/>
          <w:numId w:val="1015"/>
        </w:numPr>
      </w:pPr>
      <w:r>
        <w:t xml:space="preserve">les recommandations ;</w:t>
      </w:r>
    </w:p>
    <w:p>
      <w:pPr>
        <w:pStyle w:val="Compact"/>
        <w:numPr>
          <w:ilvl w:val="0"/>
          <w:numId w:val="1015"/>
        </w:numPr>
      </w:pPr>
      <w:r>
        <w:t xml:space="preserve">les scénarios ;</w:t>
      </w:r>
    </w:p>
    <w:p>
      <w:pPr>
        <w:pStyle w:val="Compact"/>
        <w:numPr>
          <w:ilvl w:val="0"/>
          <w:numId w:val="1015"/>
        </w:numPr>
      </w:pPr>
      <w:r>
        <w:t xml:space="preserve">les scores ;</w:t>
      </w:r>
    </w:p>
    <w:p>
      <w:pPr>
        <w:pStyle w:val="Compact"/>
        <w:numPr>
          <w:ilvl w:val="0"/>
          <w:numId w:val="1015"/>
        </w:numPr>
      </w:pPr>
      <w:r>
        <w:t xml:space="preserve">les journaux de décision humaine ;</w:t>
      </w:r>
    </w:p>
    <w:p>
      <w:pPr>
        <w:pStyle w:val="Compact"/>
        <w:numPr>
          <w:ilvl w:val="0"/>
          <w:numId w:val="1015"/>
        </w:numPr>
      </w:pPr>
      <w:r>
        <w:t xml:space="preserve">l’explicabilité ;</w:t>
      </w:r>
    </w:p>
    <w:p>
      <w:pPr>
        <w:pStyle w:val="Compact"/>
        <w:numPr>
          <w:ilvl w:val="0"/>
          <w:numId w:val="1015"/>
        </w:numPr>
      </w:pPr>
      <w:r>
        <w:t xml:space="preserve">l’auditabilité ;</w:t>
      </w:r>
    </w:p>
    <w:p>
      <w:pPr>
        <w:pStyle w:val="Compact"/>
        <w:numPr>
          <w:ilvl w:val="0"/>
          <w:numId w:val="1015"/>
        </w:numPr>
      </w:pPr>
      <w:r>
        <w:t xml:space="preserve">la contestabilité ;</w:t>
      </w:r>
    </w:p>
    <w:p>
      <w:pPr>
        <w:pStyle w:val="Compact"/>
        <w:numPr>
          <w:ilvl w:val="0"/>
          <w:numId w:val="1015"/>
        </w:numPr>
      </w:pPr>
      <w:r>
        <w:t xml:space="preserve">les exclusions ;</w:t>
      </w:r>
    </w:p>
    <w:p>
      <w:pPr>
        <w:pStyle w:val="Compact"/>
        <w:numPr>
          <w:ilvl w:val="0"/>
          <w:numId w:val="1015"/>
        </w:numPr>
      </w:pPr>
      <w:r>
        <w:t xml:space="preserve">la continuité cloud → GitHub → Mac local ;</w:t>
      </w:r>
    </w:p>
    <w:p>
      <w:pPr>
        <w:pStyle w:val="Compact"/>
        <w:numPr>
          <w:ilvl w:val="0"/>
          <w:numId w:val="1015"/>
        </w:numPr>
      </w:pPr>
      <w:r>
        <w:t xml:space="preserve">la préparation de la Phase 16.</w:t>
      </w:r>
    </w:p>
    <w:p>
      <w:r>
        <w:pict>
          <v:rect style="width:0;height:1.5pt" o:hralign="center" o:hrstd="t" o:hr="t"/>
        </w:pict>
      </w:r>
    </w:p>
    <w:bookmarkEnd w:id="112"/>
    <w:bookmarkStart w:id="113" w:name="Xe13953b39f2becbf25ccda2aa56459d22693414"/>
    <w:p>
      <w:pPr>
        <w:pStyle w:val="Heading2"/>
      </w:pPr>
      <w:r>
        <w:t xml:space="preserve">PROMPT_MERE_PHASE_16_MVP_IMPLEMENTATION_FOUNDATION_V1.md</w:t>
      </w:r>
    </w:p>
    <w:p>
      <w:pPr>
        <w:pStyle w:val="FirstParagraph"/>
      </w:pPr>
      <w:r>
        <w:t xml:space="preserve">Préparer explicitement la phase suivante :</w:t>
      </w:r>
    </w:p>
    <w:bookmarkEnd w:id="113"/>
    <w:bookmarkEnd w:id="114"/>
    <w:bookmarkStart w:id="115" w:name="phase-16-mvp-implementation-foundation-1"/>
    <w:p>
      <w:pPr>
        <w:pStyle w:val="Heading1"/>
      </w:pPr>
      <w:r>
        <w:t xml:space="preserve">PHASE 16 — MVP IMPLEMENTATION FOUNDATION</w:t>
      </w:r>
    </w:p>
    <w:p>
      <w:r>
        <w:pict>
          <v:rect style="width:0;height:1.5pt" o:hralign="center" o:hrstd="t" o:hr="t"/>
        </w:pict>
      </w:r>
    </w:p>
    <w:bookmarkEnd w:id="115"/>
    <w:bookmarkStart w:id="116" w:name="Xcd48de4c5d49903f94f3b236737f23dcfe21c31"/>
    <w:p>
      <w:pPr>
        <w:pStyle w:val="Heading1"/>
      </w:pPr>
      <w:r>
        <w:t xml:space="preserve">REPOSITORY CONTINUITY &amp; LOCAL SYNCHRONIZATION</w:t>
      </w:r>
    </w:p>
    <w:p>
      <w:pPr>
        <w:pStyle w:val="FirstParagraph"/>
      </w:pPr>
      <w:r>
        <w:t xml:space="preserve">Toute structure créée dans le cloud doit être versionnée, committée, poussée et récupérable localement par</w:t>
      </w:r>
      <w:r>
        <w:t xml:space="preserve"> </w:t>
      </w:r>
      <w:r>
        <w:rPr>
          <w:rStyle w:val="VerbatimChar"/>
        </w:rPr>
        <w:t xml:space="preserve">git pull</w:t>
      </w:r>
      <w:r>
        <w:t xml:space="preserve">.</w:t>
      </w:r>
    </w:p>
    <w:p>
      <w:pPr>
        <w:pStyle w:val="BodyText"/>
      </w:pPr>
      <w:r>
        <w:t xml:space="preserve">Ne pas supposer qu’un dossier existe localement tant que la branche ou la PR n’a pas été récupérée.</w:t>
      </w:r>
    </w:p>
    <w:p>
      <w:pPr>
        <w:pStyle w:val="BodyText"/>
      </w:pPr>
      <w:r>
        <w:t xml:space="preserve">Ne pas recréer manuellement en local les dossiers créés dans le cloud, sauf en cas d’absence confirmée après :</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pull origin main</w:t>
      </w:r>
    </w:p>
    <w:p>
      <w:pPr>
        <w:pStyle w:val="FirstParagraph"/>
      </w:pPr>
      <w:r>
        <w:t xml:space="preserve">Tout dossier vide nécessaire doit contenir un fichier :</w:t>
      </w:r>
    </w:p>
    <w:p>
      <w:pPr>
        <w:pStyle w:val="SourceCode"/>
      </w:pPr>
      <w:r>
        <w:rPr>
          <w:rStyle w:val="VerbatimChar"/>
        </w:rPr>
        <w:t xml:space="preserve">.gitkeep</w:t>
      </w:r>
    </w:p>
    <w:p>
      <w:pPr>
        <w:pStyle w:val="FirstParagraph"/>
      </w:pPr>
      <w:r>
        <w:t xml:space="preserve">La Phase 15 doit garantir la continuité entre environnement cloud, GitHub et dépôt local Mac.</w:t>
      </w:r>
    </w:p>
    <w:p>
      <w:pPr>
        <w:pStyle w:val="BodyText"/>
      </w:pPr>
      <w:r>
        <w:t xml:space="preserve">Procédure locale future :</w:t>
      </w:r>
    </w:p>
    <w:p>
      <w:pPr>
        <w:pStyle w:val="SourceCode"/>
      </w:pPr>
      <w:r>
        <w:rPr>
          <w:rStyle w:val="BuiltInTok"/>
        </w:rPr>
        <w:t xml:space="preserve">cd</w:t>
      </w:r>
      <w:r>
        <w:rPr>
          <w:rStyle w:val="NormalTok"/>
        </w:rPr>
        <w:t xml:space="preserve"> ~/chemin/vers/cs-greffe-os-cloud</w:t>
      </w:r>
      <w:r>
        <w:br/>
      </w:r>
      <w:r>
        <w:rPr>
          <w:rStyle w:val="FunctionTok"/>
        </w:rPr>
        <w:t xml:space="preserve">git</w:t>
      </w:r>
      <w:r>
        <w:rPr>
          <w:rStyle w:val="NormalTok"/>
        </w:rPr>
        <w:t xml:space="preserve"> status</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ls</w:t>
      </w:r>
      <w:r>
        <w:rPr>
          <w:rStyle w:val="NormalTok"/>
        </w:rPr>
        <w:t xml:space="preserve"> </w:t>
      </w:r>
      <w:r>
        <w:rPr>
          <w:rStyle w:val="AttributeTok"/>
        </w:rPr>
        <w:t xml:space="preserve">-la</w:t>
      </w:r>
      <w:r>
        <w:rPr>
          <w:rStyle w:val="NormalTok"/>
        </w:rPr>
        <w:t xml:space="preserve"> docs/cs_greffe_os</w:t>
      </w:r>
      <w:r>
        <w:br/>
      </w:r>
      <w:r>
        <w:rPr>
          <w:rStyle w:val="FunctionTok"/>
        </w:rPr>
        <w:t xml:space="preserve">ls</w:t>
      </w:r>
      <w:r>
        <w:rPr>
          <w:rStyle w:val="NormalTok"/>
        </w:rPr>
        <w:t xml:space="preserve"> </w:t>
      </w:r>
      <w:r>
        <w:rPr>
          <w:rStyle w:val="AttributeTok"/>
        </w:rPr>
        <w:t xml:space="preserve">-la</w:t>
      </w:r>
      <w:r>
        <w:rPr>
          <w:rStyle w:val="NormalTok"/>
        </w:rPr>
        <w:t xml:space="preserve"> docs/cs_greffe_os/26_DECISION_SUPPORT</w:t>
      </w:r>
    </w:p>
    <w:p>
      <w:pPr>
        <w:pStyle w:val="FirstParagraph"/>
      </w:pPr>
      <w:r>
        <w:t xml:space="preserve">Si la branche n’est pas mergée :</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branch </w:t>
      </w:r>
      <w:r>
        <w:rPr>
          <w:rStyle w:val="AttributeTok"/>
        </w:rPr>
        <w:t xml:space="preserve">-r</w:t>
      </w:r>
      <w:r>
        <w:br/>
      </w:r>
      <w:r>
        <w:rPr>
          <w:rStyle w:val="FunctionTok"/>
        </w:rPr>
        <w:t xml:space="preserve">git</w:t>
      </w:r>
      <w:r>
        <w:rPr>
          <w:rStyle w:val="NormalTok"/>
        </w:rPr>
        <w:t xml:space="preserve"> checkout </w:t>
      </w:r>
      <w:r>
        <w:rPr>
          <w:rStyle w:val="AttributeTok"/>
        </w:rPr>
        <w:t xml:space="preserve">-b</w:t>
      </w:r>
      <w:r>
        <w:rPr>
          <w:rStyle w:val="NormalTok"/>
        </w:rPr>
        <w:t xml:space="preserve"> nom-de-la-branche origin/nom-de-la-branche</w:t>
      </w:r>
    </w:p>
    <w:p>
      <w:r>
        <w:pict>
          <v:rect style="width:0;height:1.5pt" o:hralign="center" o:hrstd="t" o:hr="t"/>
        </w:pict>
      </w:r>
    </w:p>
    <w:bookmarkEnd w:id="116"/>
    <w:bookmarkStart w:id="117" w:name="directives-héritées"/>
    <w:p>
      <w:pPr>
        <w:pStyle w:val="Heading1"/>
      </w:pPr>
      <w:r>
        <w:t xml:space="preserve">DIRECTIVES HÉRITÉES</w:t>
      </w:r>
    </w:p>
    <w:p>
      <w:pPr>
        <w:pStyle w:val="FirstParagraph"/>
      </w:pPr>
      <w:r>
        <w:t xml:space="preserve">Toujours respecter :</w:t>
      </w:r>
    </w:p>
    <w:p>
      <w:pPr>
        <w:pStyle w:val="Compact"/>
        <w:numPr>
          <w:ilvl w:val="0"/>
          <w:numId w:val="1016"/>
        </w:numPr>
      </w:pPr>
      <w:r>
        <w:t xml:space="preserve">Human Governance before AI ;</w:t>
      </w:r>
    </w:p>
    <w:p>
      <w:pPr>
        <w:pStyle w:val="Compact"/>
        <w:numPr>
          <w:ilvl w:val="0"/>
          <w:numId w:val="1016"/>
        </w:numPr>
      </w:pPr>
      <w:r>
        <w:t xml:space="preserve">Memory Before Code ;</w:t>
      </w:r>
    </w:p>
    <w:p>
      <w:pPr>
        <w:pStyle w:val="Compact"/>
        <w:numPr>
          <w:ilvl w:val="0"/>
          <w:numId w:val="1016"/>
        </w:numPr>
      </w:pPr>
      <w:r>
        <w:t xml:space="preserve">Governance Before Automation ;</w:t>
      </w:r>
    </w:p>
    <w:p>
      <w:pPr>
        <w:pStyle w:val="Compact"/>
        <w:numPr>
          <w:ilvl w:val="0"/>
          <w:numId w:val="1016"/>
        </w:numPr>
      </w:pPr>
      <w:r>
        <w:t xml:space="preserve">Governance before Data ;</w:t>
      </w:r>
    </w:p>
    <w:p>
      <w:pPr>
        <w:pStyle w:val="Compact"/>
        <w:numPr>
          <w:ilvl w:val="0"/>
          <w:numId w:val="1016"/>
        </w:numPr>
      </w:pPr>
      <w:r>
        <w:t xml:space="preserve">Governed Data before Intelligent Systems ;</w:t>
      </w:r>
    </w:p>
    <w:p>
      <w:pPr>
        <w:pStyle w:val="Compact"/>
        <w:numPr>
          <w:ilvl w:val="0"/>
          <w:numId w:val="1016"/>
        </w:numPr>
      </w:pPr>
      <w:r>
        <w:t xml:space="preserve">Semantic Data before Intelligent Retrieval ;</w:t>
      </w:r>
    </w:p>
    <w:p>
      <w:pPr>
        <w:pStyle w:val="Compact"/>
        <w:numPr>
          <w:ilvl w:val="0"/>
          <w:numId w:val="1016"/>
        </w:numPr>
      </w:pPr>
      <w:r>
        <w:t xml:space="preserve">Retrieval before Generation ;</w:t>
      </w:r>
    </w:p>
    <w:p>
      <w:pPr>
        <w:pStyle w:val="Compact"/>
        <w:numPr>
          <w:ilvl w:val="0"/>
          <w:numId w:val="1016"/>
        </w:numPr>
      </w:pPr>
      <w:r>
        <w:t xml:space="preserve">Orchestration before Autonomy ;</w:t>
      </w:r>
    </w:p>
    <w:p>
      <w:pPr>
        <w:pStyle w:val="Compact"/>
        <w:numPr>
          <w:ilvl w:val="0"/>
          <w:numId w:val="1016"/>
        </w:numPr>
      </w:pPr>
      <w:r>
        <w:t xml:space="preserve">Governed AI before Scaled AI ;</w:t>
      </w:r>
    </w:p>
    <w:p>
      <w:pPr>
        <w:pStyle w:val="Compact"/>
        <w:numPr>
          <w:ilvl w:val="0"/>
          <w:numId w:val="1016"/>
        </w:numPr>
      </w:pPr>
      <w:r>
        <w:t xml:space="preserve">Operated Intelligence before Institutional Deployment ;</w:t>
      </w:r>
    </w:p>
    <w:p>
      <w:pPr>
        <w:pStyle w:val="Compact"/>
        <w:numPr>
          <w:ilvl w:val="0"/>
          <w:numId w:val="1016"/>
        </w:numPr>
      </w:pPr>
      <w:r>
        <w:t xml:space="preserve">Business Capabilities before Applications ;</w:t>
      </w:r>
    </w:p>
    <w:p>
      <w:pPr>
        <w:pStyle w:val="Compact"/>
        <w:numPr>
          <w:ilvl w:val="0"/>
          <w:numId w:val="1016"/>
        </w:numPr>
      </w:pPr>
      <w:r>
        <w:t xml:space="preserve">Governed Applications before Operational Dashboards ;</w:t>
      </w:r>
    </w:p>
    <w:p>
      <w:pPr>
        <w:pStyle w:val="Compact"/>
        <w:numPr>
          <w:ilvl w:val="0"/>
          <w:numId w:val="1016"/>
        </w:numPr>
      </w:pPr>
      <w:r>
        <w:t xml:space="preserve">Governed Metrics before Command Centers ;</w:t>
      </w:r>
    </w:p>
    <w:p>
      <w:pPr>
        <w:pStyle w:val="Compact"/>
        <w:numPr>
          <w:ilvl w:val="0"/>
          <w:numId w:val="1016"/>
        </w:numPr>
      </w:pPr>
      <w:r>
        <w:t xml:space="preserve">Cloud-to-Local Continuity before Local Execution ;</w:t>
      </w:r>
    </w:p>
    <w:p>
      <w:pPr>
        <w:pStyle w:val="Compact"/>
        <w:numPr>
          <w:ilvl w:val="0"/>
          <w:numId w:val="1016"/>
        </w:numPr>
      </w:pPr>
      <w:r>
        <w:t xml:space="preserve">Governed Command Centers before Institutional Decision Support ;</w:t>
      </w:r>
    </w:p>
    <w:p>
      <w:pPr>
        <w:pStyle w:val="Compact"/>
        <w:numPr>
          <w:ilvl w:val="0"/>
          <w:numId w:val="1016"/>
        </w:numPr>
      </w:pPr>
      <w:r>
        <w:t xml:space="preserve">Decision Support before Decision Automation ;</w:t>
      </w:r>
    </w:p>
    <w:p>
      <w:pPr>
        <w:pStyle w:val="Compact"/>
        <w:numPr>
          <w:ilvl w:val="0"/>
          <w:numId w:val="1016"/>
        </w:numPr>
      </w:pPr>
      <w:r>
        <w:t xml:space="preserve">Traceability Before Performance ;</w:t>
      </w:r>
    </w:p>
    <w:p>
      <w:pPr>
        <w:pStyle w:val="Compact"/>
        <w:numPr>
          <w:ilvl w:val="0"/>
          <w:numId w:val="1016"/>
        </w:numPr>
      </w:pPr>
      <w:r>
        <w:t xml:space="preserve">Knowledge as an Asset ;</w:t>
      </w:r>
    </w:p>
    <w:p>
      <w:pPr>
        <w:pStyle w:val="Compact"/>
        <w:numPr>
          <w:ilvl w:val="0"/>
          <w:numId w:val="1016"/>
        </w:numPr>
      </w:pPr>
      <w:r>
        <w:t xml:space="preserve">AI augments Humans ;</w:t>
      </w:r>
    </w:p>
    <w:p>
      <w:pPr>
        <w:pStyle w:val="Compact"/>
        <w:numPr>
          <w:ilvl w:val="0"/>
          <w:numId w:val="1016"/>
        </w:numPr>
      </w:pPr>
      <w:r>
        <w:t xml:space="preserve">Every completed phase must prepare the next one.</w:t>
      </w:r>
    </w:p>
    <w:p>
      <w:r>
        <w:pict>
          <v:rect style="width:0;height:1.5pt" o:hralign="center" o:hrstd="t" o:hr="t"/>
        </w:pict>
      </w:r>
    </w:p>
    <w:bookmarkEnd w:id="117"/>
    <w:bookmarkStart w:id="118" w:name="exclusions"/>
    <w:p>
      <w:pPr>
        <w:pStyle w:val="Heading1"/>
      </w:pPr>
      <w:r>
        <w:t xml:space="preserve">EXCLUSIONS</w:t>
      </w:r>
    </w:p>
    <w:p>
      <w:pPr>
        <w:pStyle w:val="FirstParagraph"/>
      </w:pPr>
      <w:r>
        <w:t xml:space="preserve">Ne pas :</w:t>
      </w:r>
    </w:p>
    <w:p>
      <w:pPr>
        <w:pStyle w:val="Compact"/>
        <w:numPr>
          <w:ilvl w:val="0"/>
          <w:numId w:val="1017"/>
        </w:numPr>
      </w:pPr>
      <w:r>
        <w:t xml:space="preserve">automatiser une décision institutionnelle ;</w:t>
      </w:r>
    </w:p>
    <w:p>
      <w:pPr>
        <w:pStyle w:val="Compact"/>
        <w:numPr>
          <w:ilvl w:val="0"/>
          <w:numId w:val="1017"/>
        </w:numPr>
      </w:pPr>
      <w:r>
        <w:t xml:space="preserve">automatiser une décision administrative sensible ;</w:t>
      </w:r>
    </w:p>
    <w:p>
      <w:pPr>
        <w:pStyle w:val="Compact"/>
        <w:numPr>
          <w:ilvl w:val="0"/>
          <w:numId w:val="1017"/>
        </w:numPr>
      </w:pPr>
      <w:r>
        <w:t xml:space="preserve">automatiser une décision juridictionnelle ;</w:t>
      </w:r>
    </w:p>
    <w:p>
      <w:pPr>
        <w:pStyle w:val="Compact"/>
        <w:numPr>
          <w:ilvl w:val="0"/>
          <w:numId w:val="1017"/>
        </w:numPr>
      </w:pPr>
      <w:r>
        <w:t xml:space="preserve">créer un moteur de décision ;</w:t>
      </w:r>
    </w:p>
    <w:p>
      <w:pPr>
        <w:pStyle w:val="Compact"/>
        <w:numPr>
          <w:ilvl w:val="0"/>
          <w:numId w:val="1017"/>
        </w:numPr>
      </w:pPr>
      <w:r>
        <w:t xml:space="preserve">déployer un système de décision ;</w:t>
      </w:r>
    </w:p>
    <w:p>
      <w:pPr>
        <w:pStyle w:val="Compact"/>
        <w:numPr>
          <w:ilvl w:val="0"/>
          <w:numId w:val="1017"/>
        </w:numPr>
      </w:pPr>
      <w:r>
        <w:t xml:space="preserve">remplacer le greffier ;</w:t>
      </w:r>
    </w:p>
    <w:p>
      <w:pPr>
        <w:pStyle w:val="Compact"/>
        <w:numPr>
          <w:ilvl w:val="0"/>
          <w:numId w:val="1017"/>
        </w:numPr>
      </w:pPr>
      <w:r>
        <w:t xml:space="preserve">remplacer le magistrat ;</w:t>
      </w:r>
    </w:p>
    <w:p>
      <w:pPr>
        <w:pStyle w:val="Compact"/>
        <w:numPr>
          <w:ilvl w:val="0"/>
          <w:numId w:val="1017"/>
        </w:numPr>
      </w:pPr>
      <w:r>
        <w:t xml:space="preserve">remplacer une autorité administrative ;</w:t>
      </w:r>
    </w:p>
    <w:p>
      <w:pPr>
        <w:pStyle w:val="Compact"/>
        <w:numPr>
          <w:ilvl w:val="0"/>
          <w:numId w:val="1017"/>
        </w:numPr>
      </w:pPr>
      <w:r>
        <w:t xml:space="preserve">transformer une alerte en action automatique ;</w:t>
      </w:r>
    </w:p>
    <w:p>
      <w:pPr>
        <w:pStyle w:val="Compact"/>
        <w:numPr>
          <w:ilvl w:val="0"/>
          <w:numId w:val="1017"/>
        </w:numPr>
      </w:pPr>
      <w:r>
        <w:t xml:space="preserve">transformer une recommandation en instruction ;</w:t>
      </w:r>
    </w:p>
    <w:p>
      <w:pPr>
        <w:pStyle w:val="Compact"/>
        <w:numPr>
          <w:ilvl w:val="0"/>
          <w:numId w:val="1017"/>
        </w:numPr>
      </w:pPr>
      <w:r>
        <w:t xml:space="preserve">transformer un score en décision ;</w:t>
      </w:r>
    </w:p>
    <w:p>
      <w:pPr>
        <w:pStyle w:val="Compact"/>
        <w:numPr>
          <w:ilvl w:val="0"/>
          <w:numId w:val="1017"/>
        </w:numPr>
      </w:pPr>
      <w:r>
        <w:t xml:space="preserve">déclencher des actions sensibles ;</w:t>
      </w:r>
    </w:p>
    <w:p>
      <w:pPr>
        <w:pStyle w:val="Compact"/>
        <w:numPr>
          <w:ilvl w:val="0"/>
          <w:numId w:val="1017"/>
        </w:numPr>
      </w:pPr>
      <w:r>
        <w:t xml:space="preserve">utiliser des données judiciaires réelles non gouvernées ;</w:t>
      </w:r>
    </w:p>
    <w:p>
      <w:pPr>
        <w:pStyle w:val="Compact"/>
        <w:numPr>
          <w:ilvl w:val="0"/>
          <w:numId w:val="1017"/>
        </w:numPr>
      </w:pPr>
      <w:r>
        <w:t xml:space="preserve">publier des informations sensibles ;</w:t>
      </w:r>
    </w:p>
    <w:p>
      <w:pPr>
        <w:pStyle w:val="Compact"/>
        <w:numPr>
          <w:ilvl w:val="0"/>
          <w:numId w:val="1017"/>
        </w:numPr>
      </w:pPr>
      <w:r>
        <w:t xml:space="preserve">contourner la validation humaine ;</w:t>
      </w:r>
    </w:p>
    <w:p>
      <w:pPr>
        <w:pStyle w:val="Compact"/>
        <w:numPr>
          <w:ilvl w:val="0"/>
          <w:numId w:val="1017"/>
        </w:numPr>
      </w:pPr>
      <w:r>
        <w:t xml:space="preserve">supprimer la contestabilité ;</w:t>
      </w:r>
    </w:p>
    <w:p>
      <w:pPr>
        <w:pStyle w:val="Compact"/>
        <w:numPr>
          <w:ilvl w:val="0"/>
          <w:numId w:val="1017"/>
        </w:numPr>
      </w:pPr>
      <w:r>
        <w:t xml:space="preserve">casser l’arborescence documentaire existante ;</w:t>
      </w:r>
    </w:p>
    <w:p>
      <w:pPr>
        <w:pStyle w:val="Compact"/>
        <w:numPr>
          <w:ilvl w:val="0"/>
          <w:numId w:val="1017"/>
        </w:numPr>
      </w:pPr>
      <w:r>
        <w:t xml:space="preserve">recréer manuellement en local des dossiers déjà créés dans le cloud.</w:t>
      </w:r>
    </w:p>
    <w:p>
      <w:r>
        <w:pict>
          <v:rect style="width:0;height:1.5pt" o:hralign="center" o:hrstd="t" o:hr="t"/>
        </w:pict>
      </w:r>
    </w:p>
    <w:bookmarkEnd w:id="118"/>
    <w:bookmarkStart w:id="119" w:name="convention-de-commit"/>
    <w:p>
      <w:pPr>
        <w:pStyle w:val="Heading1"/>
      </w:pPr>
      <w:r>
        <w:t xml:space="preserve">CONVENTION DE COMMIT</w:t>
      </w:r>
    </w:p>
    <w:p>
      <w:pPr>
        <w:pStyle w:val="FirstParagraph"/>
      </w:pPr>
      <w:r>
        <w:t xml:space="preserve">Format :</w:t>
      </w:r>
    </w:p>
    <w:p>
      <w:pPr>
        <w:pStyle w:val="SourceCode"/>
      </w:pPr>
      <w:r>
        <w:rPr>
          <w:rStyle w:val="VerbatimChar"/>
        </w:rPr>
        <w:t xml:space="preserve">PHASE_&lt;n&gt;_&lt;HHMM&gt;: &lt;description&gt;</w:t>
      </w:r>
    </w:p>
    <w:p>
      <w:pPr>
        <w:pStyle w:val="FirstParagraph"/>
      </w:pPr>
      <w:r>
        <w:t xml:space="preserve">Exemples :</w:t>
      </w:r>
    </w:p>
    <w:p>
      <w:pPr>
        <w:pStyle w:val="SourceCode"/>
      </w:pPr>
      <w:r>
        <w:rPr>
          <w:rStyle w:val="VerbatimChar"/>
        </w:rPr>
        <w:t xml:space="preserve">PHASE_15_0900: establish institutional decision support foundation</w:t>
      </w:r>
      <w:r>
        <w:br/>
      </w:r>
      <w:r>
        <w:br/>
      </w:r>
      <w:r>
        <w:rPr>
          <w:rStyle w:val="VerbatimChar"/>
        </w:rPr>
        <w:t xml:space="preserve">PHASE_15_1030: define decision support boundaries</w:t>
      </w:r>
      <w:r>
        <w:br/>
      </w:r>
      <w:r>
        <w:br/>
      </w:r>
      <w:r>
        <w:rPr>
          <w:rStyle w:val="VerbatimChar"/>
        </w:rPr>
        <w:t xml:space="preserve">PHASE_15_1200: establish recommendation governance framework</w:t>
      </w:r>
      <w:r>
        <w:br/>
      </w:r>
      <w:r>
        <w:br/>
      </w:r>
      <w:r>
        <w:rPr>
          <w:rStyle w:val="VerbatimChar"/>
        </w:rPr>
        <w:t xml:space="preserve">PHASE_15_1430: establish human decision log framework</w:t>
      </w:r>
      <w:r>
        <w:br/>
      </w:r>
      <w:r>
        <w:br/>
      </w:r>
      <w:r>
        <w:rPr>
          <w:rStyle w:val="VerbatimChar"/>
        </w:rPr>
        <w:t xml:space="preserve">PHASE_15_1700: complete institutional decision support foundation</w:t>
      </w:r>
    </w:p>
    <w:p>
      <w:r>
        <w:pict>
          <v:rect style="width:0;height:1.5pt" o:hralign="center" o:hrstd="t" o:hr="t"/>
        </w:pict>
      </w:r>
    </w:p>
    <w:bookmarkEnd w:id="119"/>
    <w:bookmarkStart w:id="120" w:name="tests-recommandés"/>
    <w:p>
      <w:pPr>
        <w:pStyle w:val="Heading1"/>
      </w:pPr>
      <w:r>
        <w:t xml:space="preserve">TESTS RECOMMANDÉS</w:t>
      </w:r>
    </w:p>
    <w:p>
      <w:pPr>
        <w:pStyle w:val="FirstParagraph"/>
      </w:pPr>
      <w:r>
        <w:t xml:space="preserve">Vérifier la présence documentaire :</w:t>
      </w:r>
    </w:p>
    <w:p>
      <w:pPr>
        <w:pStyle w:val="SourceCode"/>
      </w:pPr>
      <w:r>
        <w:rPr>
          <w:rStyle w:val="BuiltInTok"/>
        </w:rPr>
        <w:t xml:space="preserve">test</w:t>
      </w:r>
      <w:r>
        <w:rPr>
          <w:rStyle w:val="NormalTok"/>
        </w:rPr>
        <w:t xml:space="preserve"> </w:t>
      </w:r>
      <w:r>
        <w:rPr>
          <w:rStyle w:val="AttributeTok"/>
        </w:rPr>
        <w:t xml:space="preserve">-f</w:t>
      </w:r>
      <w:r>
        <w:rPr>
          <w:rStyle w:val="NormalTok"/>
        </w:rPr>
        <w:t xml:space="preserve"> docs/cs_greffe_os/26_DECISION_SUPPORT/INSTITUTIONAL_DECISION_SUPPORT_FOUNDATION_FRAMEWORK_V1.md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docs/cs_greffe_os/26_DECISION_SUPPORT/DECISION_SUPPORT_REGISTRY_V1.md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docs/cs_greffe_os/26_DECISION_SUPPORT/PROMPT_MERE_PHASE_16_MVP_IMPLEMENTATION_FOUNDATION_V1.md</w:t>
      </w:r>
    </w:p>
    <w:p>
      <w:pPr>
        <w:pStyle w:val="FirstParagraph"/>
      </w:pPr>
      <w:r>
        <w:t xml:space="preserve">Vérifier la cohérence sémantique :</w:t>
      </w:r>
    </w:p>
    <w:p>
      <w:pPr>
        <w:pStyle w:val="SourceCode"/>
      </w:pP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"Decision Support before Decision Automation|Institutional Decision Support Foundation|Human-in-the-loop|recommendation|scoring|contestability|PHASE 15|Phase 16|DECISION_SUPPORT_REGISTRY"</w:t>
      </w:r>
      <w:r>
        <w:rPr>
          <w:rStyle w:val="NormalTok"/>
        </w:rPr>
        <w:t xml:space="preserve"> docs/cs_greffe_os/26_DECISION_SUPPORT docs/cs_greffe_os/01_PROJECT_MEMORY docs/cs_greffe_os/RESOURCE_INDEX_V1.md</w:t>
      </w:r>
    </w:p>
    <w:p>
      <w:pPr>
        <w:pStyle w:val="FirstParagraph"/>
      </w:pPr>
      <w:r>
        <w:t xml:space="preserve">Vérifier l’absence d’activation technique prématurée :</w:t>
      </w:r>
    </w:p>
    <w:p>
      <w:pPr>
        <w:pStyle w:val="SourceCode"/>
      </w:pPr>
      <w:r>
        <w:rPr>
          <w:rStyle w:val="FunctionTok"/>
        </w:rPr>
        <w:t xml:space="preserve">git</w:t>
      </w:r>
      <w:r>
        <w:rPr>
          <w:rStyle w:val="NormalTok"/>
        </w:rPr>
        <w:t xml:space="preserve"> diff </w:t>
      </w:r>
      <w:r>
        <w:rPr>
          <w:rStyle w:val="AttributeTok"/>
        </w:rPr>
        <w:t xml:space="preserve">--</w:t>
      </w:r>
      <w:r>
        <w:rPr>
          <w:rStyle w:val="NormalTok"/>
        </w:rPr>
        <w:t xml:space="preserve"> cs_greffe_os/app.py requirements.txt cs_greffe_os/data source_materials snowflake rag agents api dashboards </w:t>
      </w:r>
      <w:r>
        <w:rPr>
          <w:rStyle w:val="AttributeTok"/>
        </w:rPr>
        <w:t xml:space="preserve">--exit-code</w:t>
      </w:r>
    </w:p>
    <w:p>
      <w:pPr>
        <w:pStyle w:val="FirstParagraph"/>
      </w:pPr>
      <w:r>
        <w:t xml:space="preserve">Lancer le smoke test cloud si le script existe :</w:t>
      </w:r>
    </w:p>
    <w:p>
      <w:pPr>
        <w:pStyle w:val="SourceCode"/>
      </w:pPr>
      <w:r>
        <w:rPr>
          <w:rStyle w:val="ExtensionTok"/>
        </w:rPr>
        <w:t xml:space="preserve">./scripts/codex_cloud_smoke_test.sh</w:t>
      </w:r>
    </w:p>
    <w:p>
      <w:r>
        <w:pict>
          <v:rect style="width:0;height:1.5pt" o:hralign="center" o:hrstd="t" o:hr="t"/>
        </w:pict>
      </w:r>
    </w:p>
    <w:bookmarkEnd w:id="120"/>
    <w:bookmarkStart w:id="121" w:name="critères-de-sortie"/>
    <w:p>
      <w:pPr>
        <w:pStyle w:val="Heading1"/>
      </w:pPr>
      <w:r>
        <w:t xml:space="preserve">CRITÈRES DE SORTIE</w:t>
      </w:r>
    </w:p>
    <w:p>
      <w:pPr>
        <w:pStyle w:val="FirstParagraph"/>
      </w:pPr>
      <w:r>
        <w:t xml:space="preserve">La phase est terminée lorsque :</w:t>
      </w:r>
    </w:p>
    <w:p>
      <w:pPr>
        <w:pStyle w:val="BodyText"/>
      </w:pPr>
      <w:r>
        <w:t xml:space="preserve">✓ l’aide institutionnelle à la décision est définie ;</w:t>
      </w:r>
    </w:p>
    <w:p>
      <w:pPr>
        <w:pStyle w:val="BodyText"/>
      </w:pPr>
      <w:r>
        <w:t xml:space="preserve">✓ les catégories d’aide sont classifiées ;</w:t>
      </w:r>
    </w:p>
    <w:p>
      <w:pPr>
        <w:pStyle w:val="BodyText"/>
      </w:pPr>
      <w:r>
        <w:t xml:space="preserve">✓ les frontières entre information, alerte, recommandation et décision sont documentées ;</w:t>
      </w:r>
    </w:p>
    <w:p>
      <w:pPr>
        <w:pStyle w:val="BodyText"/>
      </w:pPr>
      <w:r>
        <w:t xml:space="preserve">✓ la chaîne alerte → analyse → décision humaine est encadrée ;</w:t>
      </w:r>
    </w:p>
    <w:p>
      <w:pPr>
        <w:pStyle w:val="BodyText"/>
      </w:pPr>
      <w:r>
        <w:t xml:space="preserve">✓ les recommandations sont gouvernées ;</w:t>
      </w:r>
    </w:p>
    <w:p>
      <w:pPr>
        <w:pStyle w:val="BodyText"/>
      </w:pPr>
      <w:r>
        <w:t xml:space="preserve">✓ les scénarios sont gouvernés ;</w:t>
      </w:r>
    </w:p>
    <w:p>
      <w:pPr>
        <w:pStyle w:val="BodyText"/>
      </w:pPr>
      <w:r>
        <w:t xml:space="preserve">✓ le scoring est encadré ;</w:t>
      </w:r>
    </w:p>
    <w:p>
      <w:pPr>
        <w:pStyle w:val="BodyText"/>
      </w:pPr>
      <w:r>
        <w:t xml:space="preserve">✓ la priorisation est encadrée ;</w:t>
      </w:r>
    </w:p>
    <w:p>
      <w:pPr>
        <w:pStyle w:val="BodyText"/>
      </w:pPr>
      <w:r>
        <w:t xml:space="preserve">✓ l’autorité humaine de décision est protégée ;</w:t>
      </w:r>
    </w:p>
    <w:p>
      <w:pPr>
        <w:pStyle w:val="BodyText"/>
      </w:pPr>
      <w:r>
        <w:t xml:space="preserve">✓ les journaux de décision humaine sont préparés ;</w:t>
      </w:r>
    </w:p>
    <w:p>
      <w:pPr>
        <w:pStyle w:val="BodyText"/>
      </w:pPr>
      <w:r>
        <w:t xml:space="preserve">✓ les notes d’aide à la décision sont définies ;</w:t>
      </w:r>
    </w:p>
    <w:p>
      <w:pPr>
        <w:pStyle w:val="BodyText"/>
      </w:pPr>
      <w:r>
        <w:t xml:space="preserve">✓ l’explicabilité est documentée ;</w:t>
      </w:r>
    </w:p>
    <w:p>
      <w:pPr>
        <w:pStyle w:val="BodyText"/>
      </w:pPr>
      <w:r>
        <w:t xml:space="preserve">✓ l’auditabilité est documentée ;</w:t>
      </w:r>
    </w:p>
    <w:p>
      <w:pPr>
        <w:pStyle w:val="BodyText"/>
      </w:pPr>
      <w:r>
        <w:t xml:space="preserve">✓ la contestabilité est documentée ;</w:t>
      </w:r>
    </w:p>
    <w:p>
      <w:pPr>
        <w:pStyle w:val="BodyText"/>
      </w:pPr>
      <w:r>
        <w:t xml:space="preserve">✓ les risques sont gouvernés ;</w:t>
      </w:r>
    </w:p>
    <w:p>
      <w:pPr>
        <w:pStyle w:val="BodyText"/>
      </w:pPr>
      <w:r>
        <w:t xml:space="preserve">✓ les limites judiciaires sont explicitement posées ;</w:t>
      </w:r>
    </w:p>
    <w:p>
      <w:pPr>
        <w:pStyle w:val="BodyText"/>
      </w:pPr>
      <w:r>
        <w:t xml:space="preserve">✓ le protocole Cloud → GitHub → Mac local est documenté ;</w:t>
      </w:r>
    </w:p>
    <w:p>
      <w:pPr>
        <w:pStyle w:val="BodyText"/>
      </w:pPr>
      <w:r>
        <w:t xml:space="preserve">✓ le dossier</w:t>
      </w:r>
      <w:r>
        <w:t xml:space="preserve"> </w:t>
      </w:r>
      <w:r>
        <w:rPr>
          <w:rStyle w:val="VerbatimChar"/>
        </w:rPr>
        <w:t xml:space="preserve">docs/cs_greffe_os/26_DECISION_SUPPORT/</w:t>
      </w:r>
      <w:r>
        <w:t xml:space="preserve"> </w:t>
      </w:r>
      <w:r>
        <w:t xml:space="preserve">est versionné ;</w:t>
      </w:r>
    </w:p>
    <w:p>
      <w:pPr>
        <w:pStyle w:val="BodyText"/>
      </w:pPr>
      <w:r>
        <w:t xml:space="preserve">✓ les exclusions sont respectées ;</w:t>
      </w:r>
    </w:p>
    <w:p>
      <w:pPr>
        <w:pStyle w:val="BodyText"/>
      </w:pPr>
      <w:r>
        <w:t xml:space="preserve">✓ les conditions de réussite de la Phase 16 — MVP Implementation Foundation sont préparées.</w:t>
      </w:r>
    </w:p>
    <w:p>
      <w:r>
        <w:pict>
          <v:rect style="width:0;height:1.5pt" o:hralign="center" o:hrstd="t" o:hr="t"/>
        </w:pict>
      </w:r>
    </w:p>
    <w:bookmarkEnd w:id="121"/>
    <w:bookmarkStart w:id="122" w:name="principe-de-continuité"/>
    <w:p>
      <w:pPr>
        <w:pStyle w:val="Heading1"/>
      </w:pPr>
      <w:r>
        <w:t xml:space="preserve">PRINCIPE DE CONTINUITÉ</w:t>
      </w:r>
    </w:p>
    <w:p>
      <w:pPr>
        <w:pStyle w:val="FirstParagraph"/>
      </w:pPr>
      <w:r>
        <w:t xml:space="preserve">Conformément au Principe Fondamental n°8 :</w:t>
      </w:r>
    </w:p>
    <w:p>
      <w:pPr>
        <w:pStyle w:val="BlockText"/>
      </w:pPr>
      <w:r>
        <w:t xml:space="preserve">Every completed phase must prepare the next one.</w:t>
      </w:r>
    </w:p>
    <w:p>
      <w:pPr>
        <w:pStyle w:val="FirstParagraph"/>
      </w:pPr>
      <w:r>
        <w:t xml:space="preserve">La clôture de la PHASE 15 devra obligatoirement produire :</w:t>
      </w:r>
    </w:p>
    <w:bookmarkEnd w:id="122"/>
    <w:bookmarkStart w:id="123" w:name="Xbe7443d1bd140d8f4dfb699525416cbe2322d97"/>
    <w:p>
      <w:pPr>
        <w:pStyle w:val="Heading1"/>
      </w:pPr>
      <w:r>
        <w:t xml:space="preserve">PROMPT MÈRE — PHASE 16 : MVP IMPLEMENTATION FOUNDATION</w:t>
      </w:r>
    </w:p>
    <w:p>
      <w:pPr>
        <w:pStyle w:val="FirstParagraph"/>
      </w:pPr>
      <w:r>
        <w:t xml:space="preserve">car :</w:t>
      </w:r>
    </w:p>
    <w:p>
      <w:pPr>
        <w:pStyle w:val="SourceCode"/>
      </w:pPr>
      <w:r>
        <w:rPr>
          <w:rStyle w:val="VerbatimChar"/>
        </w:rPr>
        <w:t xml:space="preserve">Foundation</w:t>
      </w:r>
      <w:r>
        <w:br/>
      </w:r>
      <w:r>
        <w:rPr>
          <w:rStyle w:val="VerbatimChar"/>
        </w:rPr>
        <w:t xml:space="preserve">↓</w:t>
      </w:r>
      <w:r>
        <w:br/>
      </w:r>
      <w:r>
        <w:rPr>
          <w:rStyle w:val="VerbatimChar"/>
        </w:rPr>
        <w:t xml:space="preserve">Memory</w:t>
      </w:r>
      <w:r>
        <w:br/>
      </w:r>
      <w:r>
        <w:rPr>
          <w:rStyle w:val="VerbatimChar"/>
        </w:rPr>
        <w:t xml:space="preserve">↓</w:t>
      </w:r>
      <w:r>
        <w:br/>
      </w:r>
      <w:r>
        <w:rPr>
          <w:rStyle w:val="VerbatimChar"/>
        </w:rPr>
        <w:t xml:space="preserve">Platform</w:t>
      </w:r>
      <w:r>
        <w:br/>
      </w:r>
      <w:r>
        <w:rPr>
          <w:rStyle w:val="VerbatimChar"/>
        </w:rPr>
        <w:t xml:space="preserve">↓</w:t>
      </w:r>
      <w:r>
        <w:br/>
      </w:r>
      <w:r>
        <w:rPr>
          <w:rStyle w:val="VerbatimChar"/>
        </w:rPr>
        <w:t xml:space="preserve">Knowledge</w:t>
      </w:r>
      <w:r>
        <w:br/>
      </w:r>
      <w:r>
        <w:rPr>
          <w:rStyle w:val="VerbatimChar"/>
        </w:rPr>
        <w:t xml:space="preserve">↓</w:t>
      </w:r>
      <w:r>
        <w:br/>
      </w:r>
      <w:r>
        <w:rPr>
          <w:rStyle w:val="VerbatimChar"/>
        </w:rPr>
        <w:t xml:space="preserve">Governance</w:t>
      </w:r>
      <w:r>
        <w:br/>
      </w:r>
      <w:r>
        <w:rPr>
          <w:rStyle w:val="VerbatimChar"/>
        </w:rPr>
        <w:t xml:space="preserve">↓</w:t>
      </w:r>
      <w:r>
        <w:br/>
      </w:r>
      <w:r>
        <w:rPr>
          <w:rStyle w:val="VerbatimChar"/>
        </w:rPr>
        <w:t xml:space="preserve">Data</w:t>
      </w:r>
      <w:r>
        <w:br/>
      </w:r>
      <w:r>
        <w:rPr>
          <w:rStyle w:val="VerbatimChar"/>
        </w:rPr>
        <w:t xml:space="preserve">↓</w:t>
      </w:r>
      <w:r>
        <w:br/>
      </w:r>
      <w:r>
        <w:rPr>
          <w:rStyle w:val="VerbatimChar"/>
        </w:rPr>
        <w:t xml:space="preserve">Snowflake</w:t>
      </w:r>
      <w:r>
        <w:br/>
      </w:r>
      <w:r>
        <w:rPr>
          <w:rStyle w:val="VerbatimChar"/>
        </w:rPr>
        <w:t xml:space="preserve">↓</w:t>
      </w:r>
      <w:r>
        <w:br/>
      </w:r>
      <w:r>
        <w:rPr>
          <w:rStyle w:val="VerbatimChar"/>
        </w:rPr>
        <w:t xml:space="preserve">Semantic Layer</w:t>
      </w:r>
      <w:r>
        <w:br/>
      </w:r>
      <w:r>
        <w:rPr>
          <w:rStyle w:val="VerbatimChar"/>
        </w:rPr>
        <w:t xml:space="preserve">↓</w:t>
      </w:r>
      <w:r>
        <w:br/>
      </w:r>
      <w:r>
        <w:rPr>
          <w:rStyle w:val="VerbatimChar"/>
        </w:rPr>
        <w:t xml:space="preserve">RAG</w:t>
      </w:r>
      <w:r>
        <w:br/>
      </w:r>
      <w:r>
        <w:rPr>
          <w:rStyle w:val="VerbatimChar"/>
        </w:rPr>
        <w:t xml:space="preserve">↓</w:t>
      </w:r>
      <w:r>
        <w:br/>
      </w:r>
      <w:r>
        <w:rPr>
          <w:rStyle w:val="VerbatimChar"/>
        </w:rPr>
        <w:t xml:space="preserve">Multi-Agent Systems</w:t>
      </w:r>
      <w:r>
        <w:br/>
      </w:r>
      <w:r>
        <w:rPr>
          <w:rStyle w:val="VerbatimChar"/>
        </w:rPr>
        <w:t xml:space="preserve">↓</w:t>
      </w:r>
      <w:r>
        <w:br/>
      </w:r>
      <w:r>
        <w:rPr>
          <w:rStyle w:val="VerbatimChar"/>
        </w:rPr>
        <w:t xml:space="preserve">AI Governance</w:t>
      </w:r>
      <w:r>
        <w:br/>
      </w:r>
      <w:r>
        <w:rPr>
          <w:rStyle w:val="VerbatimChar"/>
        </w:rPr>
        <w:t xml:space="preserve">↓</w:t>
      </w:r>
      <w:r>
        <w:br/>
      </w:r>
      <w:r>
        <w:rPr>
          <w:rStyle w:val="VerbatimChar"/>
        </w:rPr>
        <w:t xml:space="preserve">LLMOps</w:t>
      </w:r>
      <w:r>
        <w:br/>
      </w:r>
      <w:r>
        <w:rPr>
          <w:rStyle w:val="VerbatimChar"/>
        </w:rPr>
        <w:t xml:space="preserve">↓</w:t>
      </w:r>
      <w:r>
        <w:br/>
      </w:r>
      <w:r>
        <w:rPr>
          <w:rStyle w:val="VerbatimChar"/>
        </w:rPr>
        <w:t xml:space="preserve">Business Modules</w:t>
      </w:r>
      <w:r>
        <w:br/>
      </w:r>
      <w:r>
        <w:rPr>
          <w:rStyle w:val="VerbatimChar"/>
        </w:rPr>
        <w:t xml:space="preserve">↓</w:t>
      </w:r>
      <w:r>
        <w:br/>
      </w:r>
      <w:r>
        <w:rPr>
          <w:rStyle w:val="VerbatimChar"/>
        </w:rPr>
        <w:t xml:space="preserve">Applications</w:t>
      </w:r>
      <w:r>
        <w:br/>
      </w:r>
      <w:r>
        <w:rPr>
          <w:rStyle w:val="VerbatimChar"/>
        </w:rPr>
        <w:t xml:space="preserve">↓</w:t>
      </w:r>
      <w:r>
        <w:br/>
      </w:r>
      <w:r>
        <w:rPr>
          <w:rStyle w:val="VerbatimChar"/>
        </w:rPr>
        <w:t xml:space="preserve">Dashboards</w:t>
      </w:r>
      <w:r>
        <w:br/>
      </w:r>
      <w:r>
        <w:rPr>
          <w:rStyle w:val="VerbatimChar"/>
        </w:rPr>
        <w:t xml:space="preserve">↓</w:t>
      </w:r>
      <w:r>
        <w:br/>
      </w:r>
      <w:r>
        <w:rPr>
          <w:rStyle w:val="VerbatimChar"/>
        </w:rPr>
        <w:t xml:space="preserve">Command Centers</w:t>
      </w:r>
      <w:r>
        <w:br/>
      </w:r>
      <w:r>
        <w:rPr>
          <w:rStyle w:val="VerbatimChar"/>
        </w:rPr>
        <w:t xml:space="preserve">↓</w:t>
      </w:r>
      <w:r>
        <w:br/>
      </w:r>
      <w:r>
        <w:rPr>
          <w:rStyle w:val="VerbatimChar"/>
        </w:rPr>
        <w:t xml:space="preserve">Institutional Decision Support</w:t>
      </w:r>
      <w:r>
        <w:br/>
      </w:r>
      <w:r>
        <w:rPr>
          <w:rStyle w:val="VerbatimChar"/>
        </w:rPr>
        <w:t xml:space="preserve">↓</w:t>
      </w:r>
      <w:r>
        <w:br/>
      </w:r>
      <w:r>
        <w:rPr>
          <w:rStyle w:val="VerbatimChar"/>
        </w:rPr>
        <w:t xml:space="preserve">MVP Implementation</w:t>
      </w:r>
    </w:p>
    <w:p>
      <w:r>
        <w:pict>
          <v:rect style="width:0;height:1.5pt" o:hralign="center" o:hrstd="t" o:hr="t"/>
        </w:pict>
      </w:r>
    </w:p>
    <w:bookmarkEnd w:id="123"/>
    <w:bookmarkStart w:id="124" w:name="maxime-de-la-phase-15"/>
    <w:p>
      <w:pPr>
        <w:pStyle w:val="Heading1"/>
      </w:pPr>
      <w:r>
        <w:t xml:space="preserve">MAXIME DE LA PHASE 15</w:t>
      </w:r>
    </w:p>
    <w:p>
      <w:pPr>
        <w:pStyle w:val="BlockText"/>
      </w:pPr>
      <w:r>
        <w:t xml:space="preserve">Une aide à la décision sans gouvernance peut devenir une décision déguisée.</w:t>
      </w:r>
    </w:p>
    <w:p>
      <w:pPr>
        <w:pStyle w:val="BlockText"/>
      </w:pPr>
      <w:r>
        <w:t xml:space="preserve">Une aide à la décision gouvernée renforce l’autorité humaine sans s’y substituer.</w:t>
      </w:r>
    </w:p>
    <w:p>
      <w:pPr>
        <w:pStyle w:val="BlockText"/>
      </w:pPr>
      <w:r>
        <w:t xml:space="preserve">Un score ne décide pas. Une recommandation n’ordonne pas. Une alerte ne tranche pas.</w:t>
      </w:r>
    </w:p>
    <w:p>
      <w:pPr>
        <w:pStyle w:val="FirstParagraph"/>
      </w:pPr>
      <w:r>
        <w:t xml:space="preserve">La Phase 15 transforme donc les Command Centers gouvernés en fondations d’aide institutionnelle à la décision.</w:t>
      </w:r>
    </w:p>
    <w:p>
      <w:pPr>
        <w:pStyle w:val="BodyText"/>
      </w:pPr>
      <w:r>
        <w:t xml:space="preserve">Elle ouvre la voie à la PHASE 16 — MVP IMPLEMENTATION FOUNDATION.</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2026-06-15T12:00:43Z</dcterms:created>
  <dcterms:modified xsi:type="dcterms:W3CDTF">2026-06-15T12:00:43Z</dcterms:modified>
</cp:coreProperties>
</file>

<file path=docProps/custom.xml><?xml version="1.0" encoding="utf-8"?>
<Properties xmlns="http://schemas.openxmlformats.org/officeDocument/2006/custom-properties" xmlns:vt="http://schemas.openxmlformats.org/officeDocument/2006/docPropsVTypes"/>
</file>