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mpt-mère-phase-3-knowledge-foundation"/>
    <w:p>
      <w:pPr>
        <w:pStyle w:val="Heading1"/>
      </w:pPr>
      <w:r>
        <w:t xml:space="preserve">PROMPT MÈRE — PHASE 3 : KNOWLEDGE FOUNDATION</w:t>
      </w:r>
    </w:p>
    <w:bookmarkEnd w:id="20"/>
    <w:bookmarkStart w:id="22" w:name="X88d40aee989b8679d00021948c63da38ff5dccc"/>
    <w:p>
      <w:pPr>
        <w:pStyle w:val="Heading1"/>
      </w:pPr>
      <w:r>
        <w:t xml:space="preserve">CS GREFFE OS — Strategic Greffe Governance Command Center</w:t>
      </w:r>
    </w:p>
    <w:bookmarkStart w:id="21" w:name="living-governance-engineering"/>
    <w:p>
      <w:pPr>
        <w:pStyle w:val="Heading2"/>
      </w:pPr>
      <w:r>
        <w:t xml:space="preserve">Living Governance Engineering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ntexte"/>
    <w:p>
      <w:pPr>
        <w:pStyle w:val="Heading1"/>
      </w:pPr>
      <w:r>
        <w:t xml:space="preserve">CONTEXTE</w:t>
      </w:r>
    </w:p>
    <w:p>
      <w:pPr>
        <w:pStyle w:val="FirstParagraph"/>
      </w:pPr>
      <w:r>
        <w:t xml:space="preserve">Tu es Codex.</w:t>
      </w:r>
    </w:p>
    <w:p>
      <w:pPr>
        <w:pStyle w:val="BodyText"/>
      </w:pPr>
      <w:r>
        <w:t xml:space="preserve">Tu travailles sur :</w:t>
      </w:r>
    </w:p>
    <w:bookmarkEnd w:id="23"/>
    <w:bookmarkStart w:id="24" w:name="X66473995df0efef41bcb4462f35045b0c0f82c1"/>
    <w:p>
      <w:pPr>
        <w:pStyle w:val="Heading1"/>
      </w:pPr>
      <w:r>
        <w:t xml:space="preserve">CS GREFFE OS — Strategic Greffe Governance Command Center</w:t>
      </w:r>
    </w:p>
    <w:p>
      <w:pPr>
        <w:pStyle w:val="FirstParagraph"/>
      </w:pPr>
      <w:r>
        <w:t xml:space="preserve">dans le cadre méthodologique :</w:t>
      </w:r>
    </w:p>
    <w:bookmarkEnd w:id="24"/>
    <w:bookmarkStart w:id="25" w:name="living-governance-engineering."/>
    <w:p>
      <w:pPr>
        <w:pStyle w:val="Heading1"/>
      </w:pPr>
      <w:r>
        <w:t xml:space="preserve">Living Governance Engineering.</w:t>
      </w:r>
    </w:p>
    <w:p>
      <w:pPr>
        <w:pStyle w:val="FirstParagraph"/>
      </w:pPr>
      <w:r>
        <w:t xml:space="preserve">Les phases suivantes sont terminées :</w:t>
      </w:r>
    </w:p>
    <w:p>
      <w:pPr>
        <w:pStyle w:val="SourceCode"/>
      </w:pPr>
      <w:r>
        <w:rPr>
          <w:rStyle w:val="VerbatimChar"/>
        </w:rPr>
        <w:t xml:space="preserve">PHASE 0</w:t>
      </w:r>
      <w:r>
        <w:br/>
      </w: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Living Memory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Platform Skeleton</w:t>
      </w:r>
      <w:r>
        <w:br/>
      </w:r>
      <w:r>
        <w:rPr>
          <w:rStyle w:val="VerbatimChar"/>
        </w:rPr>
        <w:t xml:space="preserve">✓</w:t>
      </w:r>
    </w:p>
    <w:p>
      <w:pPr>
        <w:pStyle w:val="FirstParagraph"/>
      </w:pPr>
      <w:r>
        <w:t xml:space="preserve">La mission actuelle est :</w:t>
      </w:r>
    </w:p>
    <w:bookmarkEnd w:id="25"/>
    <w:bookmarkStart w:id="26" w:name="phase-3-knowledge-foundation"/>
    <w:p>
      <w:pPr>
        <w:pStyle w:val="Heading1"/>
      </w:pPr>
      <w:r>
        <w:t xml:space="preserve">PHASE 3 — KNOWLEDGE FOUNDATION</w:t>
      </w:r>
    </w:p>
    <w:p>
      <w:r>
        <w:pict>
          <v:rect style="width:0;height:1.5pt" o:hralign="center" o:hrstd="t" o:hr="t"/>
        </w:pict>
      </w:r>
    </w:p>
    <w:bookmarkEnd w:id="26"/>
    <w:bookmarkStart w:id="27" w:name="principe-directeur"/>
    <w:p>
      <w:pPr>
        <w:pStyle w:val="Heading1"/>
      </w:pPr>
      <w:r>
        <w:t xml:space="preserve">PRINCIPE DIRECTEUR</w:t>
      </w:r>
    </w:p>
    <w:p>
      <w:pPr>
        <w:pStyle w:val="BlockText"/>
      </w:pPr>
      <w:r>
        <w:t xml:space="preserve">Knowledge as an Asset.</w:t>
      </w:r>
    </w:p>
    <w:p>
      <w:pPr>
        <w:pStyle w:val="FirstParagraph"/>
      </w:pPr>
      <w:r>
        <w:t xml:space="preserve">Après :</w:t>
      </w:r>
    </w:p>
    <w:p>
      <w:pPr>
        <w:pStyle w:val="SourceCode"/>
      </w:pP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Platform</w:t>
      </w:r>
    </w:p>
    <w:p>
      <w:pPr>
        <w:pStyle w:val="FirstParagraph"/>
      </w:pPr>
      <w:r>
        <w:t xml:space="preserve">vient :</w:t>
      </w:r>
    </w:p>
    <w:p>
      <w:pPr>
        <w:pStyle w:val="SourceCode"/>
      </w:pPr>
      <w:r>
        <w:rPr>
          <w:rStyle w:val="VerbatimChar"/>
        </w:rPr>
        <w:t xml:space="preserve">Knowledge</w:t>
      </w:r>
    </w:p>
    <w:p>
      <w:pPr>
        <w:pStyle w:val="FirstParagraph"/>
      </w:pPr>
      <w:r>
        <w:t xml:space="preserve">car la connaissance constitue le socle :</w:t>
      </w:r>
    </w:p>
    <w:p>
      <w:pPr>
        <w:pStyle w:val="Compact"/>
        <w:numPr>
          <w:ilvl w:val="0"/>
          <w:numId w:val="1001"/>
        </w:numPr>
      </w:pPr>
      <w:r>
        <w:t xml:space="preserve">du JDGO ;</w:t>
      </w:r>
    </w:p>
    <w:p>
      <w:pPr>
        <w:pStyle w:val="Compact"/>
        <w:numPr>
          <w:ilvl w:val="0"/>
          <w:numId w:val="1001"/>
        </w:numPr>
      </w:pPr>
      <w:r>
        <w:t xml:space="preserve">du Governed Judicial Data Platform ;</w:t>
      </w:r>
    </w:p>
    <w:p>
      <w:pPr>
        <w:pStyle w:val="Compact"/>
        <w:numPr>
          <w:ilvl w:val="0"/>
          <w:numId w:val="1001"/>
        </w:numPr>
      </w:pPr>
      <w:r>
        <w:t xml:space="preserve">de Snowflake ;</w:t>
      </w:r>
    </w:p>
    <w:p>
      <w:pPr>
        <w:pStyle w:val="Compact"/>
        <w:numPr>
          <w:ilvl w:val="0"/>
          <w:numId w:val="1001"/>
        </w:numPr>
      </w:pPr>
      <w:r>
        <w:t xml:space="preserve">du RAG ;</w:t>
      </w:r>
    </w:p>
    <w:p>
      <w:pPr>
        <w:pStyle w:val="Compact"/>
        <w:numPr>
          <w:ilvl w:val="0"/>
          <w:numId w:val="1001"/>
        </w:numPr>
      </w:pPr>
      <w:r>
        <w:t xml:space="preserve">des agents ;</w:t>
      </w:r>
    </w:p>
    <w:p>
      <w:pPr>
        <w:pStyle w:val="Compact"/>
        <w:numPr>
          <w:ilvl w:val="0"/>
          <w:numId w:val="1001"/>
        </w:numPr>
      </w:pPr>
      <w:r>
        <w:t xml:space="preserve">des dashboards ;</w:t>
      </w:r>
    </w:p>
    <w:p>
      <w:pPr>
        <w:pStyle w:val="Compact"/>
        <w:numPr>
          <w:ilvl w:val="0"/>
          <w:numId w:val="1001"/>
        </w:numPr>
      </w:pPr>
      <w:r>
        <w:t xml:space="preserve">du Strategic Greffe Governance Command Center ;</w:t>
      </w:r>
    </w:p>
    <w:p>
      <w:pPr>
        <w:pStyle w:val="Compact"/>
        <w:numPr>
          <w:ilvl w:val="0"/>
          <w:numId w:val="1001"/>
        </w:numPr>
      </w:pPr>
      <w:r>
        <w:t xml:space="preserve">du Judicial Governance Command Center.</w:t>
      </w:r>
    </w:p>
    <w:p>
      <w:r>
        <w:pict>
          <v:rect style="width:0;height:1.5pt" o:hralign="center" o:hrstd="t" o:hr="t"/>
        </w:pict>
      </w:r>
    </w:p>
    <w:bookmarkEnd w:id="27"/>
    <w:bookmarkStart w:id="28" w:name="objectif"/>
    <w:p>
      <w:pPr>
        <w:pStyle w:val="Heading1"/>
      </w:pPr>
      <w:r>
        <w:t xml:space="preserve">OBJECTIF</w:t>
      </w:r>
    </w:p>
    <w:p>
      <w:pPr>
        <w:pStyle w:val="FirstParagraph"/>
      </w:pPr>
      <w:r>
        <w:t xml:space="preserve">Construire la gouvernance des connaissances du système.</w:t>
      </w:r>
    </w:p>
    <w:p>
      <w:pPr>
        <w:pStyle w:val="BodyText"/>
      </w:pPr>
      <w:r>
        <w:t xml:space="preserve">La connaissance doit être :</w:t>
      </w:r>
    </w:p>
    <w:p>
      <w:pPr>
        <w:pStyle w:val="Compact"/>
        <w:numPr>
          <w:ilvl w:val="0"/>
          <w:numId w:val="1002"/>
        </w:numPr>
      </w:pPr>
      <w:r>
        <w:t xml:space="preserve">gouvernée ;</w:t>
      </w:r>
    </w:p>
    <w:p>
      <w:pPr>
        <w:pStyle w:val="Compact"/>
        <w:numPr>
          <w:ilvl w:val="0"/>
          <w:numId w:val="1002"/>
        </w:numPr>
      </w:pPr>
      <w:r>
        <w:t xml:space="preserve">traçable ;</w:t>
      </w:r>
    </w:p>
    <w:p>
      <w:pPr>
        <w:pStyle w:val="Compact"/>
        <w:numPr>
          <w:ilvl w:val="0"/>
          <w:numId w:val="1002"/>
        </w:numPr>
      </w:pPr>
      <w:r>
        <w:t xml:space="preserve">validée ;</w:t>
      </w:r>
    </w:p>
    <w:p>
      <w:pPr>
        <w:pStyle w:val="Compact"/>
        <w:numPr>
          <w:ilvl w:val="0"/>
          <w:numId w:val="1002"/>
        </w:numPr>
      </w:pPr>
      <w:r>
        <w:t xml:space="preserve">versionnée ;</w:t>
      </w:r>
    </w:p>
    <w:p>
      <w:pPr>
        <w:pStyle w:val="Compact"/>
        <w:numPr>
          <w:ilvl w:val="0"/>
          <w:numId w:val="1002"/>
        </w:numPr>
      </w:pPr>
      <w:r>
        <w:t xml:space="preserve">durable ;</w:t>
      </w:r>
    </w:p>
    <w:p>
      <w:pPr>
        <w:pStyle w:val="Compact"/>
        <w:numPr>
          <w:ilvl w:val="0"/>
          <w:numId w:val="1002"/>
        </w:numPr>
      </w:pPr>
      <w:r>
        <w:t xml:space="preserve">portable ;</w:t>
      </w:r>
    </w:p>
    <w:p>
      <w:pPr>
        <w:pStyle w:val="Compact"/>
        <w:numPr>
          <w:ilvl w:val="0"/>
          <w:numId w:val="1002"/>
        </w:numPr>
      </w:pPr>
      <w:r>
        <w:t xml:space="preserve">réutilisable ;</w:t>
      </w:r>
    </w:p>
    <w:p>
      <w:pPr>
        <w:pStyle w:val="Compact"/>
        <w:numPr>
          <w:ilvl w:val="0"/>
          <w:numId w:val="1002"/>
        </w:numPr>
      </w:pPr>
      <w:r>
        <w:t xml:space="preserve">exportable ;</w:t>
      </w:r>
    </w:p>
    <w:p>
      <w:pPr>
        <w:pStyle w:val="Compact"/>
        <w:numPr>
          <w:ilvl w:val="0"/>
          <w:numId w:val="1002"/>
        </w:numPr>
      </w:pPr>
      <w:r>
        <w:t xml:space="preserve">compatible avec les humains et les agents IA.</w:t>
      </w:r>
    </w:p>
    <w:p>
      <w:r>
        <w:pict>
          <v:rect style="width:0;height:1.5pt" o:hralign="center" o:hrstd="t" o:hr="t"/>
        </w:pict>
      </w:r>
    </w:p>
    <w:bookmarkEnd w:id="28"/>
    <w:bookmarkStart w:id="29" w:name="domaine"/>
    <w:p>
      <w:pPr>
        <w:pStyle w:val="Heading1"/>
      </w:pPr>
      <w:r>
        <w:t xml:space="preserve">DOMAINE</w:t>
      </w:r>
    </w:p>
    <w:p>
      <w:pPr>
        <w:pStyle w:val="SourceCode"/>
      </w:pPr>
      <w:r>
        <w:rPr>
          <w:rStyle w:val="VerbatimChar"/>
        </w:rPr>
        <w:t xml:space="preserve">docs/cs_greffe_os/</w:t>
      </w:r>
      <w:r>
        <w:br/>
      </w:r>
      <w:r>
        <w:br/>
      </w:r>
      <w:r>
        <w:rPr>
          <w:rStyle w:val="VerbatimChar"/>
        </w:rPr>
        <w:t xml:space="preserve">08_KNOWLEDGE_GOVERNANCE/</w:t>
      </w:r>
    </w:p>
    <w:p>
      <w:r>
        <w:pict>
          <v:rect style="width:0;height:1.5pt" o:hralign="center" o:hrstd="t" o:hr="t"/>
        </w:pict>
      </w:r>
    </w:p>
    <w:bookmarkEnd w:id="29"/>
    <w:bookmarkStart w:id="39" w:name="ressources-à-produire"/>
    <w:p>
      <w:pPr>
        <w:pStyle w:val="Heading1"/>
      </w:pPr>
      <w:r>
        <w:t xml:space="preserve">RESSOURCES À PRODUIRE</w:t>
      </w:r>
    </w:p>
    <w:bookmarkStart w:id="38" w:name="framework-général"/>
    <w:p>
      <w:pPr>
        <w:pStyle w:val="Heading2"/>
      </w:pPr>
      <w:r>
        <w:t xml:space="preserve">Framework général</w:t>
      </w:r>
    </w:p>
    <w:bookmarkStart w:id="30" w:name="knowledge_governance_framework_v1.md"/>
    <w:p>
      <w:pPr>
        <w:pStyle w:val="Heading3"/>
      </w:pPr>
      <w:r>
        <w:t xml:space="preserve">KNOWLEDGE_GOVERNANCE_FRAMEWORK_V1.md</w:t>
      </w:r>
    </w:p>
    <w:p>
      <w:pPr>
        <w:pStyle w:val="FirstParagraph"/>
      </w:pPr>
      <w:r>
        <w:t xml:space="preserve">Document fondateur.</w:t>
      </w:r>
    </w:p>
    <w:p>
      <w:r>
        <w:pict>
          <v:rect style="width:0;height:1.5pt" o:hralign="center" o:hrstd="t" o:hr="t"/>
        </w:pict>
      </w:r>
    </w:p>
    <w:bookmarkEnd w:id="30"/>
    <w:bookmarkStart w:id="31" w:name="knowledge_base_strategy_v1.md"/>
    <w:p>
      <w:pPr>
        <w:pStyle w:val="Heading3"/>
      </w:pPr>
      <w:r>
        <w:t xml:space="preserve">KNOWLEDGE_BASE_STRATEGY_V1.md</w:t>
      </w:r>
    </w:p>
    <w:p>
      <w:pPr>
        <w:pStyle w:val="FirstParagraph"/>
      </w:pPr>
      <w:r>
        <w:t xml:space="preserve">Stratégie de la base de connaissances.</w:t>
      </w:r>
    </w:p>
    <w:p>
      <w:r>
        <w:pict>
          <v:rect style="width:0;height:1.5pt" o:hralign="center" o:hrstd="t" o:hr="t"/>
        </w:pict>
      </w:r>
    </w:p>
    <w:bookmarkEnd w:id="31"/>
    <w:bookmarkStart w:id="32" w:name="knowledge_source_hierarchy_v1.md"/>
    <w:p>
      <w:pPr>
        <w:pStyle w:val="Heading3"/>
      </w:pPr>
      <w:r>
        <w:t xml:space="preserve">KNOWLEDGE_SOURCE_HIERARCHY_V1.md</w:t>
      </w:r>
    </w:p>
    <w:p>
      <w:pPr>
        <w:pStyle w:val="FirstParagraph"/>
      </w:pPr>
      <w:r>
        <w:t xml:space="preserve">Hiérarchie des sources.</w:t>
      </w:r>
    </w:p>
    <w:p>
      <w:r>
        <w:pict>
          <v:rect style="width:0;height:1.5pt" o:hralign="center" o:hrstd="t" o:hr="t"/>
        </w:pict>
      </w:r>
    </w:p>
    <w:bookmarkEnd w:id="32"/>
    <w:bookmarkStart w:id="33" w:name="source_management_framework_v1.md"/>
    <w:p>
      <w:pPr>
        <w:pStyle w:val="Heading3"/>
      </w:pPr>
      <w:r>
        <w:t xml:space="preserve">SOURCE_MANAGEMENT_FRAMEWORK_V1.md</w:t>
      </w:r>
    </w:p>
    <w:p>
      <w:pPr>
        <w:pStyle w:val="FirstParagraph"/>
      </w:pPr>
      <w:r>
        <w:t xml:space="preserve">Gestion des sources.</w:t>
      </w:r>
    </w:p>
    <w:p>
      <w:r>
        <w:pict>
          <v:rect style="width:0;height:1.5pt" o:hralign="center" o:hrstd="t" o:hr="t"/>
        </w:pict>
      </w:r>
    </w:p>
    <w:bookmarkEnd w:id="33"/>
    <w:bookmarkStart w:id="34" w:name="knowledge_validation_protocol_v1.md"/>
    <w:p>
      <w:pPr>
        <w:pStyle w:val="Heading3"/>
      </w:pPr>
      <w:r>
        <w:t xml:space="preserve">KNOWLEDGE_VALIDATION_PROTOCOL_V1.md</w:t>
      </w:r>
    </w:p>
    <w:p>
      <w:pPr>
        <w:pStyle w:val="FirstParagraph"/>
      </w:pPr>
      <w:r>
        <w:t xml:space="preserve">Validation.</w:t>
      </w:r>
    </w:p>
    <w:p>
      <w:r>
        <w:pict>
          <v:rect style="width:0;height:1.5pt" o:hralign="center" o:hrstd="t" o:hr="t"/>
        </w:pict>
      </w:r>
    </w:p>
    <w:bookmarkEnd w:id="34"/>
    <w:bookmarkStart w:id="35" w:name="knowledge_quality_framework_v1.md"/>
    <w:p>
      <w:pPr>
        <w:pStyle w:val="Heading3"/>
      </w:pPr>
      <w:r>
        <w:t xml:space="preserve">KNOWLEDGE_QUALITY_FRAMEWORK_V1.md</w:t>
      </w:r>
    </w:p>
    <w:p>
      <w:pPr>
        <w:pStyle w:val="FirstParagraph"/>
      </w:pPr>
      <w:r>
        <w:t xml:space="preserve">Qualité des connaissances.</w:t>
      </w:r>
    </w:p>
    <w:p>
      <w:r>
        <w:pict>
          <v:rect style="width:0;height:1.5pt" o:hralign="center" o:hrstd="t" o:hr="t"/>
        </w:pict>
      </w:r>
    </w:p>
    <w:bookmarkEnd w:id="35"/>
    <w:bookmarkStart w:id="36" w:name="knowledge_traceability_framework_v1.md"/>
    <w:p>
      <w:pPr>
        <w:pStyle w:val="Heading3"/>
      </w:pPr>
      <w:r>
        <w:t xml:space="preserve">KNOWLEDGE_TRACEABILITY_FRAMEWORK_V1.md</w:t>
      </w:r>
    </w:p>
    <w:p>
      <w:pPr>
        <w:pStyle w:val="FirstParagraph"/>
      </w:pPr>
      <w:r>
        <w:t xml:space="preserve">Traçabilité.</w:t>
      </w:r>
    </w:p>
    <w:p>
      <w:r>
        <w:pict>
          <v:rect style="width:0;height:1.5pt" o:hralign="center" o:hrstd="t" o:hr="t"/>
        </w:pict>
      </w:r>
    </w:p>
    <w:bookmarkEnd w:id="36"/>
    <w:bookmarkStart w:id="37" w:name="X13cad81ffe8bced2d67a043fadba11e762ff8d8"/>
    <w:p>
      <w:pPr>
        <w:pStyle w:val="Heading3"/>
      </w:pPr>
      <w:r>
        <w:t xml:space="preserve">KNOWLEDGE_GOVERNANCE_MATURITY_MODEL_V1.md</w:t>
      </w:r>
    </w:p>
    <w:p>
      <w:pPr>
        <w:pStyle w:val="FirstParagraph"/>
      </w:pPr>
      <w:r>
        <w:t xml:space="preserve">Modèle de maturité.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6" w:name="gouvernance-documentaire"/>
    <w:p>
      <w:pPr>
        <w:pStyle w:val="Heading1"/>
      </w:pPr>
      <w:r>
        <w:t xml:space="preserve">Gouvernance documentaire</w:t>
      </w:r>
    </w:p>
    <w:bookmarkStart w:id="40" w:name="document_classification_framework_v1.md"/>
    <w:p>
      <w:pPr>
        <w:pStyle w:val="Heading3"/>
      </w:pPr>
      <w:r>
        <w:t xml:space="preserve">DOCUMENT_CLASSIFICATION_FRAMEWORK_V1.md</w:t>
      </w:r>
    </w:p>
    <w:p>
      <w:pPr>
        <w:pStyle w:val="FirstParagraph"/>
      </w:pPr>
      <w:r>
        <w:t xml:space="preserve">Classification documentaire.</w:t>
      </w:r>
    </w:p>
    <w:p>
      <w:r>
        <w:pict>
          <v:rect style="width:0;height:1.5pt" o:hralign="center" o:hrstd="t" o:hr="t"/>
        </w:pict>
      </w:r>
    </w:p>
    <w:bookmarkEnd w:id="40"/>
    <w:bookmarkStart w:id="41" w:name="document_versioning_framework_v1.md"/>
    <w:p>
      <w:pPr>
        <w:pStyle w:val="Heading3"/>
      </w:pPr>
      <w:r>
        <w:t xml:space="preserve">DOCUMENT_VERSIONING_FRAMEWORK_V1.md</w:t>
      </w:r>
    </w:p>
    <w:p>
      <w:pPr>
        <w:pStyle w:val="FirstParagraph"/>
      </w:pPr>
      <w:r>
        <w:t xml:space="preserve">Versionnement.</w:t>
      </w:r>
    </w:p>
    <w:p>
      <w:r>
        <w:pict>
          <v:rect style="width:0;height:1.5pt" o:hralign="center" o:hrstd="t" o:hr="t"/>
        </w:pict>
      </w:r>
    </w:p>
    <w:bookmarkEnd w:id="41"/>
    <w:bookmarkStart w:id="42" w:name="document_lifecycle_framework_v1.md"/>
    <w:p>
      <w:pPr>
        <w:pStyle w:val="Heading3"/>
      </w:pPr>
      <w:r>
        <w:t xml:space="preserve">DOCUMENT_LIFECYCLE_FRAMEWORK_V1.md</w:t>
      </w:r>
    </w:p>
    <w:p>
      <w:pPr>
        <w:pStyle w:val="FirstParagraph"/>
      </w:pPr>
      <w:r>
        <w:t xml:space="preserve">Cycle de vie.</w:t>
      </w:r>
    </w:p>
    <w:p>
      <w:r>
        <w:pict>
          <v:rect style="width:0;height:1.5pt" o:hralign="center" o:hrstd="t" o:hr="t"/>
        </w:pict>
      </w:r>
    </w:p>
    <w:bookmarkEnd w:id="42"/>
    <w:bookmarkStart w:id="43" w:name="knowledge_retention_policy_v1.md"/>
    <w:p>
      <w:pPr>
        <w:pStyle w:val="Heading3"/>
      </w:pPr>
      <w:r>
        <w:t xml:space="preserve">KNOWLEDGE_RETENTION_POLICY_V1.md</w:t>
      </w:r>
    </w:p>
    <w:p>
      <w:pPr>
        <w:pStyle w:val="FirstParagraph"/>
      </w:pPr>
      <w:r>
        <w:t xml:space="preserve">Conservation.</w:t>
      </w:r>
    </w:p>
    <w:p>
      <w:r>
        <w:pict>
          <v:rect style="width:0;height:1.5pt" o:hralign="center" o:hrstd="t" o:hr="t"/>
        </w:pict>
      </w:r>
    </w:p>
    <w:bookmarkEnd w:id="43"/>
    <w:bookmarkStart w:id="44" w:name="knowledge_metadata_framework_v1.md"/>
    <w:p>
      <w:pPr>
        <w:pStyle w:val="Heading3"/>
      </w:pPr>
      <w:r>
        <w:t xml:space="preserve">KNOWLEDGE_METADATA_FRAMEWORK_V1.md</w:t>
      </w:r>
    </w:p>
    <w:p>
      <w:pPr>
        <w:pStyle w:val="FirstParagraph"/>
      </w:pPr>
      <w:r>
        <w:t xml:space="preserve">Métadonnées.</w:t>
      </w:r>
    </w:p>
    <w:p>
      <w:r>
        <w:pict>
          <v:rect style="width:0;height:1.5pt" o:hralign="center" o:hrstd="t" o:hr="t"/>
        </w:pict>
      </w:r>
    </w:p>
    <w:bookmarkEnd w:id="44"/>
    <w:bookmarkStart w:id="45" w:name="knowledge_catalog_framework_v1.md"/>
    <w:p>
      <w:pPr>
        <w:pStyle w:val="Heading3"/>
      </w:pPr>
      <w:r>
        <w:t xml:space="preserve">KNOWLEDGE_CATALOG_FRAMEWORK_V1.md</w:t>
      </w:r>
    </w:p>
    <w:p>
      <w:pPr>
        <w:pStyle w:val="FirstParagraph"/>
      </w:pPr>
      <w:r>
        <w:t xml:space="preserve">Catalogue.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qualité-et-citation"/>
    <w:p>
      <w:pPr>
        <w:pStyle w:val="Heading1"/>
      </w:pPr>
      <w:r>
        <w:t xml:space="preserve">Qualité et citation</w:t>
      </w:r>
    </w:p>
    <w:bookmarkStart w:id="47" w:name="citation_policy_v1.md"/>
    <w:p>
      <w:pPr>
        <w:pStyle w:val="Heading3"/>
      </w:pPr>
      <w:r>
        <w:t xml:space="preserve">CITATION_POLICY_V1.md</w:t>
      </w:r>
    </w:p>
    <w:p>
      <w:pPr>
        <w:pStyle w:val="FirstParagraph"/>
      </w:pPr>
      <w:r>
        <w:t xml:space="preserve">Politique de citation.</w:t>
      </w:r>
    </w:p>
    <w:p>
      <w:r>
        <w:pict>
          <v:rect style="width:0;height:1.5pt" o:hralign="center" o:hrstd="t" o:hr="t"/>
        </w:pict>
      </w:r>
    </w:p>
    <w:bookmarkEnd w:id="47"/>
    <w:bookmarkStart w:id="48" w:name="knowledge_export_policy_v1.md"/>
    <w:p>
      <w:pPr>
        <w:pStyle w:val="Heading3"/>
      </w:pPr>
      <w:r>
        <w:t xml:space="preserve">KNOWLEDGE_EXPORT_POLICY_V1.md</w:t>
      </w:r>
    </w:p>
    <w:p>
      <w:pPr>
        <w:pStyle w:val="FirstParagraph"/>
      </w:pPr>
      <w:r>
        <w:t xml:space="preserve">Politique d’export.</w:t>
      </w:r>
    </w:p>
    <w:p>
      <w:r>
        <w:pict>
          <v:rect style="width:0;height:1.5pt" o:hralign="center" o:hrstd="t" o:hr="t"/>
        </w:pict>
      </w:r>
    </w:p>
    <w:bookmarkEnd w:id="48"/>
    <w:bookmarkStart w:id="49" w:name="Xbcfb67f8554ad438a3e5a68be94d3ee51402710"/>
    <w:p>
      <w:pPr>
        <w:pStyle w:val="Heading3"/>
      </w:pPr>
      <w:r>
        <w:t xml:space="preserve">KNOWLEDGE_PERSISTENCE_AND_PORTABILITY_FRAMEWORK_V1.md</w:t>
      </w:r>
    </w:p>
    <w:p>
      <w:pPr>
        <w:pStyle w:val="FirstParagraph"/>
      </w:pPr>
      <w:r>
        <w:t xml:space="preserve">Persistance et portabilité.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internationalisation"/>
    <w:p>
      <w:pPr>
        <w:pStyle w:val="Heading1"/>
      </w:pPr>
      <w:r>
        <w:t xml:space="preserve">Internationalisation</w:t>
      </w:r>
    </w:p>
    <w:bookmarkStart w:id="51" w:name="multilingual_knowledge_strategy_v1.md"/>
    <w:p>
      <w:pPr>
        <w:pStyle w:val="Heading3"/>
      </w:pPr>
      <w:r>
        <w:t xml:space="preserve">MULTILINGUAL_KNOWLEDGE_STRATEGY_V1.md</w:t>
      </w:r>
    </w:p>
    <w:p>
      <w:pPr>
        <w:pStyle w:val="FirstParagraph"/>
      </w:pPr>
      <w:r>
        <w:t xml:space="preserve">Préparer :</w:t>
      </w:r>
    </w:p>
    <w:p>
      <w:pPr>
        <w:pStyle w:val="SourceCode"/>
      </w:pPr>
      <w:r>
        <w:rPr>
          <w:rStyle w:val="VerbatimChar"/>
        </w:rPr>
        <w:t xml:space="preserve">Français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Français + Anglais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Multilingue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directives-héritées"/>
    <w:p>
      <w:pPr>
        <w:pStyle w:val="Heading1"/>
      </w:pPr>
      <w:r>
        <w:t xml:space="preserve">DIRECTIVES HÉRITÉES</w:t>
      </w:r>
    </w:p>
    <w:p>
      <w:pPr>
        <w:pStyle w:val="FirstParagraph"/>
      </w:pPr>
      <w:r>
        <w:t xml:space="preserve">Toujours respecter :</w:t>
      </w:r>
    </w:p>
    <w:bookmarkStart w:id="53" w:name="human-governance-before-ai"/>
    <w:p>
      <w:pPr>
        <w:pStyle w:val="Heading3"/>
      </w:pPr>
      <w:r>
        <w:t xml:space="preserve">Human Governance before AI</w:t>
      </w:r>
    </w:p>
    <w:bookmarkEnd w:id="53"/>
    <w:bookmarkStart w:id="54" w:name="memory-before-code"/>
    <w:p>
      <w:pPr>
        <w:pStyle w:val="Heading3"/>
      </w:pPr>
      <w:r>
        <w:t xml:space="preserve">Memory Before Code</w:t>
      </w:r>
    </w:p>
    <w:bookmarkEnd w:id="54"/>
    <w:bookmarkStart w:id="55" w:name="governance-before-automation"/>
    <w:p>
      <w:pPr>
        <w:pStyle w:val="Heading3"/>
      </w:pPr>
      <w:r>
        <w:t xml:space="preserve">Governance Before Automation</w:t>
      </w:r>
    </w:p>
    <w:bookmarkEnd w:id="55"/>
    <w:bookmarkStart w:id="56" w:name="identity-before-complexity"/>
    <w:p>
      <w:pPr>
        <w:pStyle w:val="Heading3"/>
      </w:pPr>
      <w:r>
        <w:t xml:space="preserve">Identity Before Complexity</w:t>
      </w:r>
    </w:p>
    <w:bookmarkEnd w:id="56"/>
    <w:bookmarkStart w:id="57" w:name="traceability-before-performance"/>
    <w:p>
      <w:pPr>
        <w:pStyle w:val="Heading3"/>
      </w:pPr>
      <w:r>
        <w:t xml:space="preserve">Traceability Before Performance</w:t>
      </w:r>
    </w:p>
    <w:bookmarkEnd w:id="57"/>
    <w:bookmarkStart w:id="58" w:name="knowledge-as-an-asset"/>
    <w:p>
      <w:pPr>
        <w:pStyle w:val="Heading3"/>
      </w:pPr>
      <w:r>
        <w:t xml:space="preserve">Knowledge as an Asset</w:t>
      </w:r>
    </w:p>
    <w:bookmarkEnd w:id="58"/>
    <w:bookmarkStart w:id="59" w:name="ai-augments-humans"/>
    <w:p>
      <w:pPr>
        <w:pStyle w:val="Heading3"/>
      </w:pPr>
      <w:r>
        <w:t xml:space="preserve">AI augments Humans</w:t>
      </w:r>
    </w:p>
    <w:bookmarkEnd w:id="59"/>
    <w:bookmarkStart w:id="60" w:name="X399f01ab4af28440e2c1e1daafb0b1ca8cc081f"/>
    <w:p>
      <w:pPr>
        <w:pStyle w:val="Heading3"/>
      </w:pPr>
      <w:r>
        <w:t xml:space="preserve">Every completed phase must prepare the next one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directive-de-persistance"/>
    <w:p>
      <w:pPr>
        <w:pStyle w:val="Heading1"/>
      </w:pPr>
      <w:r>
        <w:t xml:space="preserve">DIRECTIVE DE PERSISTANCE</w:t>
      </w:r>
    </w:p>
    <w:p>
      <w:pPr>
        <w:pStyle w:val="FirstParagraph"/>
      </w:pPr>
      <w:r>
        <w:t xml:space="preserve">Aucune connaissance importante ne doit exister sous une forme unique.</w:t>
      </w:r>
    </w:p>
    <w:p>
      <w:pPr>
        <w:pStyle w:val="BodyText"/>
      </w:pPr>
      <w:r>
        <w:t xml:space="preserve">Toute ressource importante doit être :</w:t>
      </w:r>
    </w:p>
    <w:p>
      <w:pPr>
        <w:pStyle w:val="Compact"/>
        <w:numPr>
          <w:ilvl w:val="0"/>
          <w:numId w:val="1003"/>
        </w:numPr>
      </w:pPr>
      <w:r>
        <w:t xml:space="preserve">documentée ;</w:t>
      </w:r>
    </w:p>
    <w:p>
      <w:pPr>
        <w:pStyle w:val="Compact"/>
        <w:numPr>
          <w:ilvl w:val="0"/>
          <w:numId w:val="1003"/>
        </w:numPr>
      </w:pPr>
      <w:r>
        <w:t xml:space="preserve">versionnée ;</w:t>
      </w:r>
    </w:p>
    <w:p>
      <w:pPr>
        <w:pStyle w:val="Compact"/>
        <w:numPr>
          <w:ilvl w:val="0"/>
          <w:numId w:val="1003"/>
        </w:numPr>
      </w:pPr>
      <w:r>
        <w:t xml:space="preserve">sauvegardée ;</w:t>
      </w:r>
    </w:p>
    <w:p>
      <w:pPr>
        <w:pStyle w:val="Compact"/>
        <w:numPr>
          <w:ilvl w:val="0"/>
          <w:numId w:val="1003"/>
        </w:numPr>
      </w:pPr>
      <w:r>
        <w:t xml:space="preserve">portable ;</w:t>
      </w:r>
    </w:p>
    <w:p>
      <w:pPr>
        <w:pStyle w:val="Compact"/>
        <w:numPr>
          <w:ilvl w:val="0"/>
          <w:numId w:val="1003"/>
        </w:numPr>
      </w:pPr>
      <w:r>
        <w:t xml:space="preserve">réutilisable ;</w:t>
      </w:r>
    </w:p>
    <w:p>
      <w:pPr>
        <w:pStyle w:val="Compact"/>
        <w:numPr>
          <w:ilvl w:val="0"/>
          <w:numId w:val="1003"/>
        </w:numPr>
      </w:pPr>
      <w:r>
        <w:t xml:space="preserve">téléchargeable ;</w:t>
      </w:r>
    </w:p>
    <w:p>
      <w:pPr>
        <w:pStyle w:val="Compact"/>
        <w:numPr>
          <w:ilvl w:val="0"/>
          <w:numId w:val="1003"/>
        </w:numPr>
      </w:pPr>
      <w:r>
        <w:t xml:space="preserve">indépendante de son environnement d’origine.</w:t>
      </w:r>
    </w:p>
    <w:p>
      <w:r>
        <w:pict>
          <v:rect style="width:0;height:1.5pt" o:hralign="center" o:hrstd="t" o:hr="t"/>
        </w:pict>
      </w:r>
    </w:p>
    <w:bookmarkEnd w:id="62"/>
    <w:bookmarkStart w:id="65" w:name="principe-du-double-accès"/>
    <w:p>
      <w:pPr>
        <w:pStyle w:val="Heading1"/>
      </w:pPr>
      <w:r>
        <w:t xml:space="preserve">PRINCIPE DU DOUBLE ACCÈS</w:t>
      </w:r>
    </w:p>
    <w:p>
      <w:pPr>
        <w:pStyle w:val="FirstParagraph"/>
      </w:pPr>
      <w:r>
        <w:t xml:space="preserve">Chaque contenu important doit exister sous :</w:t>
      </w:r>
    </w:p>
    <w:bookmarkStart w:id="63" w:name="affichage-direct"/>
    <w:p>
      <w:pPr>
        <w:pStyle w:val="Heading2"/>
      </w:pPr>
      <w:r>
        <w:t xml:space="preserve">Affichage direct</w:t>
      </w:r>
    </w:p>
    <w:p>
      <w:pPr>
        <w:pStyle w:val="FirstParagraph"/>
      </w:pPr>
      <w:r>
        <w:t xml:space="preserve">et</w:t>
      </w:r>
    </w:p>
    <w:bookmarkEnd w:id="63"/>
    <w:bookmarkStart w:id="64" w:name="fichier-autonome."/>
    <w:p>
      <w:pPr>
        <w:pStyle w:val="Heading2"/>
      </w:pPr>
      <w:r>
        <w:t xml:space="preserve">Fichier autonome.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formats-de-référence"/>
    <w:p>
      <w:pPr>
        <w:pStyle w:val="Heading1"/>
      </w:pPr>
      <w:r>
        <w:t xml:space="preserve">FORMATS DE RÉFÉRENCE</w:t>
      </w:r>
    </w:p>
    <w:p>
      <w:pPr>
        <w:pStyle w:val="FirstParagraph"/>
      </w:pPr>
      <w:r>
        <w:t xml:space="preserve">Format principal :</w:t>
      </w:r>
    </w:p>
    <w:p>
      <w:pPr>
        <w:pStyle w:val="SourceCode"/>
      </w:pPr>
      <w:r>
        <w:rPr>
          <w:rStyle w:val="VerbatimChar"/>
        </w:rPr>
        <w:t xml:space="preserve">Markdown (.md)</w:t>
      </w:r>
    </w:p>
    <w:p>
      <w:pPr>
        <w:pStyle w:val="FirstParagraph"/>
      </w:pPr>
      <w:r>
        <w:t xml:space="preserve">Format de travail :</w:t>
      </w:r>
    </w:p>
    <w:p>
      <w:pPr>
        <w:pStyle w:val="SourceCode"/>
      </w:pPr>
      <w:r>
        <w:rPr>
          <w:rStyle w:val="VerbatimChar"/>
        </w:rPr>
        <w:t xml:space="preserve">DOCX</w:t>
      </w:r>
    </w:p>
    <w:p>
      <w:pPr>
        <w:pStyle w:val="FirstParagraph"/>
      </w:pPr>
      <w:r>
        <w:t xml:space="preserve">Format d’archivage :</w:t>
      </w:r>
    </w:p>
    <w:p>
      <w:pPr>
        <w:pStyle w:val="SourceCode"/>
      </w:pPr>
      <w:r>
        <w:rPr>
          <w:rStyle w:val="VerbatimChar"/>
        </w:rPr>
        <w:t xml:space="preserve">PDF</w:t>
      </w:r>
    </w:p>
    <w:p>
      <w:pPr>
        <w:pStyle w:val="FirstParagraph"/>
      </w:pPr>
      <w:r>
        <w:t xml:space="preserve">Le Markdown constitue la mémoire native du système.</w:t>
      </w:r>
    </w:p>
    <w:p>
      <w:r>
        <w:pict>
          <v:rect style="width:0;height:1.5pt" o:hralign="center" o:hrstd="t" o:hr="t"/>
        </w:pict>
      </w:r>
    </w:p>
    <w:bookmarkEnd w:id="66"/>
    <w:bookmarkStart w:id="67" w:name="ouverture-future"/>
    <w:p>
      <w:pPr>
        <w:pStyle w:val="Heading1"/>
      </w:pPr>
      <w:r>
        <w:t xml:space="preserve">OUVERTURE FUTURE</w:t>
      </w:r>
    </w:p>
    <w:p>
      <w:pPr>
        <w:pStyle w:val="FirstParagraph"/>
      </w:pPr>
      <w:r>
        <w:t xml:space="preserve">Préparer la compatibilité avec :</w:t>
      </w:r>
    </w:p>
    <w:p>
      <w:pPr>
        <w:pStyle w:val="Compact"/>
        <w:numPr>
          <w:ilvl w:val="0"/>
          <w:numId w:val="1004"/>
        </w:numPr>
      </w:pPr>
      <w:r>
        <w:t xml:space="preserve">Snowflake ;</w:t>
      </w:r>
    </w:p>
    <w:p>
      <w:pPr>
        <w:pStyle w:val="Compact"/>
        <w:numPr>
          <w:ilvl w:val="0"/>
          <w:numId w:val="1004"/>
        </w:numPr>
      </w:pPr>
      <w:r>
        <w:t xml:space="preserve">RAG ;</w:t>
      </w:r>
    </w:p>
    <w:p>
      <w:pPr>
        <w:pStyle w:val="Compact"/>
        <w:numPr>
          <w:ilvl w:val="0"/>
          <w:numId w:val="1004"/>
        </w:numPr>
      </w:pPr>
      <w:r>
        <w:t xml:space="preserve">Multi-Agent Systems ;</w:t>
      </w:r>
    </w:p>
    <w:p>
      <w:pPr>
        <w:pStyle w:val="Compact"/>
        <w:numPr>
          <w:ilvl w:val="0"/>
          <w:numId w:val="1004"/>
        </w:numPr>
      </w:pPr>
      <w:r>
        <w:t xml:space="preserve">LLMOps ;</w:t>
      </w:r>
    </w:p>
    <w:p>
      <w:pPr>
        <w:pStyle w:val="Compact"/>
        <w:numPr>
          <w:ilvl w:val="0"/>
          <w:numId w:val="1004"/>
        </w:numPr>
      </w:pPr>
      <w:r>
        <w:t xml:space="preserve">futurs modèles IA ;</w:t>
      </w:r>
    </w:p>
    <w:p>
      <w:pPr>
        <w:pStyle w:val="Compact"/>
        <w:numPr>
          <w:ilvl w:val="0"/>
          <w:numId w:val="1004"/>
        </w:numPr>
      </w:pPr>
      <w:r>
        <w:t xml:space="preserve">futures architectures ;</w:t>
      </w:r>
    </w:p>
    <w:p>
      <w:pPr>
        <w:pStyle w:val="Compact"/>
        <w:numPr>
          <w:ilvl w:val="0"/>
          <w:numId w:val="1004"/>
        </w:numPr>
      </w:pPr>
      <w:r>
        <w:t xml:space="preserve">futures langues ;</w:t>
      </w:r>
    </w:p>
    <w:p>
      <w:pPr>
        <w:pStyle w:val="Compact"/>
        <w:numPr>
          <w:ilvl w:val="0"/>
          <w:numId w:val="1004"/>
        </w:numPr>
      </w:pPr>
      <w:r>
        <w:t xml:space="preserve">futures plateformes.</w:t>
      </w:r>
    </w:p>
    <w:p>
      <w:r>
        <w:pict>
          <v:rect style="width:0;height:1.5pt" o:hralign="center" o:hrstd="t" o:hr="t"/>
        </w:pict>
      </w:r>
    </w:p>
    <w:bookmarkEnd w:id="67"/>
    <w:bookmarkStart w:id="68" w:name="style"/>
    <w:p>
      <w:pPr>
        <w:pStyle w:val="Heading1"/>
      </w:pPr>
      <w:r>
        <w:t xml:space="preserve">STYLE</w:t>
      </w:r>
    </w:p>
    <w:p>
      <w:pPr>
        <w:pStyle w:val="FirstParagraph"/>
      </w:pPr>
      <w:r>
        <w:t xml:space="preserve">Langue principale :</w:t>
      </w:r>
    </w:p>
    <w:p>
      <w:pPr>
        <w:pStyle w:val="SourceCode"/>
      </w:pPr>
      <w:r>
        <w:rPr>
          <w:rStyle w:val="VerbatimChar"/>
        </w:rPr>
        <w:t xml:space="preserve">Français</w:t>
      </w:r>
    </w:p>
    <w:p>
      <w:pPr>
        <w:pStyle w:val="FirstParagraph"/>
      </w:pPr>
      <w:r>
        <w:t xml:space="preserve">Préparer :</w:t>
      </w:r>
    </w:p>
    <w:p>
      <w:pPr>
        <w:pStyle w:val="SourceCode"/>
      </w:pPr>
      <w:r>
        <w:rPr>
          <w:rStyle w:val="VerbatimChar"/>
        </w:rPr>
        <w:t xml:space="preserve">Français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Français + Anglais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Multilingue</w:t>
      </w:r>
    </w:p>
    <w:p>
      <w:pPr>
        <w:pStyle w:val="FirstParagraph"/>
      </w:pPr>
      <w:r>
        <w:t xml:space="preserve">Niveau :</w:t>
      </w:r>
    </w:p>
    <w:p>
      <w:pPr>
        <w:pStyle w:val="Compact"/>
        <w:numPr>
          <w:ilvl w:val="0"/>
          <w:numId w:val="1005"/>
        </w:numPr>
      </w:pPr>
      <w:r>
        <w:t xml:space="preserve">professionnel ;</w:t>
      </w:r>
    </w:p>
    <w:p>
      <w:pPr>
        <w:pStyle w:val="Compact"/>
        <w:numPr>
          <w:ilvl w:val="0"/>
          <w:numId w:val="1005"/>
        </w:numPr>
      </w:pPr>
      <w:r>
        <w:t xml:space="preserve">académique ;</w:t>
      </w:r>
    </w:p>
    <w:p>
      <w:pPr>
        <w:pStyle w:val="Compact"/>
        <w:numPr>
          <w:ilvl w:val="0"/>
          <w:numId w:val="1005"/>
        </w:numPr>
      </w:pPr>
      <w:r>
        <w:t xml:space="preserve">stratégique.</w:t>
      </w:r>
    </w:p>
    <w:p>
      <w:pPr>
        <w:pStyle w:val="FirstParagraph"/>
      </w:pPr>
      <w:r>
        <w:t xml:space="preserve">Public :</w:t>
      </w:r>
    </w:p>
    <w:p>
      <w:pPr>
        <w:pStyle w:val="Compact"/>
        <w:numPr>
          <w:ilvl w:val="0"/>
          <w:numId w:val="1006"/>
        </w:numPr>
      </w:pPr>
      <w:r>
        <w:t xml:space="preserve">humains ;</w:t>
      </w:r>
    </w:p>
    <w:p>
      <w:pPr>
        <w:pStyle w:val="Compact"/>
        <w:numPr>
          <w:ilvl w:val="0"/>
          <w:numId w:val="1006"/>
        </w:numPr>
      </w:pPr>
      <w:r>
        <w:t xml:space="preserve">développeurs ;</w:t>
      </w:r>
    </w:p>
    <w:p>
      <w:pPr>
        <w:pStyle w:val="Compact"/>
        <w:numPr>
          <w:ilvl w:val="0"/>
          <w:numId w:val="1006"/>
        </w:numPr>
      </w:pPr>
      <w:r>
        <w:t xml:space="preserve">chercheurs ;</w:t>
      </w:r>
    </w:p>
    <w:p>
      <w:pPr>
        <w:pStyle w:val="Compact"/>
        <w:numPr>
          <w:ilvl w:val="0"/>
          <w:numId w:val="1006"/>
        </w:numPr>
      </w:pPr>
      <w:r>
        <w:t xml:space="preserve">décideurs ;</w:t>
      </w:r>
    </w:p>
    <w:p>
      <w:pPr>
        <w:pStyle w:val="Compact"/>
        <w:numPr>
          <w:ilvl w:val="0"/>
          <w:numId w:val="1006"/>
        </w:numPr>
      </w:pPr>
      <w:r>
        <w:t xml:space="preserve">futurs agents IA ;</w:t>
      </w:r>
    </w:p>
    <w:p>
      <w:pPr>
        <w:pStyle w:val="Compact"/>
        <w:numPr>
          <w:ilvl w:val="0"/>
          <w:numId w:val="1006"/>
        </w:numPr>
      </w:pPr>
      <w:r>
        <w:t xml:space="preserve">Codex.</w:t>
      </w:r>
    </w:p>
    <w:p>
      <w:pPr>
        <w:pStyle w:val="FirstParagraph"/>
      </w:pPr>
      <w:r>
        <w:t xml:space="preserve">Les documents doivent être :</w:t>
      </w:r>
    </w:p>
    <w:p>
      <w:pPr>
        <w:pStyle w:val="Compact"/>
        <w:numPr>
          <w:ilvl w:val="0"/>
          <w:numId w:val="1007"/>
        </w:numPr>
      </w:pPr>
      <w:r>
        <w:t xml:space="preserve">indépendants ;</w:t>
      </w:r>
    </w:p>
    <w:p>
      <w:pPr>
        <w:pStyle w:val="Compact"/>
        <w:numPr>
          <w:ilvl w:val="0"/>
          <w:numId w:val="1007"/>
        </w:numPr>
      </w:pPr>
      <w:r>
        <w:t xml:space="preserve">cohérents ;</w:t>
      </w:r>
    </w:p>
    <w:p>
      <w:pPr>
        <w:pStyle w:val="Compact"/>
        <w:numPr>
          <w:ilvl w:val="0"/>
          <w:numId w:val="1007"/>
        </w:numPr>
      </w:pPr>
      <w:r>
        <w:t xml:space="preserve">versionnés ;</w:t>
      </w:r>
    </w:p>
    <w:p>
      <w:pPr>
        <w:pStyle w:val="Compact"/>
        <w:numPr>
          <w:ilvl w:val="0"/>
          <w:numId w:val="1007"/>
        </w:numPr>
      </w:pPr>
      <w:r>
        <w:t xml:space="preserve">durables ;</w:t>
      </w:r>
    </w:p>
    <w:p>
      <w:pPr>
        <w:pStyle w:val="Compact"/>
        <w:numPr>
          <w:ilvl w:val="0"/>
          <w:numId w:val="1007"/>
        </w:numPr>
      </w:pPr>
      <w:r>
        <w:t xml:space="preserve">réutilisables ;</w:t>
      </w:r>
    </w:p>
    <w:p>
      <w:pPr>
        <w:pStyle w:val="Compact"/>
        <w:numPr>
          <w:ilvl w:val="0"/>
          <w:numId w:val="1007"/>
        </w:numPr>
      </w:pPr>
      <w:r>
        <w:t xml:space="preserve">compréhensibles hors contexte.</w:t>
      </w:r>
    </w:p>
    <w:p>
      <w:r>
        <w:pict>
          <v:rect style="width:0;height:1.5pt" o:hralign="center" o:hrstd="t" o:hr="t"/>
        </w:pict>
      </w:r>
    </w:p>
    <w:bookmarkEnd w:id="68"/>
    <w:bookmarkStart w:id="69" w:name="exclusions"/>
    <w:p>
      <w:pPr>
        <w:pStyle w:val="Heading1"/>
      </w:pPr>
      <w:r>
        <w:t xml:space="preserve">EXCLUSIONS</w:t>
      </w:r>
    </w:p>
    <w:p>
      <w:pPr>
        <w:pStyle w:val="FirstParagraph"/>
      </w:pPr>
      <w:r>
        <w:t xml:space="preserve">Ne pas :</w:t>
      </w:r>
    </w:p>
    <w:p>
      <w:pPr>
        <w:pStyle w:val="Compact"/>
        <w:numPr>
          <w:ilvl w:val="0"/>
          <w:numId w:val="1008"/>
        </w:numPr>
      </w:pPr>
      <w:r>
        <w:t xml:space="preserve">écrire de code Python ;</w:t>
      </w:r>
    </w:p>
    <w:p>
      <w:pPr>
        <w:pStyle w:val="Compact"/>
        <w:numPr>
          <w:ilvl w:val="0"/>
          <w:numId w:val="1008"/>
        </w:numPr>
      </w:pPr>
      <w:r>
        <w:t xml:space="preserve">développer Streamlit ;</w:t>
      </w:r>
    </w:p>
    <w:p>
      <w:pPr>
        <w:pStyle w:val="Compact"/>
        <w:numPr>
          <w:ilvl w:val="0"/>
          <w:numId w:val="1008"/>
        </w:numPr>
      </w:pPr>
      <w:r>
        <w:t xml:space="preserve">créer des APIs ;</w:t>
      </w:r>
    </w:p>
    <w:p>
      <w:pPr>
        <w:pStyle w:val="Compact"/>
        <w:numPr>
          <w:ilvl w:val="0"/>
          <w:numId w:val="1008"/>
        </w:numPr>
      </w:pPr>
      <w:r>
        <w:t xml:space="preserve">activer Snowflake ;</w:t>
      </w:r>
    </w:p>
    <w:p>
      <w:pPr>
        <w:pStyle w:val="Compact"/>
        <w:numPr>
          <w:ilvl w:val="0"/>
          <w:numId w:val="1008"/>
        </w:numPr>
      </w:pPr>
      <w:r>
        <w:t xml:space="preserve">développer le RAG ;</w:t>
      </w:r>
    </w:p>
    <w:p>
      <w:pPr>
        <w:pStyle w:val="Compact"/>
        <w:numPr>
          <w:ilvl w:val="0"/>
          <w:numId w:val="1008"/>
        </w:numPr>
      </w:pPr>
      <w:r>
        <w:t xml:space="preserve">créer les agents ;</w:t>
      </w:r>
    </w:p>
    <w:p>
      <w:pPr>
        <w:pStyle w:val="Compact"/>
        <w:numPr>
          <w:ilvl w:val="0"/>
          <w:numId w:val="1008"/>
        </w:numPr>
      </w:pPr>
      <w:r>
        <w:t xml:space="preserve">développer les dashboards ;</w:t>
      </w:r>
    </w:p>
    <w:p>
      <w:pPr>
        <w:pStyle w:val="Compact"/>
        <w:numPr>
          <w:ilvl w:val="0"/>
          <w:numId w:val="1008"/>
        </w:numPr>
      </w:pPr>
      <w:r>
        <w:t xml:space="preserve">utiliser des données judiciaires réelles.</w:t>
      </w:r>
    </w:p>
    <w:p>
      <w:pPr>
        <w:pStyle w:val="FirstParagraph"/>
      </w:pPr>
      <w:r>
        <w:t xml:space="preserve">La seule mission est :</w:t>
      </w:r>
    </w:p>
    <w:bookmarkEnd w:id="69"/>
    <w:bookmarkStart w:id="70" w:name="X4ccb7bfda56346408af14ea0b8c920b30e9d527"/>
    <w:p>
      <w:pPr>
        <w:pStyle w:val="Heading1"/>
      </w:pPr>
      <w:r>
        <w:t xml:space="preserve">Construire la gouvernance de la connaissance.</w:t>
      </w:r>
    </w:p>
    <w:p>
      <w:r>
        <w:pict>
          <v:rect style="width:0;height:1.5pt" o:hralign="center" o:hrstd="t" o:hr="t"/>
        </w:pict>
      </w:r>
    </w:p>
    <w:bookmarkEnd w:id="70"/>
    <w:bookmarkStart w:id="71" w:name="convention-de-commit"/>
    <w:p>
      <w:pPr>
        <w:pStyle w:val="Heading1"/>
      </w:pPr>
      <w:r>
        <w:t xml:space="preserve">CONVENTION DE COMMIT</w:t>
      </w:r>
    </w:p>
    <w:p>
      <w:pPr>
        <w:pStyle w:val="FirstParagraph"/>
      </w:pPr>
      <w:r>
        <w:t xml:space="preserve">Format :</w:t>
      </w:r>
    </w:p>
    <w:p>
      <w:pPr>
        <w:pStyle w:val="SourceCode"/>
      </w:pPr>
      <w:r>
        <w:rPr>
          <w:rStyle w:val="VerbatimChar"/>
        </w:rPr>
        <w:t xml:space="preserve">PHASE_&lt;n&gt;_&lt;HHMM&gt;: &lt;description&gt;</w:t>
      </w:r>
    </w:p>
    <w:p>
      <w:pPr>
        <w:pStyle w:val="FirstParagraph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PHASE_3_0915: establish knowledge foundation</w:t>
      </w:r>
      <w:r>
        <w:br/>
      </w:r>
      <w:r>
        <w:br/>
      </w:r>
      <w:r>
        <w:rPr>
          <w:rStyle w:val="VerbatimChar"/>
        </w:rPr>
        <w:t xml:space="preserve">PHASE_3_1030: define source hierarchy</w:t>
      </w:r>
      <w:r>
        <w:br/>
      </w:r>
      <w:r>
        <w:br/>
      </w:r>
      <w:r>
        <w:rPr>
          <w:rStyle w:val="VerbatimChar"/>
        </w:rPr>
        <w:t xml:space="preserve">PHASE_3_1415: establish document lifecycle</w:t>
      </w:r>
      <w:r>
        <w:br/>
      </w:r>
      <w:r>
        <w:br/>
      </w:r>
      <w:r>
        <w:rPr>
          <w:rStyle w:val="VerbatimChar"/>
        </w:rPr>
        <w:t xml:space="preserve">PHASE_3_1630: define knowledge quality framework</w:t>
      </w:r>
      <w:r>
        <w:br/>
      </w:r>
      <w:r>
        <w:br/>
      </w:r>
      <w:r>
        <w:rPr>
          <w:rStyle w:val="VerbatimChar"/>
        </w:rPr>
        <w:t xml:space="preserve">PHASE_3_1800: complete knowledge foundation</w:t>
      </w:r>
    </w:p>
    <w:p>
      <w:r>
        <w:pict>
          <v:rect style="width:0;height:1.5pt" o:hralign="center" o:hrstd="t" o:hr="t"/>
        </w:pict>
      </w:r>
    </w:p>
    <w:bookmarkEnd w:id="71"/>
    <w:bookmarkStart w:id="72" w:name="critères-de-sortie"/>
    <w:p>
      <w:pPr>
        <w:pStyle w:val="Heading1"/>
      </w:pPr>
      <w:r>
        <w:t xml:space="preserve">CRITÈRES DE SORTIE</w:t>
      </w:r>
    </w:p>
    <w:p>
      <w:pPr>
        <w:pStyle w:val="FirstParagraph"/>
      </w:pPr>
      <w:r>
        <w:t xml:space="preserve">La phase est terminée lorsque :</w:t>
      </w:r>
    </w:p>
    <w:p>
      <w:pPr>
        <w:pStyle w:val="BodyText"/>
      </w:pPr>
      <w:r>
        <w:t xml:space="preserve">✓ les sources sont hiérarchisées ;</w:t>
      </w:r>
    </w:p>
    <w:p>
      <w:pPr>
        <w:pStyle w:val="BodyText"/>
      </w:pPr>
      <w:r>
        <w:t xml:space="preserve">✓ les règles de validation sont définies ;</w:t>
      </w:r>
    </w:p>
    <w:p>
      <w:pPr>
        <w:pStyle w:val="BodyText"/>
      </w:pPr>
      <w:r>
        <w:t xml:space="preserve">✓ la qualité des connaissances est documentée ;</w:t>
      </w:r>
    </w:p>
    <w:p>
      <w:pPr>
        <w:pStyle w:val="BodyText"/>
      </w:pPr>
      <w:r>
        <w:t xml:space="preserve">✓ la traçabilité est assurée ;</w:t>
      </w:r>
    </w:p>
    <w:p>
      <w:pPr>
        <w:pStyle w:val="BodyText"/>
      </w:pPr>
      <w:r>
        <w:t xml:space="preserve">✓ le cycle de vie documentaire est gouverné ;</w:t>
      </w:r>
    </w:p>
    <w:p>
      <w:pPr>
        <w:pStyle w:val="BodyText"/>
      </w:pPr>
      <w:r>
        <w:t xml:space="preserve">✓ la persistance et la portabilité sont garanties ;</w:t>
      </w:r>
    </w:p>
    <w:p>
      <w:pPr>
        <w:pStyle w:val="BodyText"/>
      </w:pPr>
      <w:r>
        <w:t xml:space="preserve">✓ l’ouverture au bilinguisme est préservée ;</w:t>
      </w:r>
    </w:p>
    <w:p>
      <w:pPr>
        <w:pStyle w:val="BodyText"/>
      </w:pPr>
      <w:r>
        <w:t xml:space="preserve">✓ les conditions de réussite du JDGO sont préparées.</w:t>
      </w:r>
    </w:p>
    <w:p>
      <w:r>
        <w:pict>
          <v:rect style="width:0;height:1.5pt" o:hralign="center" o:hrstd="t" o:hr="t"/>
        </w:pict>
      </w:r>
    </w:p>
    <w:bookmarkEnd w:id="72"/>
    <w:bookmarkStart w:id="73" w:name="principe-de-continuité"/>
    <w:p>
      <w:pPr>
        <w:pStyle w:val="Heading1"/>
      </w:pPr>
      <w:r>
        <w:t xml:space="preserve">PRINCIPE DE CONTINUITÉ</w:t>
      </w:r>
    </w:p>
    <w:p>
      <w:pPr>
        <w:pStyle w:val="FirstParagraph"/>
      </w:pPr>
      <w:r>
        <w:t xml:space="preserve">Conformément au Principe Fondamental n°8 :</w:t>
      </w:r>
    </w:p>
    <w:p>
      <w:pPr>
        <w:pStyle w:val="BlockText"/>
      </w:pPr>
      <w:r>
        <w:t xml:space="preserve">Every completed phase must prepare the next one.</w:t>
      </w:r>
    </w:p>
    <w:p>
      <w:pPr>
        <w:pStyle w:val="FirstParagraph"/>
      </w:pPr>
      <w:r>
        <w:t xml:space="preserve">La clôture de la PHASE 3 devra obligatoirement produire :</w:t>
      </w:r>
    </w:p>
    <w:bookmarkEnd w:id="73"/>
    <w:bookmarkStart w:id="74" w:name="Xc0bc05bb99276a278758fb7233c36bb881f13f6"/>
    <w:p>
      <w:pPr>
        <w:pStyle w:val="Heading1"/>
      </w:pPr>
      <w:r>
        <w:t xml:space="preserve">PROMPT MÈRE — PHASE 4 : JUSTICE DATA GOVERNANCE OFFICE (JDGO)</w:t>
      </w:r>
    </w:p>
    <w:p>
      <w:pPr>
        <w:pStyle w:val="FirstParagraph"/>
      </w:pPr>
      <w:r>
        <w:t xml:space="preserve">car :</w:t>
      </w:r>
    </w:p>
    <w:p>
      <w:pPr>
        <w:pStyle w:val="SourceCode"/>
      </w:pP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Governance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Applications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Command Centers</w:t>
      </w:r>
    </w:p>
    <w:p>
      <w:r>
        <w:pict>
          <v:rect style="width:0;height:1.5pt" o:hralign="center" o:hrstd="t" o:hr="t"/>
        </w:pict>
      </w:r>
    </w:p>
    <w:bookmarkEnd w:id="74"/>
    <w:bookmarkStart w:id="75" w:name="maxime-de-la-phase-3"/>
    <w:p>
      <w:pPr>
        <w:pStyle w:val="Heading1"/>
      </w:pPr>
      <w:r>
        <w:t xml:space="preserve">MAXIME DE LA PHASE 3</w:t>
      </w:r>
    </w:p>
    <w:p>
      <w:pPr>
        <w:pStyle w:val="BlockText"/>
      </w:pPr>
      <w:r>
        <w:t xml:space="preserve">La connaissance non gouvernée devient du bruit.</w:t>
      </w:r>
    </w:p>
    <w:p>
      <w:pPr>
        <w:pStyle w:val="BlockText"/>
      </w:pPr>
      <w:r>
        <w:t xml:space="preserve">La connaissance gouvernée devient un actif.</w:t>
      </w:r>
    </w:p>
    <w:p>
      <w:pPr>
        <w:pStyle w:val="FirstParagraph"/>
      </w:pPr>
      <w:r>
        <w:t xml:space="preserve">Et c’est cette connaissance gouvernée qui permettra l’émergence du JDGO, première véritable couche de gouvernance de l’écosystème CS GREFFE OS.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2026-06-14T22:17:36Z</dcterms:created>
  <dcterms:modified xsi:type="dcterms:W3CDTF">2026-06-14T22:17:36Z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