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prompt-mère-vérifié"/>
    <w:p>
      <w:pPr>
        <w:pStyle w:val="Heading1"/>
      </w:pPr>
      <w:r>
        <w:t xml:space="preserve">PROMPT MÈRE VÉRIFIÉ</w:t>
      </w:r>
    </w:p>
    <w:bookmarkEnd w:id="20"/>
    <w:bookmarkStart w:id="23" w:name="research-program-20262040"/>
    <w:p>
      <w:pPr>
        <w:pStyle w:val="Heading1"/>
      </w:pPr>
      <w:r>
        <w:t xml:space="preserve">RESEARCH PROGRAM 2026–2040</w:t>
      </w:r>
    </w:p>
    <w:bookmarkStart w:id="22" w:name="cs-greffe-os-v1"/>
    <w:p>
      <w:pPr>
        <w:pStyle w:val="Heading2"/>
      </w:pPr>
      <w:r>
        <w:t xml:space="preserve">CS GREFFE OS V1</w:t>
      </w:r>
    </w:p>
    <w:bookmarkStart w:id="21" w:name="living-governance-engineering"/>
    <w:p>
      <w:pPr>
        <w:pStyle w:val="Heading3"/>
      </w:pPr>
      <w:r>
        <w:t xml:space="preserve">Living Governance Engineering</w:t>
      </w:r>
    </w:p>
    <w:p>
      <w:r>
        <w:pict>
          <v:rect style="width:0;height:1.5pt" o:hralign="center" o:hrstd="t" o:hr="t"/>
        </w:pict>
      </w:r>
    </w:p>
    <w:bookmarkEnd w:id="21"/>
    <w:bookmarkEnd w:id="22"/>
    <w:bookmarkEnd w:id="23"/>
    <w:bookmarkStart w:id="24" w:name="contexte"/>
    <w:p>
      <w:pPr>
        <w:pStyle w:val="Heading1"/>
      </w:pPr>
      <w:r>
        <w:t xml:space="preserve">CONTEXTE</w:t>
      </w:r>
    </w:p>
    <w:p>
      <w:pPr>
        <w:pStyle w:val="FirstParagraph"/>
      </w:pPr>
      <w:r>
        <w:t xml:space="preserve">Tu es Codex.</w:t>
      </w:r>
    </w:p>
    <w:p>
      <w:pPr>
        <w:pStyle w:val="BodyText"/>
      </w:pPr>
      <w:r>
        <w:t xml:space="preserve">Tu travailles sur :</w:t>
      </w:r>
    </w:p>
    <w:bookmarkEnd w:id="24"/>
    <w:bookmarkStart w:id="25" w:name="X88d40aee989b8679d00021948c63da38ff5dccc"/>
    <w:p>
      <w:pPr>
        <w:pStyle w:val="Heading1"/>
      </w:pPr>
      <w:r>
        <w:t xml:space="preserve">CS GREFFE OS — Strategic Greffe Governance Command Center</w:t>
      </w:r>
    </w:p>
    <w:p>
      <w:pPr>
        <w:pStyle w:val="FirstParagraph"/>
      </w:pPr>
      <w:r>
        <w:t xml:space="preserve">dans le cadre méthodologique :</w:t>
      </w:r>
    </w:p>
    <w:bookmarkEnd w:id="25"/>
    <w:bookmarkStart w:id="26" w:name="living-governance-engineering."/>
    <w:p>
      <w:pPr>
        <w:pStyle w:val="Heading1"/>
      </w:pPr>
      <w:r>
        <w:t xml:space="preserve">Living Governance Engineering.</w:t>
      </w:r>
    </w:p>
    <w:p>
      <w:pPr>
        <w:pStyle w:val="FirstParagraph"/>
      </w:pPr>
      <w:r>
        <w:t xml:space="preserve">Le cycle :</w:t>
      </w:r>
    </w:p>
    <w:p>
      <w:pPr>
        <w:pStyle w:val="BodyText"/>
      </w:pPr>
      <w:r>
        <w:t xml:space="preserve">PHASE 0 → PHASE 22</w:t>
      </w:r>
    </w:p>
    <w:p>
      <w:pPr>
        <w:pStyle w:val="BodyText"/>
      </w:pPr>
      <w:r>
        <w:t xml:space="preserve">est considéré comme achevé et figé.</w:t>
      </w:r>
    </w:p>
    <w:p>
      <w:pPr>
        <w:pStyle w:val="BodyText"/>
      </w:pPr>
      <w:r>
        <w:t xml:space="preserve">Il constitue :</w:t>
      </w:r>
    </w:p>
    <w:bookmarkEnd w:id="26"/>
    <w:bookmarkStart w:id="27" w:name="tome-i-les-fondations."/>
    <w:p>
      <w:pPr>
        <w:pStyle w:val="Heading1"/>
      </w:pPr>
      <w:r>
        <w:t xml:space="preserve">Tome I — Les Fondations.</w:t>
      </w:r>
    </w:p>
    <w:p>
      <w:pPr>
        <w:pStyle w:val="FirstParagraph"/>
      </w:pPr>
      <w:r>
        <w:t xml:space="preserve">Aucune PHASE 23 n’est autorisée.</w:t>
      </w:r>
    </w:p>
    <w:p>
      <w:pPr>
        <w:pStyle w:val="BodyText"/>
      </w:pPr>
      <w:r>
        <w:t xml:space="preserve">Le projet est entré dans :</w:t>
      </w:r>
    </w:p>
    <w:bookmarkEnd w:id="27"/>
    <w:bookmarkStart w:id="28" w:name="tome-ii-lexécution"/>
    <w:p>
      <w:pPr>
        <w:pStyle w:val="Heading1"/>
      </w:pPr>
      <w:r>
        <w:t xml:space="preserve">Tome II — L’Exécution</w:t>
      </w:r>
    </w:p>
    <w:p>
      <w:pPr>
        <w:pStyle w:val="FirstParagraph"/>
      </w:pPr>
      <w:r>
        <w:t xml:space="preserve">avec trois chantiers permanents :</w:t>
      </w:r>
    </w:p>
    <w:p>
      <w:pPr>
        <w:pStyle w:val="Compact"/>
        <w:numPr>
          <w:ilvl w:val="0"/>
          <w:numId w:val="1001"/>
        </w:numPr>
      </w:pPr>
      <w:r>
        <w:t xml:space="preserve">GLOBAL AUDIT PHASE ;</w:t>
      </w:r>
    </w:p>
    <w:p>
      <w:pPr>
        <w:pStyle w:val="Compact"/>
        <w:numPr>
          <w:ilvl w:val="0"/>
          <w:numId w:val="1001"/>
        </w:numPr>
      </w:pPr>
      <w:r>
        <w:t xml:space="preserve">MVP EXECUTABLE ;</w:t>
      </w:r>
    </w:p>
    <w:p>
      <w:pPr>
        <w:pStyle w:val="Compact"/>
        <w:numPr>
          <w:ilvl w:val="0"/>
          <w:numId w:val="1001"/>
        </w:numPr>
      </w:pPr>
      <w:r>
        <w:t xml:space="preserve">RESEARCH PROGRAM 2026–2040.</w:t>
      </w:r>
    </w:p>
    <w:p>
      <w:r>
        <w:pict>
          <v:rect style="width:0;height:1.5pt" o:hralign="center" o:hrstd="t" o:hr="t"/>
        </w:pict>
      </w:r>
    </w:p>
    <w:bookmarkEnd w:id="28"/>
    <w:bookmarkStart w:id="29" w:name="principe-directeur"/>
    <w:p>
      <w:pPr>
        <w:pStyle w:val="Heading1"/>
      </w:pPr>
      <w:r>
        <w:t xml:space="preserve">PRINCIPE DIRECTEUR</w:t>
      </w:r>
    </w:p>
    <w:p>
      <w:pPr>
        <w:pStyle w:val="BlockText"/>
      </w:pPr>
      <w:r>
        <w:t xml:space="preserve">Knowledge Preservation before Technological Acceleration.</w:t>
      </w:r>
    </w:p>
    <w:p>
      <w:pPr>
        <w:pStyle w:val="FirstParagraph"/>
      </w:pPr>
      <w:r>
        <w:t xml:space="preserve">L’objectif n’est pas d’accélérer la technologie.</w:t>
      </w:r>
    </w:p>
    <w:p>
      <w:pPr>
        <w:pStyle w:val="BodyText"/>
      </w:pPr>
      <w:r>
        <w:t xml:space="preserve">L’objectif est d’abord de préserver, comprendre, documenter et transmettre la connaissance du greffe et du système judiciaire ivoirien.</w:t>
      </w:r>
    </w:p>
    <w:p>
      <w:r>
        <w:pict>
          <v:rect style="width:0;height:1.5pt" o:hralign="center" o:hrstd="t" o:hr="t"/>
        </w:pict>
      </w:r>
    </w:p>
    <w:bookmarkEnd w:id="29"/>
    <w:bookmarkStart w:id="30" w:name="question-fondamentale"/>
    <w:p>
      <w:pPr>
        <w:pStyle w:val="Heading1"/>
      </w:pPr>
      <w:r>
        <w:t xml:space="preserve">QUESTION FONDAMENTALE</w:t>
      </w:r>
    </w:p>
    <w:p>
      <w:pPr>
        <w:pStyle w:val="FirstParagraph"/>
      </w:pPr>
      <w:r>
        <w:t xml:space="preserve">Étudier :</w:t>
      </w:r>
    </w:p>
    <w:p>
      <w:pPr>
        <w:pStyle w:val="SourceCode"/>
      </w:pPr>
      <w:r>
        <w:rPr>
          <w:rStyle w:val="VerbatimChar"/>
        </w:rPr>
        <w:t xml:space="preserve">Ce qui a existé</w:t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Ce qui existe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Ce qui évolue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Ce qui pourrait raisonnablement exister</w:t>
      </w:r>
    </w:p>
    <w:p>
      <w:r>
        <w:pict>
          <v:rect style="width:0;height:1.5pt" o:hralign="center" o:hrstd="t" o:hr="t"/>
        </w:pict>
      </w:r>
    </w:p>
    <w:bookmarkEnd w:id="30"/>
    <w:bookmarkStart w:id="31" w:name="objectif-général"/>
    <w:p>
      <w:pPr>
        <w:pStyle w:val="Heading1"/>
      </w:pPr>
      <w:r>
        <w:t xml:space="preserve">OBJECTIF GÉNÉRAL</w:t>
      </w:r>
    </w:p>
    <w:p>
      <w:pPr>
        <w:pStyle w:val="FirstParagraph"/>
      </w:pPr>
      <w:r>
        <w:t xml:space="preserve">Constituer une mémoire vivante et un programme scientifique international consacré :</w:t>
      </w:r>
    </w:p>
    <w:p>
      <w:pPr>
        <w:pStyle w:val="Compact"/>
        <w:numPr>
          <w:ilvl w:val="0"/>
          <w:numId w:val="1002"/>
        </w:numPr>
      </w:pPr>
      <w:r>
        <w:t xml:space="preserve">au greffe ivoirien ;</w:t>
      </w:r>
    </w:p>
    <w:p>
      <w:pPr>
        <w:pStyle w:val="Compact"/>
        <w:numPr>
          <w:ilvl w:val="0"/>
          <w:numId w:val="1002"/>
        </w:numPr>
      </w:pPr>
      <w:r>
        <w:t xml:space="preserve">au système judiciaire ivoirien ;</w:t>
      </w:r>
    </w:p>
    <w:p>
      <w:pPr>
        <w:pStyle w:val="Compact"/>
        <w:numPr>
          <w:ilvl w:val="0"/>
          <w:numId w:val="1002"/>
        </w:numPr>
      </w:pPr>
      <w:r>
        <w:t xml:space="preserve">à la transformation numérique ;</w:t>
      </w:r>
    </w:p>
    <w:p>
      <w:pPr>
        <w:pStyle w:val="Compact"/>
        <w:numPr>
          <w:ilvl w:val="0"/>
          <w:numId w:val="1002"/>
        </w:numPr>
      </w:pPr>
      <w:r>
        <w:t xml:space="preserve">à la gouvernance des données ;</w:t>
      </w:r>
    </w:p>
    <w:p>
      <w:pPr>
        <w:pStyle w:val="Compact"/>
        <w:numPr>
          <w:ilvl w:val="0"/>
          <w:numId w:val="1002"/>
        </w:numPr>
      </w:pPr>
      <w:r>
        <w:t xml:space="preserve">à l’intelligence artificielle gouvernée.</w:t>
      </w:r>
    </w:p>
    <w:p>
      <w:r>
        <w:pict>
          <v:rect style="width:0;height:1.5pt" o:hralign="center" o:hrstd="t" o:hr="t"/>
        </w:pict>
      </w:r>
    </w:p>
    <w:bookmarkEnd w:id="31"/>
    <w:bookmarkStart w:id="44" w:name="axes-de-recherche"/>
    <w:p>
      <w:pPr>
        <w:pStyle w:val="Heading1"/>
      </w:pPr>
      <w:r>
        <w:t xml:space="preserve">AXES DE RECHERCHE</w:t>
      </w:r>
    </w:p>
    <w:bookmarkStart w:id="32" w:name="axe-1-histoire-du-greffe-ivoirien"/>
    <w:p>
      <w:pPr>
        <w:pStyle w:val="Heading2"/>
      </w:pPr>
      <w:r>
        <w:t xml:space="preserve">Axe 1 — Histoire du greffe ivoirien</w:t>
      </w:r>
    </w:p>
    <w:p>
      <w:pPr>
        <w:pStyle w:val="FirstParagraph"/>
      </w:pPr>
      <w:r>
        <w:t xml:space="preserve">Étudier :</w:t>
      </w:r>
    </w:p>
    <w:p>
      <w:pPr>
        <w:pStyle w:val="Compact"/>
        <w:numPr>
          <w:ilvl w:val="0"/>
          <w:numId w:val="1003"/>
        </w:numPr>
      </w:pPr>
      <w:r>
        <w:t xml:space="preserve">les origines ;</w:t>
      </w:r>
    </w:p>
    <w:p>
      <w:pPr>
        <w:pStyle w:val="Compact"/>
        <w:numPr>
          <w:ilvl w:val="0"/>
          <w:numId w:val="1003"/>
        </w:numPr>
      </w:pPr>
      <w:r>
        <w:t xml:space="preserve">les réformes ;</w:t>
      </w:r>
    </w:p>
    <w:p>
      <w:pPr>
        <w:pStyle w:val="Compact"/>
        <w:numPr>
          <w:ilvl w:val="0"/>
          <w:numId w:val="1003"/>
        </w:numPr>
      </w:pPr>
      <w:r>
        <w:t xml:space="preserve">les évolutions historiques ;</w:t>
      </w:r>
    </w:p>
    <w:p>
      <w:pPr>
        <w:pStyle w:val="Compact"/>
        <w:numPr>
          <w:ilvl w:val="0"/>
          <w:numId w:val="1003"/>
        </w:numPr>
      </w:pPr>
      <w:r>
        <w:t xml:space="preserve">les anciennes pratiques.</w:t>
      </w:r>
    </w:p>
    <w:p>
      <w:r>
        <w:pict>
          <v:rect style="width:0;height:1.5pt" o:hralign="center" o:hrstd="t" o:hr="t"/>
        </w:pict>
      </w:r>
    </w:p>
    <w:bookmarkEnd w:id="32"/>
    <w:bookmarkStart w:id="33" w:name="axe-2-organisation-judiciaire-ivoirienne"/>
    <w:p>
      <w:pPr>
        <w:pStyle w:val="Heading2"/>
      </w:pPr>
      <w:r>
        <w:t xml:space="preserve">Axe 2 — Organisation judiciaire ivoirienne</w:t>
      </w:r>
    </w:p>
    <w:p>
      <w:pPr>
        <w:pStyle w:val="FirstParagraph"/>
      </w:pPr>
      <w:r>
        <w:t xml:space="preserve">Étudier :</w:t>
      </w:r>
    </w:p>
    <w:p>
      <w:pPr>
        <w:pStyle w:val="Compact"/>
        <w:numPr>
          <w:ilvl w:val="0"/>
          <w:numId w:val="1004"/>
        </w:numPr>
      </w:pPr>
      <w:r>
        <w:t xml:space="preserve">les juridictions ;</w:t>
      </w:r>
    </w:p>
    <w:p>
      <w:pPr>
        <w:pStyle w:val="Compact"/>
        <w:numPr>
          <w:ilvl w:val="0"/>
          <w:numId w:val="1004"/>
        </w:numPr>
      </w:pPr>
      <w:r>
        <w:t xml:space="preserve">les institutions ;</w:t>
      </w:r>
    </w:p>
    <w:p>
      <w:pPr>
        <w:pStyle w:val="Compact"/>
        <w:numPr>
          <w:ilvl w:val="0"/>
          <w:numId w:val="1004"/>
        </w:numPr>
      </w:pPr>
      <w:r>
        <w:t xml:space="preserve">les professions judiciaires ;</w:t>
      </w:r>
    </w:p>
    <w:p>
      <w:pPr>
        <w:pStyle w:val="Compact"/>
        <w:numPr>
          <w:ilvl w:val="0"/>
          <w:numId w:val="1004"/>
        </w:numPr>
      </w:pPr>
      <w:r>
        <w:t xml:space="preserve">les réformes institutionnelles.</w:t>
      </w:r>
    </w:p>
    <w:p>
      <w:r>
        <w:pict>
          <v:rect style="width:0;height:1.5pt" o:hralign="center" o:hrstd="t" o:hr="t"/>
        </w:pict>
      </w:r>
    </w:p>
    <w:bookmarkEnd w:id="33"/>
    <w:bookmarkStart w:id="37" w:name="axe-3-métier-de-greffier"/>
    <w:p>
      <w:pPr>
        <w:pStyle w:val="Heading2"/>
      </w:pPr>
      <w:r>
        <w:t xml:space="preserve">Axe 3 — Métier de greffier</w:t>
      </w:r>
    </w:p>
    <w:p>
      <w:pPr>
        <w:pStyle w:val="FirstParagraph"/>
      </w:pPr>
      <w:r>
        <w:t xml:space="preserve">Étudier :</w:t>
      </w:r>
    </w:p>
    <w:bookmarkStart w:id="34" w:name="ce-quil-a-été"/>
    <w:p>
      <w:pPr>
        <w:pStyle w:val="Heading3"/>
      </w:pPr>
      <w:r>
        <w:t xml:space="preserve">Ce qu’il a été ;</w:t>
      </w:r>
    </w:p>
    <w:bookmarkEnd w:id="34"/>
    <w:bookmarkStart w:id="35" w:name="ce-quil-est"/>
    <w:p>
      <w:pPr>
        <w:pStyle w:val="Heading3"/>
      </w:pPr>
      <w:r>
        <w:t xml:space="preserve">Ce qu’il est ;</w:t>
      </w:r>
    </w:p>
    <w:bookmarkEnd w:id="35"/>
    <w:bookmarkStart w:id="36" w:name="ce-quil-pourrait-devenir."/>
    <w:p>
      <w:pPr>
        <w:pStyle w:val="Heading3"/>
      </w:pPr>
      <w:r>
        <w:t xml:space="preserve">Ce qu’il pourrait devenir.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38" w:name="axe-4-registres-et-archives"/>
    <w:p>
      <w:pPr>
        <w:pStyle w:val="Heading2"/>
      </w:pPr>
      <w:r>
        <w:t xml:space="preserve">Axe 4 — Registres et archives</w:t>
      </w:r>
    </w:p>
    <w:p>
      <w:pPr>
        <w:pStyle w:val="FirstParagraph"/>
      </w:pPr>
      <w:r>
        <w:t xml:space="preserve">Étudier :</w:t>
      </w:r>
    </w:p>
    <w:p>
      <w:pPr>
        <w:pStyle w:val="Compact"/>
        <w:numPr>
          <w:ilvl w:val="0"/>
          <w:numId w:val="1005"/>
        </w:numPr>
      </w:pPr>
      <w:r>
        <w:t xml:space="preserve">les registres ;</w:t>
      </w:r>
    </w:p>
    <w:p>
      <w:pPr>
        <w:pStyle w:val="Compact"/>
        <w:numPr>
          <w:ilvl w:val="0"/>
          <w:numId w:val="1005"/>
        </w:numPr>
      </w:pPr>
      <w:r>
        <w:t xml:space="preserve">les actes ;</w:t>
      </w:r>
    </w:p>
    <w:p>
      <w:pPr>
        <w:pStyle w:val="Compact"/>
        <w:numPr>
          <w:ilvl w:val="0"/>
          <w:numId w:val="1005"/>
        </w:numPr>
      </w:pPr>
      <w:r>
        <w:t xml:space="preserve">les archives ;</w:t>
      </w:r>
    </w:p>
    <w:p>
      <w:pPr>
        <w:pStyle w:val="Compact"/>
        <w:numPr>
          <w:ilvl w:val="0"/>
          <w:numId w:val="1005"/>
        </w:numPr>
      </w:pPr>
      <w:r>
        <w:t xml:space="preserve">leur transformation numérique.</w:t>
      </w:r>
    </w:p>
    <w:p>
      <w:r>
        <w:pict>
          <v:rect style="width:0;height:1.5pt" o:hralign="center" o:hrstd="t" o:hr="t"/>
        </w:pict>
      </w:r>
    </w:p>
    <w:bookmarkEnd w:id="38"/>
    <w:bookmarkStart w:id="39" w:name="axe-5-formation-des-greffiers"/>
    <w:p>
      <w:pPr>
        <w:pStyle w:val="Heading2"/>
      </w:pPr>
      <w:r>
        <w:t xml:space="preserve">Axe 5 — Formation des greffiers</w:t>
      </w:r>
    </w:p>
    <w:p>
      <w:pPr>
        <w:pStyle w:val="FirstParagraph"/>
      </w:pPr>
      <w:r>
        <w:t xml:space="preserve">Étudier :</w:t>
      </w:r>
    </w:p>
    <w:p>
      <w:pPr>
        <w:pStyle w:val="Compact"/>
        <w:numPr>
          <w:ilvl w:val="0"/>
          <w:numId w:val="1006"/>
        </w:numPr>
      </w:pPr>
      <w:r>
        <w:t xml:space="preserve">les enseignements INFJ ;</w:t>
      </w:r>
    </w:p>
    <w:p>
      <w:pPr>
        <w:pStyle w:val="Compact"/>
        <w:numPr>
          <w:ilvl w:val="0"/>
          <w:numId w:val="1006"/>
        </w:numPr>
      </w:pPr>
      <w:r>
        <w:t xml:space="preserve">les compétences ;</w:t>
      </w:r>
    </w:p>
    <w:p>
      <w:pPr>
        <w:pStyle w:val="Compact"/>
        <w:numPr>
          <w:ilvl w:val="0"/>
          <w:numId w:val="1006"/>
        </w:numPr>
      </w:pPr>
      <w:r>
        <w:t xml:space="preserve">les pratiques professionnelles.</w:t>
      </w:r>
    </w:p>
    <w:p>
      <w:r>
        <w:pict>
          <v:rect style="width:0;height:1.5pt" o:hralign="center" o:hrstd="t" o:hr="t"/>
        </w:pict>
      </w:r>
    </w:p>
    <w:bookmarkEnd w:id="39"/>
    <w:bookmarkStart w:id="40" w:name="X158bdae0cf49ffea7db8b6176fc581b6a613593"/>
    <w:p>
      <w:pPr>
        <w:pStyle w:val="Heading2"/>
      </w:pPr>
      <w:r>
        <w:t xml:space="preserve">Axe 6 — Statistiques judiciaires et gouvernance des données</w:t>
      </w:r>
    </w:p>
    <w:p>
      <w:pPr>
        <w:pStyle w:val="FirstParagraph"/>
      </w:pPr>
      <w:r>
        <w:t xml:space="preserve">Étudier :</w:t>
      </w:r>
    </w:p>
    <w:p>
      <w:pPr>
        <w:pStyle w:val="Compact"/>
        <w:numPr>
          <w:ilvl w:val="0"/>
          <w:numId w:val="1007"/>
        </w:numPr>
      </w:pPr>
      <w:r>
        <w:t xml:space="preserve">les données ;</w:t>
      </w:r>
    </w:p>
    <w:p>
      <w:pPr>
        <w:pStyle w:val="Compact"/>
        <w:numPr>
          <w:ilvl w:val="0"/>
          <w:numId w:val="1007"/>
        </w:numPr>
      </w:pPr>
      <w:r>
        <w:t xml:space="preserve">les indicateurs ;</w:t>
      </w:r>
    </w:p>
    <w:p>
      <w:pPr>
        <w:pStyle w:val="Compact"/>
        <w:numPr>
          <w:ilvl w:val="0"/>
          <w:numId w:val="1007"/>
        </w:numPr>
      </w:pPr>
      <w:r>
        <w:t xml:space="preserve">les systèmes d’information ;</w:t>
      </w:r>
    </w:p>
    <w:p>
      <w:pPr>
        <w:pStyle w:val="Compact"/>
        <w:numPr>
          <w:ilvl w:val="0"/>
          <w:numId w:val="1007"/>
        </w:numPr>
      </w:pPr>
      <w:r>
        <w:t xml:space="preserve">la qualité des données.</w:t>
      </w:r>
    </w:p>
    <w:p>
      <w:r>
        <w:pict>
          <v:rect style="width:0;height:1.5pt" o:hralign="center" o:hrstd="t" o:hr="t"/>
        </w:pict>
      </w:r>
    </w:p>
    <w:bookmarkEnd w:id="40"/>
    <w:bookmarkStart w:id="41" w:name="axe-7-justice-numérique"/>
    <w:p>
      <w:pPr>
        <w:pStyle w:val="Heading2"/>
      </w:pPr>
      <w:r>
        <w:t xml:space="preserve">Axe 7 — Justice numérique</w:t>
      </w:r>
    </w:p>
    <w:p>
      <w:pPr>
        <w:pStyle w:val="FirstParagraph"/>
      </w:pPr>
      <w:r>
        <w:t xml:space="preserve">Étudier :</w:t>
      </w:r>
    </w:p>
    <w:p>
      <w:pPr>
        <w:pStyle w:val="Compact"/>
        <w:numPr>
          <w:ilvl w:val="0"/>
          <w:numId w:val="1008"/>
        </w:numPr>
      </w:pPr>
      <w:r>
        <w:t xml:space="preserve">dématérialisation ;</w:t>
      </w:r>
    </w:p>
    <w:p>
      <w:pPr>
        <w:pStyle w:val="Compact"/>
        <w:numPr>
          <w:ilvl w:val="0"/>
          <w:numId w:val="1008"/>
        </w:numPr>
      </w:pPr>
      <w:r>
        <w:t xml:space="preserve">e-greffe ;</w:t>
      </w:r>
    </w:p>
    <w:p>
      <w:pPr>
        <w:pStyle w:val="Compact"/>
        <w:numPr>
          <w:ilvl w:val="0"/>
          <w:numId w:val="1008"/>
        </w:numPr>
      </w:pPr>
      <w:r>
        <w:t xml:space="preserve">registres électroniques ;</w:t>
      </w:r>
    </w:p>
    <w:p>
      <w:pPr>
        <w:pStyle w:val="Compact"/>
        <w:numPr>
          <w:ilvl w:val="0"/>
          <w:numId w:val="1008"/>
        </w:numPr>
      </w:pPr>
      <w:r>
        <w:t xml:space="preserve">workflow numérique.</w:t>
      </w:r>
    </w:p>
    <w:p>
      <w:r>
        <w:pict>
          <v:rect style="width:0;height:1.5pt" o:hralign="center" o:hrstd="t" o:hr="t"/>
        </w:pict>
      </w:r>
    </w:p>
    <w:bookmarkEnd w:id="41"/>
    <w:bookmarkStart w:id="42" w:name="X28d6213507b2daba3564b61a5c4441702bc6bc3"/>
    <w:p>
      <w:pPr>
        <w:pStyle w:val="Heading2"/>
      </w:pPr>
      <w:r>
        <w:t xml:space="preserve">Axe 8 — Intelligence artificielle et justice</w:t>
      </w:r>
    </w:p>
    <w:p>
      <w:pPr>
        <w:pStyle w:val="FirstParagraph"/>
      </w:pPr>
      <w:r>
        <w:t xml:space="preserve">Étudier :</w:t>
      </w:r>
    </w:p>
    <w:p>
      <w:pPr>
        <w:pStyle w:val="Compact"/>
        <w:numPr>
          <w:ilvl w:val="0"/>
          <w:numId w:val="1009"/>
        </w:numPr>
      </w:pPr>
      <w:r>
        <w:t xml:space="preserve">Human-in-the-loop ;</w:t>
      </w:r>
    </w:p>
    <w:p>
      <w:pPr>
        <w:pStyle w:val="Compact"/>
        <w:numPr>
          <w:ilvl w:val="0"/>
          <w:numId w:val="1009"/>
        </w:numPr>
      </w:pPr>
      <w:r>
        <w:t xml:space="preserve">IA gouvernée ;</w:t>
      </w:r>
    </w:p>
    <w:p>
      <w:pPr>
        <w:pStyle w:val="Compact"/>
        <w:numPr>
          <w:ilvl w:val="0"/>
          <w:numId w:val="1009"/>
        </w:numPr>
      </w:pPr>
      <w:r>
        <w:t xml:space="preserve">systèmes multi-agents ;</w:t>
      </w:r>
    </w:p>
    <w:p>
      <w:pPr>
        <w:pStyle w:val="Compact"/>
        <w:numPr>
          <w:ilvl w:val="0"/>
          <w:numId w:val="1009"/>
        </w:numPr>
      </w:pPr>
      <w:r>
        <w:t xml:space="preserve">LLMOps publics ;</w:t>
      </w:r>
    </w:p>
    <w:p>
      <w:pPr>
        <w:pStyle w:val="Compact"/>
        <w:numPr>
          <w:ilvl w:val="0"/>
          <w:numId w:val="1009"/>
        </w:numPr>
      </w:pPr>
      <w:r>
        <w:t xml:space="preserve">Command Centers.</w:t>
      </w:r>
    </w:p>
    <w:p>
      <w:r>
        <w:pict>
          <v:rect style="width:0;height:1.5pt" o:hralign="center" o:hrstd="t" o:hr="t"/>
        </w:pict>
      </w:r>
    </w:p>
    <w:bookmarkEnd w:id="42"/>
    <w:bookmarkStart w:id="43" w:name="axe-9-living-governance-engineering"/>
    <w:p>
      <w:pPr>
        <w:pStyle w:val="Heading2"/>
      </w:pPr>
      <w:r>
        <w:t xml:space="preserve">Axe 9 — Living Governance Engineering</w:t>
      </w:r>
    </w:p>
    <w:p>
      <w:pPr>
        <w:pStyle w:val="FirstParagraph"/>
      </w:pPr>
      <w:r>
        <w:t xml:space="preserve">Développer :</w:t>
      </w:r>
    </w:p>
    <w:p>
      <w:pPr>
        <w:pStyle w:val="Compact"/>
        <w:numPr>
          <w:ilvl w:val="0"/>
          <w:numId w:val="1010"/>
        </w:numPr>
      </w:pPr>
      <w:r>
        <w:t xml:space="preserve">la théorie ;</w:t>
      </w:r>
    </w:p>
    <w:p>
      <w:pPr>
        <w:pStyle w:val="Compact"/>
        <w:numPr>
          <w:ilvl w:val="0"/>
          <w:numId w:val="1010"/>
        </w:numPr>
      </w:pPr>
      <w:r>
        <w:t xml:space="preserve">les principes ;</w:t>
      </w:r>
    </w:p>
    <w:p>
      <w:pPr>
        <w:pStyle w:val="Compact"/>
        <w:numPr>
          <w:ilvl w:val="0"/>
          <w:numId w:val="1010"/>
        </w:numPr>
      </w:pPr>
      <w:r>
        <w:t xml:space="preserve">les modèles ;</w:t>
      </w:r>
    </w:p>
    <w:p>
      <w:pPr>
        <w:pStyle w:val="Compact"/>
        <w:numPr>
          <w:ilvl w:val="0"/>
          <w:numId w:val="1010"/>
        </w:numPr>
      </w:pPr>
      <w:r>
        <w:t xml:space="preserve">les applications aux institutions publiques.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5" w:name="documents-majeurs"/>
    <w:p>
      <w:pPr>
        <w:pStyle w:val="Heading1"/>
      </w:pPr>
      <w:r>
        <w:t xml:space="preserve">DOCUMENTS MAJEURS</w:t>
      </w:r>
    </w:p>
    <w:p>
      <w:pPr>
        <w:pStyle w:val="Compact"/>
        <w:numPr>
          <w:ilvl w:val="0"/>
          <w:numId w:val="1011"/>
        </w:numPr>
      </w:pPr>
      <w:r>
        <w:t xml:space="preserve">RESEARCH_AGENDA_2026_2040_V2.md</w:t>
      </w:r>
    </w:p>
    <w:p>
      <w:pPr>
        <w:pStyle w:val="Compact"/>
        <w:numPr>
          <w:ilvl w:val="0"/>
          <w:numId w:val="1011"/>
        </w:numPr>
      </w:pPr>
      <w:r>
        <w:t xml:space="preserve">RESEARCH_DOMAINS_REGISTER_V1.md</w:t>
      </w:r>
    </w:p>
    <w:p>
      <w:pPr>
        <w:pStyle w:val="Compact"/>
        <w:numPr>
          <w:ilvl w:val="0"/>
          <w:numId w:val="1011"/>
        </w:numPr>
      </w:pPr>
      <w:r>
        <w:t xml:space="preserve">IVORIAN_JUDICIAL_SYSTEM_KNOWLEDGE_MAP_V1.md</w:t>
      </w:r>
    </w:p>
    <w:p>
      <w:pPr>
        <w:pStyle w:val="Compact"/>
        <w:numPr>
          <w:ilvl w:val="0"/>
          <w:numId w:val="1011"/>
        </w:numPr>
      </w:pPr>
      <w:r>
        <w:t xml:space="preserve">IVORIAN_GREFFE_KNOWLEDGE_MAP_V1.md</w:t>
      </w:r>
    </w:p>
    <w:p>
      <w:pPr>
        <w:pStyle w:val="Compact"/>
        <w:numPr>
          <w:ilvl w:val="0"/>
          <w:numId w:val="1011"/>
        </w:numPr>
      </w:pPr>
      <w:r>
        <w:t xml:space="preserve">RESEARCH_QUESTIONS_REGISTER_V1.md</w:t>
      </w:r>
    </w:p>
    <w:p>
      <w:pPr>
        <w:pStyle w:val="Compact"/>
        <w:numPr>
          <w:ilvl w:val="0"/>
          <w:numId w:val="1011"/>
        </w:numPr>
      </w:pPr>
      <w:r>
        <w:t xml:space="preserve">BIBLIOGRAPHY_MASTER_INDEX_V1.md</w:t>
      </w:r>
    </w:p>
    <w:p>
      <w:pPr>
        <w:pStyle w:val="Compact"/>
        <w:numPr>
          <w:ilvl w:val="0"/>
          <w:numId w:val="1011"/>
        </w:numPr>
      </w:pPr>
      <w:r>
        <w:t xml:space="preserve">CORPUS_REGISTRY_V1.md</w:t>
      </w:r>
    </w:p>
    <w:p>
      <w:pPr>
        <w:pStyle w:val="Compact"/>
        <w:numPr>
          <w:ilvl w:val="0"/>
          <w:numId w:val="1011"/>
        </w:numPr>
      </w:pPr>
      <w:r>
        <w:t xml:space="preserve">FUTURE_SCENARIOS_2030_2035_2040_V1.md</w:t>
      </w:r>
    </w:p>
    <w:p>
      <w:r>
        <w:pict>
          <v:rect style="width:0;height:1.5pt" o:hralign="center" o:hrstd="t" o:hr="t"/>
        </w:pict>
      </w:r>
    </w:p>
    <w:bookmarkEnd w:id="45"/>
    <w:bookmarkStart w:id="46" w:name="directives-héritées"/>
    <w:p>
      <w:pPr>
        <w:pStyle w:val="Heading1"/>
      </w:pPr>
      <w:r>
        <w:t xml:space="preserve">DIRECTIVES HÉRITÉES</w:t>
      </w:r>
    </w:p>
    <w:p>
      <w:pPr>
        <w:pStyle w:val="FirstParagraph"/>
      </w:pPr>
      <w:r>
        <w:t xml:space="preserve">Toujours respecter :</w:t>
      </w:r>
    </w:p>
    <w:p>
      <w:pPr>
        <w:pStyle w:val="Compact"/>
        <w:numPr>
          <w:ilvl w:val="0"/>
          <w:numId w:val="1012"/>
        </w:numPr>
      </w:pPr>
      <w:r>
        <w:t xml:space="preserve">Memory Before Code ;</w:t>
      </w:r>
    </w:p>
    <w:p>
      <w:pPr>
        <w:pStyle w:val="Compact"/>
        <w:numPr>
          <w:ilvl w:val="0"/>
          <w:numId w:val="1012"/>
        </w:numPr>
      </w:pPr>
      <w:r>
        <w:t xml:space="preserve">Governance Before Automation ;</w:t>
      </w:r>
    </w:p>
    <w:p>
      <w:pPr>
        <w:pStyle w:val="Compact"/>
        <w:numPr>
          <w:ilvl w:val="0"/>
          <w:numId w:val="1012"/>
        </w:numPr>
      </w:pPr>
      <w:r>
        <w:t xml:space="preserve">Human Authority Before AI Authority ;</w:t>
      </w:r>
    </w:p>
    <w:p>
      <w:pPr>
        <w:pStyle w:val="Compact"/>
        <w:numPr>
          <w:ilvl w:val="0"/>
          <w:numId w:val="1012"/>
        </w:numPr>
      </w:pPr>
      <w:r>
        <w:t xml:space="preserve">Knowledge as an Asset ;</w:t>
      </w:r>
    </w:p>
    <w:p>
      <w:pPr>
        <w:pStyle w:val="Compact"/>
        <w:numPr>
          <w:ilvl w:val="0"/>
          <w:numId w:val="1012"/>
        </w:numPr>
      </w:pPr>
      <w:r>
        <w:t xml:space="preserve">Critical Improvement before Validation ;</w:t>
      </w:r>
    </w:p>
    <w:p>
      <w:pPr>
        <w:pStyle w:val="Compact"/>
        <w:numPr>
          <w:ilvl w:val="0"/>
          <w:numId w:val="1012"/>
        </w:numPr>
      </w:pPr>
      <w:r>
        <w:t xml:space="preserve">Execution before Optimization ;</w:t>
      </w:r>
    </w:p>
    <w:p>
      <w:pPr>
        <w:pStyle w:val="Compact"/>
        <w:numPr>
          <w:ilvl w:val="0"/>
          <w:numId w:val="1012"/>
        </w:numPr>
      </w:pPr>
      <w:r>
        <w:t xml:space="preserve">Cycle Closure Before Infinite Phase Expansion.</w:t>
      </w:r>
    </w:p>
    <w:p>
      <w:r>
        <w:pict>
          <v:rect style="width:0;height:1.5pt" o:hralign="center" o:hrstd="t" o:hr="t"/>
        </w:pict>
      </w:r>
    </w:p>
    <w:bookmarkEnd w:id="46"/>
    <w:bookmarkStart w:id="47" w:name="exclusions"/>
    <w:p>
      <w:pPr>
        <w:pStyle w:val="Heading1"/>
      </w:pPr>
      <w:r>
        <w:t xml:space="preserve">EXCLUSIONS</w:t>
      </w:r>
    </w:p>
    <w:p>
      <w:pPr>
        <w:pStyle w:val="FirstParagraph"/>
      </w:pPr>
      <w:r>
        <w:t xml:space="preserve">Ne pas :</w:t>
      </w:r>
    </w:p>
    <w:p>
      <w:pPr>
        <w:pStyle w:val="Compact"/>
        <w:numPr>
          <w:ilvl w:val="0"/>
          <w:numId w:val="1013"/>
        </w:numPr>
      </w:pPr>
      <w:r>
        <w:t xml:space="preserve">créer une PHASE 23 ;</w:t>
      </w:r>
    </w:p>
    <w:p>
      <w:pPr>
        <w:pStyle w:val="Compact"/>
        <w:numPr>
          <w:ilvl w:val="0"/>
          <w:numId w:val="1013"/>
        </w:numPr>
      </w:pPr>
      <w:r>
        <w:t xml:space="preserve">multiplier les abstractions sans nécessité ;</w:t>
      </w:r>
    </w:p>
    <w:p>
      <w:pPr>
        <w:pStyle w:val="Compact"/>
        <w:numPr>
          <w:ilvl w:val="0"/>
          <w:numId w:val="1013"/>
        </w:numPr>
      </w:pPr>
      <w:r>
        <w:t xml:space="preserve">confondre spéculation et prédiction ;</w:t>
      </w:r>
    </w:p>
    <w:p>
      <w:pPr>
        <w:pStyle w:val="Compact"/>
        <w:numPr>
          <w:ilvl w:val="0"/>
          <w:numId w:val="1013"/>
        </w:numPr>
      </w:pPr>
      <w:r>
        <w:t xml:space="preserve">remplacer la recherche par la technologie ;</w:t>
      </w:r>
    </w:p>
    <w:p>
      <w:pPr>
        <w:pStyle w:val="Compact"/>
        <w:numPr>
          <w:ilvl w:val="0"/>
          <w:numId w:val="1013"/>
        </w:numPr>
      </w:pPr>
      <w:r>
        <w:t xml:space="preserve">sacrifier la mémoire au profit de la nouveauté.</w:t>
      </w:r>
    </w:p>
    <w:p>
      <w:r>
        <w:pict>
          <v:rect style="width:0;height:1.5pt" o:hralign="center" o:hrstd="t" o:hr="t"/>
        </w:pict>
      </w:r>
    </w:p>
    <w:bookmarkEnd w:id="47"/>
    <w:bookmarkStart w:id="48" w:name="finalité"/>
    <w:p>
      <w:pPr>
        <w:pStyle w:val="Heading1"/>
      </w:pPr>
      <w:r>
        <w:t xml:space="preserve">FINALITÉ</w:t>
      </w:r>
    </w:p>
    <w:p>
      <w:pPr>
        <w:pStyle w:val="FirstParagraph"/>
      </w:pPr>
      <w:r>
        <w:t xml:space="preserve">Construire progressivement :</w:t>
      </w:r>
    </w:p>
    <w:p>
      <w:pPr>
        <w:pStyle w:val="SourceCode"/>
      </w:pPr>
      <w:r>
        <w:rPr>
          <w:rStyle w:val="VerbatimChar"/>
        </w:rPr>
        <w:t xml:space="preserve">Bibliothèque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Mémoire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Formation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Recherche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Transformation numérique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Gouvernance</w:t>
      </w:r>
    </w:p>
    <w:p>
      <w:pPr>
        <w:pStyle w:val="FirstParagraph"/>
      </w:pPr>
      <w:r>
        <w:t xml:space="preserve">au service :</w:t>
      </w:r>
    </w:p>
    <w:p>
      <w:pPr>
        <w:pStyle w:val="Compact"/>
        <w:numPr>
          <w:ilvl w:val="0"/>
          <w:numId w:val="1014"/>
        </w:numPr>
      </w:pPr>
      <w:r>
        <w:t xml:space="preserve">du greffe ivoirien ;</w:t>
      </w:r>
    </w:p>
    <w:p>
      <w:pPr>
        <w:pStyle w:val="Compact"/>
        <w:numPr>
          <w:ilvl w:val="0"/>
          <w:numId w:val="1014"/>
        </w:numPr>
      </w:pPr>
      <w:r>
        <w:t xml:space="preserve">du système judiciaire ivoirien ;</w:t>
      </w:r>
    </w:p>
    <w:p>
      <w:pPr>
        <w:pStyle w:val="Compact"/>
        <w:numPr>
          <w:ilvl w:val="0"/>
          <w:numId w:val="1014"/>
        </w:numPr>
      </w:pPr>
      <w:r>
        <w:t xml:space="preserve">de la formation ;</w:t>
      </w:r>
    </w:p>
    <w:p>
      <w:pPr>
        <w:pStyle w:val="Compact"/>
        <w:numPr>
          <w:ilvl w:val="0"/>
          <w:numId w:val="1014"/>
        </w:numPr>
      </w:pPr>
      <w:r>
        <w:t xml:space="preserve">de la recherche ;</w:t>
      </w:r>
    </w:p>
    <w:p>
      <w:pPr>
        <w:pStyle w:val="Compact"/>
        <w:numPr>
          <w:ilvl w:val="0"/>
          <w:numId w:val="1014"/>
        </w:numPr>
      </w:pPr>
      <w:r>
        <w:t xml:space="preserve">des réformes futures.</w:t>
      </w:r>
    </w:p>
    <w:p>
      <w:r>
        <w:pict>
          <v:rect style="width:0;height:1.5pt" o:hralign="center" o:hrstd="t" o:hr="t"/>
        </w:pict>
      </w:r>
    </w:p>
    <w:bookmarkEnd w:id="48"/>
    <w:bookmarkStart w:id="49" w:name="maxime"/>
    <w:p>
      <w:pPr>
        <w:pStyle w:val="Heading1"/>
      </w:pPr>
      <w:r>
        <w:t xml:space="preserve">MAXIME</w:t>
      </w:r>
    </w:p>
    <w:p>
      <w:pPr>
        <w:pStyle w:val="BlockText"/>
      </w:pPr>
      <w:r>
        <w:t xml:space="preserve">Préserver le passé.</w:t>
      </w:r>
    </w:p>
    <w:p>
      <w:pPr>
        <w:pStyle w:val="BlockText"/>
      </w:pPr>
      <w:r>
        <w:t xml:space="preserve">Comprendre le présent.</w:t>
      </w:r>
    </w:p>
    <w:p>
      <w:pPr>
        <w:pStyle w:val="BlockText"/>
      </w:pPr>
      <w:r>
        <w:t xml:space="preserve">Accompagner les transformations.</w:t>
      </w:r>
    </w:p>
    <w:p>
      <w:pPr>
        <w:pStyle w:val="BlockText"/>
      </w:pPr>
      <w:r>
        <w:t xml:space="preserve">Préparer les futurs possibles.</w:t>
      </w:r>
    </w:p>
    <w:p>
      <w:pPr>
        <w:pStyle w:val="FirstParagraph"/>
      </w:pPr>
      <w:r>
        <w:t xml:space="preserve">Car la technologie évolue, mais la connaissance institutionnelle demeure.</w:t>
      </w:r>
    </w:p>
    <w:bookmarkEnd w:id="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2026-06-15T21:19:31Z</dcterms:created>
  <dcterms:modified xsi:type="dcterms:W3CDTF">2026-06-15T21:19:31Z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