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EDB" w:rsidRDefault="00DB79EE">
      <w:pPr>
        <w:spacing w:after="32" w:line="249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6F1EDB" w:rsidRDefault="00DB79EE">
      <w:pPr>
        <w:spacing w:after="229" w:line="240" w:lineRule="auto"/>
      </w:pPr>
      <w:r>
        <w:t xml:space="preserve"> </w:t>
      </w:r>
    </w:p>
    <w:p w:rsidR="006F1EDB" w:rsidRPr="00891602" w:rsidRDefault="00DB79EE">
      <w:pPr>
        <w:numPr>
          <w:ilvl w:val="0"/>
          <w:numId w:val="1"/>
        </w:numPr>
        <w:spacing w:after="70" w:line="240" w:lineRule="auto"/>
        <w:ind w:right="-15" w:hanging="360"/>
        <w:rPr>
          <w:b/>
        </w:rPr>
      </w:pPr>
      <w:r w:rsidRPr="00891602">
        <w:rPr>
          <w:b/>
          <w:sz w:val="28"/>
        </w:rPr>
        <w:t xml:space="preserve">¿Qué es un operador unario y que es un operador binario? De un ejemplo de cada uno.  </w:t>
      </w:r>
    </w:p>
    <w:p w:rsidR="00DB79EE" w:rsidRDefault="00891602" w:rsidP="00891602">
      <w:pPr>
        <w:spacing w:after="70" w:line="240" w:lineRule="auto"/>
        <w:ind w:left="345" w:right="-15"/>
        <w:rPr>
          <w:sz w:val="28"/>
        </w:rPr>
      </w:pPr>
      <w:r>
        <w:rPr>
          <w:sz w:val="28"/>
        </w:rPr>
        <w:t>Un operador unario opera con u</w:t>
      </w:r>
      <w:r w:rsidR="00DB79EE">
        <w:rPr>
          <w:sz w:val="28"/>
        </w:rPr>
        <w:t>n parámetro</w:t>
      </w:r>
      <w:r>
        <w:rPr>
          <w:sz w:val="28"/>
        </w:rPr>
        <w:t xml:space="preserve"> (ej.: “!”)</w:t>
      </w:r>
      <w:r w:rsidR="00DB79EE">
        <w:rPr>
          <w:sz w:val="28"/>
        </w:rPr>
        <w:t>.</w:t>
      </w:r>
      <w:r>
        <w:rPr>
          <w:sz w:val="28"/>
        </w:rPr>
        <w:t xml:space="preserve"> Un operador binario opera con dos parámetros (*).</w:t>
      </w:r>
    </w:p>
    <w:p w:rsidR="00891602" w:rsidRDefault="00891602" w:rsidP="00891602">
      <w:pPr>
        <w:spacing w:after="70" w:line="240" w:lineRule="auto"/>
        <w:ind w:right="-15" w:firstLine="345"/>
      </w:pPr>
    </w:p>
    <w:p w:rsidR="006F1EDB" w:rsidRPr="00891602" w:rsidRDefault="00DB79EE">
      <w:pPr>
        <w:numPr>
          <w:ilvl w:val="0"/>
          <w:numId w:val="1"/>
        </w:numPr>
        <w:spacing w:after="231" w:line="240" w:lineRule="auto"/>
        <w:ind w:right="-15" w:hanging="360"/>
        <w:rPr>
          <w:b/>
        </w:rPr>
      </w:pPr>
      <w:r w:rsidRPr="00891602">
        <w:rPr>
          <w:b/>
          <w:sz w:val="28"/>
        </w:rPr>
        <w:t xml:space="preserve">¿Qué varía en la sintaxis de la sobrecarga de operadores unarios y binarios?  </w:t>
      </w:r>
    </w:p>
    <w:p w:rsidR="00DB79EE" w:rsidRDefault="00DB79EE" w:rsidP="00891602">
      <w:pPr>
        <w:spacing w:after="231" w:line="240" w:lineRule="auto"/>
        <w:ind w:right="-15" w:firstLine="345"/>
        <w:rPr>
          <w:sz w:val="28"/>
        </w:rPr>
      </w:pPr>
      <w:r>
        <w:rPr>
          <w:sz w:val="28"/>
        </w:rPr>
        <w:t>Cambia la cantidad de parámetros de entrada.</w:t>
      </w:r>
    </w:p>
    <w:p w:rsidR="00891602" w:rsidRDefault="00891602" w:rsidP="00891602">
      <w:pPr>
        <w:spacing w:after="231" w:line="240" w:lineRule="auto"/>
        <w:ind w:right="-15" w:firstLine="345"/>
      </w:pPr>
    </w:p>
    <w:p w:rsidR="006F1EDB" w:rsidRPr="00891602" w:rsidRDefault="00DB79EE">
      <w:pPr>
        <w:numPr>
          <w:ilvl w:val="0"/>
          <w:numId w:val="1"/>
        </w:numPr>
        <w:spacing w:after="228" w:line="266" w:lineRule="auto"/>
        <w:ind w:right="-15" w:hanging="360"/>
        <w:rPr>
          <w:b/>
        </w:rPr>
      </w:pPr>
      <w:r w:rsidRPr="00891602">
        <w:rPr>
          <w:b/>
          <w:sz w:val="28"/>
        </w:rPr>
        <w:t xml:space="preserve">Los operadores de casteo “(T)x” no se pueden sobrecargar. ¿Cuál es la alternativa? </w:t>
      </w:r>
    </w:p>
    <w:p w:rsidR="00DB79EE" w:rsidRDefault="00891602" w:rsidP="00891602">
      <w:pPr>
        <w:spacing w:after="228" w:line="266" w:lineRule="auto"/>
        <w:ind w:right="-15" w:firstLine="345"/>
        <w:rPr>
          <w:sz w:val="28"/>
        </w:rPr>
      </w:pPr>
      <w:r>
        <w:rPr>
          <w:sz w:val="28"/>
        </w:rPr>
        <w:t>La alternativa son los o</w:t>
      </w:r>
      <w:r w:rsidR="00DB79EE">
        <w:rPr>
          <w:sz w:val="28"/>
        </w:rPr>
        <w:t>peradores de conversión, explícitos o implícitos.</w:t>
      </w:r>
    </w:p>
    <w:p w:rsidR="00891602" w:rsidRDefault="00891602" w:rsidP="00891602">
      <w:pPr>
        <w:spacing w:after="228" w:line="266" w:lineRule="auto"/>
        <w:ind w:right="-15" w:firstLine="345"/>
      </w:pPr>
    </w:p>
    <w:p w:rsidR="006F1EDB" w:rsidRPr="00891602" w:rsidRDefault="00DB79EE">
      <w:pPr>
        <w:numPr>
          <w:ilvl w:val="0"/>
          <w:numId w:val="1"/>
        </w:numPr>
        <w:spacing w:after="231" w:line="240" w:lineRule="auto"/>
        <w:ind w:right="-15" w:hanging="360"/>
        <w:rPr>
          <w:b/>
        </w:rPr>
      </w:pPr>
      <w:r w:rsidRPr="00891602">
        <w:rPr>
          <w:b/>
          <w:sz w:val="28"/>
        </w:rPr>
        <w:t xml:space="preserve">¿Cuál es la diferencia entre una conversión implícita y una explícita?  </w:t>
      </w:r>
    </w:p>
    <w:p w:rsidR="00DB79EE" w:rsidRDefault="00DB79EE" w:rsidP="00891602">
      <w:pPr>
        <w:spacing w:after="231" w:line="240" w:lineRule="auto"/>
        <w:ind w:left="345" w:right="-15"/>
        <w:rPr>
          <w:sz w:val="28"/>
        </w:rPr>
      </w:pPr>
      <w:r>
        <w:rPr>
          <w:sz w:val="28"/>
        </w:rPr>
        <w:t xml:space="preserve">Explícita: </w:t>
      </w:r>
      <w:r w:rsidR="00891602">
        <w:rPr>
          <w:sz w:val="28"/>
        </w:rPr>
        <w:t>se</w:t>
      </w:r>
      <w:r>
        <w:rPr>
          <w:sz w:val="28"/>
        </w:rPr>
        <w:t xml:space="preserve"> utiliza cuando puede haber perdida de datos o cuando la conversión podría falla</w:t>
      </w:r>
      <w:r w:rsidR="00891602">
        <w:rPr>
          <w:sz w:val="28"/>
        </w:rPr>
        <w:t>r</w:t>
      </w:r>
      <w:r>
        <w:rPr>
          <w:sz w:val="28"/>
        </w:rPr>
        <w:t>.</w:t>
      </w:r>
    </w:p>
    <w:p w:rsidR="00DB79EE" w:rsidRDefault="00DB79EE" w:rsidP="00891602">
      <w:pPr>
        <w:spacing w:after="231" w:line="240" w:lineRule="auto"/>
        <w:ind w:right="-15" w:firstLine="345"/>
        <w:rPr>
          <w:sz w:val="28"/>
        </w:rPr>
      </w:pPr>
      <w:r>
        <w:rPr>
          <w:sz w:val="28"/>
        </w:rPr>
        <w:t xml:space="preserve">Implícita: Se </w:t>
      </w:r>
      <w:r w:rsidR="00891602">
        <w:rPr>
          <w:sz w:val="28"/>
        </w:rPr>
        <w:t>utiliza</w:t>
      </w:r>
      <w:r>
        <w:rPr>
          <w:sz w:val="28"/>
        </w:rPr>
        <w:t xml:space="preserve"> cu</w:t>
      </w:r>
      <w:r w:rsidR="00891602">
        <w:rPr>
          <w:sz w:val="28"/>
        </w:rPr>
        <w:t>a</w:t>
      </w:r>
      <w:r>
        <w:rPr>
          <w:sz w:val="28"/>
        </w:rPr>
        <w:t>ndo no hay perdida de datos</w:t>
      </w:r>
      <w:r w:rsidR="00891602">
        <w:rPr>
          <w:sz w:val="28"/>
        </w:rPr>
        <w:t>.</w:t>
      </w:r>
    </w:p>
    <w:p w:rsidR="00891602" w:rsidRPr="00DB79EE" w:rsidRDefault="00891602" w:rsidP="00891602">
      <w:pPr>
        <w:spacing w:after="231" w:line="240" w:lineRule="auto"/>
        <w:ind w:right="-15" w:firstLine="345"/>
        <w:rPr>
          <w:sz w:val="28"/>
        </w:rPr>
      </w:pPr>
    </w:p>
    <w:p w:rsidR="006F1EDB" w:rsidRPr="00891602" w:rsidRDefault="00DB79EE">
      <w:pPr>
        <w:numPr>
          <w:ilvl w:val="0"/>
          <w:numId w:val="1"/>
        </w:numPr>
        <w:spacing w:after="231" w:line="240" w:lineRule="auto"/>
        <w:ind w:right="-15" w:hanging="360"/>
        <w:rPr>
          <w:b/>
        </w:rPr>
      </w:pPr>
      <w:r w:rsidRPr="00891602">
        <w:rPr>
          <w:b/>
          <w:sz w:val="28"/>
        </w:rPr>
        <w:t xml:space="preserve">¿Cuál es la diferencia entre castear (casting) y </w:t>
      </w:r>
      <w:proofErr w:type="spellStart"/>
      <w:r w:rsidRPr="00891602">
        <w:rPr>
          <w:b/>
          <w:sz w:val="28"/>
        </w:rPr>
        <w:t>parsear</w:t>
      </w:r>
      <w:proofErr w:type="spellEnd"/>
      <w:r w:rsidRPr="00891602">
        <w:rPr>
          <w:b/>
          <w:sz w:val="28"/>
        </w:rPr>
        <w:t xml:space="preserve"> (</w:t>
      </w:r>
      <w:proofErr w:type="spellStart"/>
      <w:r w:rsidRPr="00891602">
        <w:rPr>
          <w:b/>
          <w:sz w:val="28"/>
        </w:rPr>
        <w:t>parsing</w:t>
      </w:r>
      <w:proofErr w:type="spellEnd"/>
      <w:r w:rsidRPr="00891602">
        <w:rPr>
          <w:b/>
          <w:sz w:val="28"/>
        </w:rPr>
        <w:t xml:space="preserve">)?  </w:t>
      </w:r>
    </w:p>
    <w:p w:rsidR="00DB79EE" w:rsidRDefault="00DB79EE" w:rsidP="00C6492F">
      <w:pPr>
        <w:spacing w:after="231" w:line="240" w:lineRule="auto"/>
        <w:ind w:left="345" w:right="-15"/>
        <w:rPr>
          <w:sz w:val="28"/>
        </w:rPr>
      </w:pPr>
      <w:r>
        <w:rPr>
          <w:sz w:val="28"/>
        </w:rPr>
        <w:t>Castear: se dice al compilador que un objeto es algo más sin cambiarlo. Tipos compatibles, el valor no cambia</w:t>
      </w:r>
      <w:r w:rsidR="00891602">
        <w:rPr>
          <w:sz w:val="28"/>
        </w:rPr>
        <w:t xml:space="preserve"> (</w:t>
      </w:r>
      <w:proofErr w:type="spellStart"/>
      <w:r>
        <w:rPr>
          <w:sz w:val="28"/>
        </w:rPr>
        <w:t>Obje</w:t>
      </w:r>
      <w:r w:rsidR="00891602">
        <w:rPr>
          <w:sz w:val="28"/>
        </w:rPr>
        <w:t>c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”</w:t>
      </w:r>
      <w:r w:rsidR="00891602">
        <w:rPr>
          <w:sz w:val="28"/>
        </w:rPr>
        <w:t>).</w:t>
      </w:r>
    </w:p>
    <w:p w:rsidR="00DB79EE" w:rsidRDefault="00DB79EE" w:rsidP="00C6492F">
      <w:pPr>
        <w:spacing w:after="231" w:line="240" w:lineRule="auto"/>
        <w:ind w:left="345" w:right="-15"/>
        <w:rPr>
          <w:sz w:val="28"/>
        </w:rPr>
      </w:pPr>
      <w:proofErr w:type="spellStart"/>
      <w:r>
        <w:rPr>
          <w:sz w:val="28"/>
        </w:rPr>
        <w:t>Convert</w:t>
      </w:r>
      <w:proofErr w:type="spellEnd"/>
      <w:r>
        <w:rPr>
          <w:sz w:val="28"/>
        </w:rPr>
        <w:t>: implican cambiar el tipo y crear un nuevo valor. Puede haber perdida de datos.</w:t>
      </w:r>
    </w:p>
    <w:p w:rsidR="00DB79EE" w:rsidRDefault="00DB79EE" w:rsidP="00C6492F">
      <w:pPr>
        <w:spacing w:after="231" w:line="240" w:lineRule="auto"/>
        <w:ind w:right="-15" w:firstLine="345"/>
      </w:pPr>
      <w:bookmarkStart w:id="0" w:name="_GoBack"/>
      <w:bookmarkEnd w:id="0"/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: Que el programa interprete una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y lo convierta en algo diferente.</w:t>
      </w:r>
    </w:p>
    <w:p w:rsidR="006F1EDB" w:rsidRDefault="00DB79EE">
      <w:pPr>
        <w:spacing w:line="240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6F1EDB" w:rsidSect="00891602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AB"/>
    <w:multiLevelType w:val="hybridMultilevel"/>
    <w:tmpl w:val="708402F6"/>
    <w:lvl w:ilvl="0" w:tplc="087CD3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4039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D4A2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CAC50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C0899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6C44D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2675D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DC108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CE9B6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DB"/>
    <w:rsid w:val="003B2261"/>
    <w:rsid w:val="006F1EDB"/>
    <w:rsid w:val="00891602"/>
    <w:rsid w:val="00C6492F"/>
    <w:rsid w:val="00D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08D"/>
  <w15:docId w15:val="{C1332926-F8D6-4E32-BC5B-466C051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Lionel Herrero Battista</cp:lastModifiedBy>
  <cp:revision>5</cp:revision>
  <dcterms:created xsi:type="dcterms:W3CDTF">2019-04-11T23:35:00Z</dcterms:created>
  <dcterms:modified xsi:type="dcterms:W3CDTF">2019-05-08T01:41:00Z</dcterms:modified>
</cp:coreProperties>
</file>