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PingFang SC" w:cs="PingFang SC" w:eastAsia="PingFang SC" w:hAnsi="PingFang SC"/>
          <w:b/>
          <w:bCs/>
          <w:sz w:val="36"/>
          <w:szCs w:val="36"/>
        </w:rPr>
        <w:t xml:space="preserve">二元相图动态交互实验室</w:t>
      </w:r>
    </w:p>
    <w:p>
      <w:pPr>
        <w:spacing w:after="60"/>
        <w:jc w:val="center"/>
      </w:pPr>
      <w:r>
        <w:rPr>
          <w:rFonts w:ascii="PingFang SC" w:cs="PingFang SC" w:eastAsia="PingFang SC" w:hAnsi="PingFang SC"/>
          <w:b/>
          <w:bCs/>
          <w:sz w:val="30"/>
          <w:szCs w:val="30"/>
        </w:rPr>
        <w:t xml:space="preserve">PRD 问题与存疑标记清单</w:t>
      </w:r>
    </w:p>
    <w:p>
      <w:pPr>
        <w:spacing w:after="400"/>
        <w:jc w:val="center"/>
      </w:pPr>
      <w:r>
        <w:rPr>
          <w:rFonts w:ascii="PingFang SC" w:cs="PingFang SC" w:eastAsia="PingFang SC" w:hAnsi="PingFang SC"/>
          <w:color w:val="666666"/>
          <w:sz w:val="20"/>
          <w:szCs w:val="20"/>
        </w:rPr>
        <w:t xml:space="preserve">核对对象：《二元相图动态交互实验室PRD文档【2026.8.13.1】》</w:t>
      </w:r>
    </w:p>
    <w:p>
      <w:pPr>
        <w:pStyle w:val="Heading1"/>
        <w:spacing w:after="140" w:before="260"/>
      </w:pPr>
      <w:r>
        <w:rPr>
          <w:rFonts w:ascii="PingFang SC" w:cs="PingFang SC" w:eastAsia="PingFang SC" w:hAnsi="PingFang SC"/>
          <w:b/>
          <w:bCs/>
          <w:sz w:val="30"/>
          <w:szCs w:val="30"/>
        </w:rPr>
        <w:t xml:space="preserve">一、说明</w:t>
      </w:r>
    </w:p>
    <w:p>
      <w:pPr>
        <w:spacing w:after="120" w:line="320"/>
      </w:pPr>
      <w:r>
        <w:rPr>
          <w:rFonts w:ascii="PingFang SC" w:cs="PingFang SC" w:eastAsia="PingFang SC" w:hAnsi="PingFang SC"/>
          <w:sz w:val="22"/>
          <w:szCs w:val="22"/>
        </w:rPr>
        <w:t xml:space="preserve">本清单是把 PRD 条款与已实现产品逐条核对后，标记出的需要修改、需要补充、以及需要产品方拍板的项目。核对方法为：读取 PRD 全文与其内嵌的四张教材参考图，对照运行中的实现逐条验证，涉及数值的结论均由实测得到，实测数据见附录。</w:t>
      </w:r>
    </w:p>
    <w:p>
      <w:pPr>
        <w:spacing w:after="120" w:line="320"/>
      </w:pPr>
      <w:r>
        <w:rPr>
          <w:rFonts w:ascii="PingFang SC" w:cs="PingFang SC" w:eastAsia="PingFang SC" w:hAnsi="PingFang SC"/>
          <w:sz w:val="22"/>
          <w:szCs w:val="22"/>
        </w:rPr>
        <w:t xml:space="preserve">分类口径如下：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类别</w:t>
            </w:r>
          </w:p>
        </w:tc>
        <w:tc>
          <w:tcPr>
            <w:tcW w:type="dxa" w:w="796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含义</w:t>
            </w:r>
          </w:p>
        </w:tc>
      </w:tr>
      <w:tr>
        <w:tc>
          <w:tcPr>
            <w:tcW w:type="dxa" w:w="1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A 类</w:t>
            </w:r>
          </w:p>
        </w:tc>
        <w:tc>
          <w:tcPr>
            <w:tcW w:type="dxa" w:w="79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必须修改。按 PRD 字面实施会产生材料学或逻辑错误。</w:t>
            </w:r>
          </w:p>
        </w:tc>
      </w:tr>
      <w:tr>
        <w:tc>
          <w:tcPr>
            <w:tcW w:type="dxa" w:w="1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B 类</w:t>
            </w:r>
          </w:p>
        </w:tc>
        <w:tc>
          <w:tcPr>
            <w:tcW w:type="dxa" w:w="79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需要补充。PRD 未覆盖，但产品已实现且属必要内容，封板版应写实。</w:t>
            </w:r>
          </w:p>
        </w:tc>
      </w:tr>
      <w:tr>
        <w:tc>
          <w:tcPr>
            <w:tcW w:type="dxa" w:w="1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C 类</w:t>
            </w:r>
          </w:p>
        </w:tc>
        <w:tc>
          <w:tcPr>
            <w:tcW w:type="dxa" w:w="79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措辞需澄清。不影响功能，但现状与 PRD 文字不一致，应更新表述。</w:t>
            </w:r>
          </w:p>
        </w:tc>
      </w:tr>
      <w:tr>
        <w:tc>
          <w:tcPr>
            <w:tcW w:type="dxa" w:w="1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D 类</w:t>
            </w:r>
          </w:p>
        </w:tc>
        <w:tc>
          <w:tcPr>
            <w:tcW w:type="dxa" w:w="79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待产品方决策。存在两种以上合理取法，需明确选定。</w:t>
            </w:r>
          </w:p>
        </w:tc>
      </w:tr>
    </w:tbl>
    <w:p>
      <w:pPr>
        <w:spacing w:after="120" w:line="320"/>
      </w:pPr>
      <w:r>
        <w:rPr>
          <w:rFonts w:ascii="PingFang SC" w:cs="PingFang SC" w:eastAsia="PingFang SC" w:hAnsi="PingFang SC"/>
          <w:sz w:val="22"/>
          <w:szCs w:val="22"/>
        </w:rPr>
        <w:t xml:space="preserve"/>
      </w:r>
    </w:p>
    <w:p>
      <w:pPr>
        <w:pStyle w:val="Heading1"/>
        <w:spacing w:after="140" w:before="260"/>
      </w:pPr>
      <w:r>
        <w:rPr>
          <w:rFonts w:ascii="PingFang SC" w:cs="PingFang SC" w:eastAsia="PingFang SC" w:hAnsi="PingFang SC"/>
          <w:b/>
          <w:bCs/>
          <w:sz w:val="30"/>
          <w:szCs w:val="30"/>
        </w:rPr>
        <w:t xml:space="preserve">二、A 类：必须修改</w:t>
      </w:r>
    </w:p>
    <w:p>
      <w:pPr>
        <w:pStyle w:val="Heading2"/>
        <w:spacing w:after="140" w:before="260"/>
      </w:pPr>
      <w:r>
        <w:rPr>
          <w:rFonts w:ascii="PingFang SC" w:cs="PingFang SC" w:eastAsia="PingFang SC" w:hAnsi="PingFang SC"/>
          <w:b/>
          <w:bCs/>
          <w:sz w:val="26"/>
          <w:szCs w:val="26"/>
        </w:rPr>
        <w:t xml:space="preserve">A-1　十二、杠杆定律公式仅按「液相 / 固相」表述</w:t>
      </w:r>
    </w:p>
    <w:p>
      <w:pPr>
        <w:spacing w:after="120" w:line="320"/>
      </w:pPr>
      <w:r>
        <w:rPr>
          <w:rFonts w:ascii="PingFang SC" w:cs="PingFang SC" w:eastAsia="PingFang SC" w:hAnsi="PingFang SC"/>
          <w:b/>
          <w:bCs/>
          <w:sz w:val="22"/>
          <w:szCs w:val="22"/>
        </w:rPr>
        <w:t xml:space="preserve">PRD 原文：</w:t>
      </w:r>
    </w:p>
    <w:p>
      <w:pPr>
        <w:shd w:fill="F4F5F7" w:val="clear"/>
        <w:spacing w:after="80" w:line="300"/>
      </w:pPr>
      <w:r>
        <w:rPr>
          <w:rFonts w:ascii="Menlo" w:cs="Menlo" w:eastAsia="Menlo" w:hAnsi="Menlo"/>
          <w:sz w:val="19"/>
          <w:szCs w:val="19"/>
        </w:rPr>
        <w:t xml:space="preserve">12.1  液相比例 WL = (CS − C0)/(CS − CL)</w:t>
      </w:r>
    </w:p>
    <w:p>
      <w:pPr>
        <w:shd w:fill="F4F5F7" w:val="clear"/>
        <w:spacing w:after="80" w:line="300"/>
      </w:pPr>
      <w:r>
        <w:rPr>
          <w:rFonts w:ascii="Menlo" w:cs="Menlo" w:eastAsia="Menlo" w:hAnsi="Menlo"/>
          <w:sz w:val="19"/>
          <w:szCs w:val="19"/>
        </w:rPr>
        <w:t xml:space="preserve">      固相比   WS = (C0 − CL)/(CS − CL)</w:t>
      </w:r>
    </w:p>
    <w:p>
      <w:pPr>
        <w:shd w:fill="F4F5F7" w:val="clear"/>
        <w:spacing w:after="80" w:line="300"/>
      </w:pPr>
      <w:r>
        <w:rPr>
          <w:rFonts w:ascii="Menlo" w:cs="Menlo" w:eastAsia="Menlo" w:hAnsi="Menlo"/>
          <w:sz w:val="19"/>
          <w:szCs w:val="19"/>
        </w:rPr>
        <w:t xml:space="preserve">12.2  实时显示：液相比例 XX%   固相比 XX%</w:t>
      </w:r>
    </w:p>
    <w:p>
      <w:pPr>
        <w:spacing w:after="120" w:line="320"/>
      </w:pPr>
      <w:r>
        <w:rPr>
          <w:rFonts w:ascii="PingFang SC" w:cs="PingFang SC" w:eastAsia="PingFang SC" w:hAnsi="PingFang SC"/>
          <w:b/>
          <w:bCs/>
          <w:sz w:val="22"/>
          <w:szCs w:val="22"/>
        </w:rPr>
        <w:t xml:space="preserve">问题：</w:t>
      </w:r>
    </w:p>
    <w:p>
      <w:pPr>
        <w:spacing w:after="120" w:line="320"/>
      </w:pPr>
      <w:r>
        <w:rPr>
          <w:rFonts w:ascii="PingFang SC" w:cs="PingFang SC" w:eastAsia="PingFang SC" w:hAnsi="PingFang SC"/>
          <w:sz w:val="22"/>
          <w:szCs w:val="22"/>
        </w:rPr>
        <w:t xml:space="preserve">公式中 CL 为液相成分、CS 为固相成分，该表述只在「液相 + 固相」两相区成立。但四套相图中存在大量「固相 + 固相」两相区，这些区内不存在液相，CL 没有对应的物理量。实测四例：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00"/>
        <w:gridCol w:w="3460"/>
      </w:tblGrid>
      <w:tr>
        <w:trPr>
          <w:tblHeader/>
        </w:trPr>
        <w:tc>
          <w:tcPr>
            <w:tcW w:type="dxa" w:w="20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相图</w:t>
            </w:r>
          </w:p>
        </w:tc>
        <w:tc>
          <w:tcPr>
            <w:tcW w:type="dxa" w:w="18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状态点</w:t>
            </w:r>
          </w:p>
        </w:tc>
        <w:tc>
          <w:tcPr>
            <w:tcW w:type="dxa" w:w="21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所在相区</w:t>
            </w:r>
          </w:p>
        </w:tc>
        <w:tc>
          <w:tcPr>
            <w:tcW w:type="dxa" w:w="346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等温线两端</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Pb–Sn</w:t>
            </w:r>
          </w:p>
        </w:tc>
        <w:tc>
          <w:tcPr>
            <w:tcW w:type="dxa" w:w="18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40% / 100℃</w:t>
            </w:r>
          </w:p>
        </w:tc>
        <w:tc>
          <w:tcPr>
            <w:tcW w:type="dxa" w:w="21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α + β</w:t>
            </w:r>
          </w:p>
        </w:tc>
        <w:tc>
          <w:tcPr>
            <w:tcW w:type="dxa" w:w="34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α 5.727%（63.0%）／ β 98.429%（37.0%）</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Fe–Fe₃C</w:t>
            </w:r>
          </w:p>
        </w:tc>
        <w:tc>
          <w:tcPr>
            <w:tcW w:type="dxa" w:w="18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3.0% / 900℃</w:t>
            </w:r>
          </w:p>
        </w:tc>
        <w:tc>
          <w:tcPr>
            <w:tcW w:type="dxa" w:w="21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γ + Fe₃C</w:t>
            </w:r>
          </w:p>
        </w:tc>
        <w:tc>
          <w:tcPr>
            <w:tcW w:type="dxa" w:w="34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γ 1.304%（68.5%）／ Fe₃C 6.690%（31.5%）</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Pt–Ag</w:t>
            </w:r>
          </w:p>
        </w:tc>
        <w:tc>
          <w:tcPr>
            <w:tcW w:type="dxa" w:w="18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55% / 700℃</w:t>
            </w:r>
          </w:p>
        </w:tc>
        <w:tc>
          <w:tcPr>
            <w:tcW w:type="dxa" w:w="21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α + β</w:t>
            </w:r>
          </w:p>
        </w:tc>
        <w:tc>
          <w:tcPr>
            <w:tcW w:type="dxa" w:w="34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α 2.000%（30.2%）／ β 77.947%（69.8%）</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Fe–Fe₃C</w:t>
            </w:r>
          </w:p>
        </w:tc>
        <w:tc>
          <w:tcPr>
            <w:tcW w:type="dxa" w:w="18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0.4% / 800℃</w:t>
            </w:r>
          </w:p>
        </w:tc>
        <w:tc>
          <w:tcPr>
            <w:tcW w:type="dxa" w:w="21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α + γ</w:t>
            </w:r>
          </w:p>
        </w:tc>
        <w:tc>
          <w:tcPr>
            <w:tcW w:type="dxa" w:w="34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α 0.013%（6.7%）／ γ 0.428%（93.3%）</w:t>
            </w:r>
          </w:p>
        </w:tc>
      </w:tr>
    </w:tbl>
    <w:p>
      <w:pPr>
        <w:spacing w:after="120" w:line="320"/>
      </w:pPr>
      <w:r>
        <w:rPr>
          <w:rFonts w:ascii="PingFang SC" w:cs="PingFang SC" w:eastAsia="PingFang SC" w:hAnsi="PingFang SC"/>
          <w:sz w:val="22"/>
          <w:szCs w:val="22"/>
        </w:rPr>
        <w:t xml:space="preserve"/>
      </w:r>
    </w:p>
    <w:p>
      <w:pPr>
        <w:spacing w:after="120" w:line="320"/>
      </w:pPr>
      <w:r>
        <w:rPr>
          <w:rFonts w:ascii="PingFang SC" w:cs="PingFang SC" w:eastAsia="PingFang SC" w:hAnsi="PingFang SC"/>
          <w:sz w:val="22"/>
          <w:szCs w:val="22"/>
        </w:rPr>
        <w:t xml:space="preserve">若按 PRD 字面把界面写成「液相比例 / 固相比」，学生在 Pb–Sn 的 α+β 区会看到「液相比例 63.0%」，而该数值实际是 α 相的比例，属讲错。α+β 区恰是共晶组织教学的核心区域。</w:t>
      </w:r>
    </w:p>
    <w:p>
      <w:pPr>
        <w:spacing w:after="120" w:line="320"/>
      </w:pPr>
      <w:r>
        <w:rPr>
          <w:rFonts w:ascii="PingFang SC" w:cs="PingFang SC" w:eastAsia="PingFang SC" w:hAnsi="PingFang SC"/>
          <w:b/>
          <w:bCs/>
          <w:sz w:val="22"/>
          <w:szCs w:val="22"/>
        </w:rPr>
        <w:t xml:space="preserve">建议改法：</w:t>
      </w:r>
    </w:p>
    <w:p>
      <w:pPr>
        <w:spacing w:after="120" w:line="320"/>
      </w:pPr>
      <w:r>
        <w:rPr>
          <w:rFonts w:ascii="PingFang SC" w:cs="PingFang SC" w:eastAsia="PingFang SC" w:hAnsi="PingFang SC"/>
          <w:sz w:val="22"/>
          <w:szCs w:val="22"/>
        </w:rPr>
        <w:t xml:space="preserve">把 L / S 两个特称改为通称，按等温线两端的实际相生成：</w:t>
      </w:r>
    </w:p>
    <w:p>
      <w:pPr>
        <w:shd w:fill="F4F5F7" w:val="clear"/>
        <w:spacing w:after="80" w:line="300"/>
      </w:pPr>
      <w:r>
        <w:rPr>
          <w:rFonts w:ascii="Menlo" w:cs="Menlo" w:eastAsia="Menlo" w:hAnsi="Menlo"/>
          <w:sz w:val="19"/>
          <w:szCs w:val="19"/>
        </w:rPr>
        <w:t xml:space="preserve">W左 = (C右 − C0)/(C右 − C左)      W右 = (C0 − C左)/(C右 − C左)</w:t>
      </w:r>
    </w:p>
    <w:p>
      <w:pPr>
        <w:spacing w:after="120" w:line="320"/>
      </w:pPr>
      <w:r>
        <w:rPr>
          <w:rFonts w:ascii="PingFang SC" w:cs="PingFang SC" w:eastAsia="PingFang SC" w:hAnsi="PingFang SC"/>
          <w:sz w:val="22"/>
          <w:szCs w:val="22"/>
        </w:rPr>
        <w:t xml:space="preserve">并注明「左 / 右指等温线与两侧相界交点所对应的相」。杠杆定律本身的数学不变。现有实现已按实际相名生成（W_α、W_γ、W_Fe₃C 等）。</w:t>
      </w:r>
    </w:p>
    <w:p>
      <w:pPr>
        <w:pStyle w:val="Heading2"/>
        <w:spacing w:after="140" w:before="260"/>
      </w:pPr>
      <w:r>
        <w:rPr>
          <w:rFonts w:ascii="PingFang SC" w:cs="PingFang SC" w:eastAsia="PingFang SC" w:hAnsi="PingFang SC"/>
          <w:b/>
          <w:bCs/>
          <w:sz w:val="26"/>
          <w:szCs w:val="26"/>
        </w:rPr>
        <w:t xml:space="preserve">A-2　6.4 相区命名与第七节自相矛盾</w:t>
      </w:r>
    </w:p>
    <w:p>
      <w:pPr>
        <w:spacing w:after="120" w:line="320"/>
      </w:pPr>
      <w:r>
        <w:rPr>
          <w:rFonts w:ascii="PingFang SC" w:cs="PingFang SC" w:eastAsia="PingFang SC" w:hAnsi="PingFang SC"/>
          <w:b/>
          <w:bCs/>
          <w:sz w:val="22"/>
          <w:szCs w:val="22"/>
        </w:rPr>
        <w:t xml:space="preserve">PRD 内部冲突：</w:t>
      </w:r>
    </w:p>
    <w:p>
      <w:pPr>
        <w:pStyle w:val="ListParagraph"/>
        <w:numPr>
          <w:ilvl w:val="0"/>
          <w:numId w:val="2"/>
        </w:numPr>
        <w:spacing w:after="80" w:line="320"/>
      </w:pPr>
      <w:r>
        <w:rPr>
          <w:rFonts w:ascii="PingFang SC" w:cs="PingFang SC" w:eastAsia="PingFang SC" w:hAnsi="PingFang SC"/>
          <w:sz w:val="22"/>
          <w:szCs w:val="22"/>
        </w:rPr>
        <w:t xml:space="preserve">6.4 要求「必须显示：L；δ-Fe；γ-Fe；α-Fe；Fe₃C」</w:t>
      </w:r>
    </w:p>
    <w:p>
      <w:pPr>
        <w:pStyle w:val="ListParagraph"/>
        <w:numPr>
          <w:ilvl w:val="0"/>
          <w:numId w:val="2"/>
        </w:numPr>
        <w:spacing w:after="80" w:line="320"/>
      </w:pPr>
      <w:r>
        <w:rPr>
          <w:rFonts w:ascii="PingFang SC" w:cs="PingFang SC" w:eastAsia="PingFang SC" w:hAnsi="PingFang SC"/>
          <w:sz w:val="22"/>
          <w:szCs w:val="22"/>
        </w:rPr>
        <w:t xml:space="preserve">第七节标题为「参考图复刻要求（最高优先级）」，正文规定优先级为「用户参考图片 → 材料学理论规律 → 开发者设计」</w:t>
      </w:r>
    </w:p>
    <w:p>
      <w:pPr>
        <w:spacing w:after="120" w:line="320"/>
      </w:pPr>
      <w:r>
        <w:rPr>
          <w:rFonts w:ascii="PingFang SC" w:cs="PingFang SC" w:eastAsia="PingFang SC" w:hAnsi="PingFang SC"/>
          <w:sz w:val="22"/>
          <w:szCs w:val="22"/>
        </w:rPr>
        <w:t xml:space="preserve">而 PRD 自身内嵌的铁碳参考图上，标注使用的是希腊字母 δ、γ、α，不带 -Fe 后缀。因此按 6.4 字面实施，会违反 PRD 自己声明为最高优先级的第七节。</w:t>
      </w:r>
    </w:p>
    <w:p>
      <w:pPr>
        <w:spacing w:after="120" w:line="320"/>
      </w:pPr>
      <w:r>
        <w:rPr>
          <w:rFonts w:ascii="PingFang SC" w:cs="PingFang SC" w:eastAsia="PingFang SC" w:hAnsi="PingFang SC"/>
          <w:b/>
          <w:bCs/>
          <w:sz w:val="22"/>
          <w:szCs w:val="22"/>
        </w:rPr>
        <w:t xml:space="preserve">建议改法：</w:t>
      </w:r>
    </w:p>
    <w:p>
      <w:pPr>
        <w:spacing w:after="120" w:line="320"/>
      </w:pPr>
      <w:r>
        <w:rPr>
          <w:rFonts w:ascii="PingFang SC" w:cs="PingFang SC" w:eastAsia="PingFang SC" w:hAnsi="PingFang SC"/>
          <w:sz w:val="22"/>
          <w:szCs w:val="22"/>
        </w:rPr>
        <w:t xml:space="preserve">两条择一并明确：或将 6.4 改为「δ、γ、α、Fe₃C（图面标注沿用教材参考图的希腊字母写法，正文可写 δ-Fe 等全称）」；或在 6.4 注明该处为第七节的明示例外。现有实现按参考图采用希腊字母。</w:t>
      </w:r>
    </w:p>
    <w:p>
      <w:pPr>
        <w:spacing w:after="120" w:line="320"/>
      </w:pPr>
      <w:r>
        <w:rPr>
          <w:rFonts w:ascii="PingFang SC" w:cs="PingFang SC" w:eastAsia="PingFang SC" w:hAnsi="PingFang SC"/>
          <w:color w:val="1F6B3B"/>
          <w:sz w:val="22"/>
          <w:szCs w:val="22"/>
        </w:rPr>
        <w:t xml:space="preserve">处理进度：项目侧已在 docs/data-sources.md 的「与 PRD 的明示偏离」一节中把该项正式登记为「例外二」，并注明依据。剩余动作为在封板版 PRD 6.4 中同步该表述。</w:t>
      </w:r>
    </w:p>
    <w:p>
      <w:pPr>
        <w:pStyle w:val="Heading1"/>
        <w:spacing w:after="140" w:before="260"/>
      </w:pPr>
      <w:r>
        <w:rPr>
          <w:rFonts w:ascii="PingFang SC" w:cs="PingFang SC" w:eastAsia="PingFang SC" w:hAnsi="PingFang SC"/>
          <w:b/>
          <w:bCs/>
          <w:sz w:val="30"/>
          <w:szCs w:val="30"/>
        </w:rPr>
        <w:t xml:space="preserve">三、B 类：需要补充</w:t>
      </w:r>
    </w:p>
    <w:p>
      <w:pPr>
        <w:pStyle w:val="Heading2"/>
        <w:spacing w:after="140" w:before="260"/>
      </w:pPr>
      <w:r>
        <w:rPr>
          <w:rFonts w:ascii="PingFang SC" w:cs="PingFang SC" w:eastAsia="PingFang SC" w:hAnsi="PingFang SC"/>
          <w:b/>
          <w:bCs/>
          <w:sz w:val="26"/>
          <w:szCs w:val="26"/>
        </w:rPr>
        <w:t xml:space="preserve">B-1　13.2 缺少「成分适用区间」约束</w:t>
      </w:r>
    </w:p>
    <w:p>
      <w:pPr>
        <w:spacing w:after="120" w:line="320"/>
      </w:pPr>
      <w:r>
        <w:rPr>
          <w:rFonts w:ascii="PingFang SC" w:cs="PingFang SC" w:eastAsia="PingFang SC" w:hAnsi="PingFang SC"/>
          <w:b/>
          <w:bCs/>
          <w:sz w:val="22"/>
          <w:szCs w:val="22"/>
        </w:rPr>
        <w:t xml:space="preserve">PRD 原文：</w:t>
      </w:r>
    </w:p>
    <w:p>
      <w:pPr>
        <w:shd w:fill="F4F5F7" w:val="clear"/>
        <w:spacing w:after="80" w:line="300"/>
      </w:pPr>
      <w:r>
        <w:rPr>
          <w:rFonts w:ascii="Menlo" w:cs="Menlo" w:eastAsia="Menlo" w:hAnsi="Menlo"/>
          <w:sz w:val="19"/>
          <w:szCs w:val="19"/>
        </w:rPr>
        <w:t xml:space="preserve">当达到 包晶温度 / 共晶温度 / 共析温度，系统自动暂停 2~3 秒</w:t>
      </w:r>
    </w:p>
    <w:p>
      <w:pPr>
        <w:spacing w:after="120" w:line="320"/>
      </w:pPr>
      <w:r>
        <w:rPr>
          <w:rFonts w:ascii="PingFang SC" w:cs="PingFang SC" w:eastAsia="PingFang SC" w:hAnsi="PingFang SC"/>
          <w:sz w:val="22"/>
          <w:szCs w:val="22"/>
        </w:rPr>
        <w:t xml:space="preserve">问题：条文只以温度为触发条件，未要求判断当前合金成分是否真的会经历该反应。严格按此实施会出现材料学错误。实测对照：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相图 / 成分</w:t>
            </w:r>
          </w:p>
        </w:tc>
        <w:tc>
          <w:tcPr>
            <w:tcW w:type="dxa" w:w="32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按 PRD 字面会触发</w:t>
            </w:r>
          </w:p>
        </w:tc>
        <w:tc>
          <w:tcPr>
            <w:tcW w:type="dxa" w:w="416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材料学上应触发</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Pb–Sn　5% Sn</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L → α + β</w:t>
            </w:r>
          </w:p>
        </w:tc>
        <w:tc>
          <w:tcPr>
            <w:tcW w:type="dxa" w:w="41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不发生</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Pt–Ag　90% Ag</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L + α → β</w:t>
            </w:r>
          </w:p>
        </w:tc>
        <w:tc>
          <w:tcPr>
            <w:tcW w:type="dxa" w:w="41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不发生</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Fe–C　3.0% C</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包晶 + 共晶 + 共析</w:t>
            </w:r>
          </w:p>
        </w:tc>
        <w:tc>
          <w:tcPr>
            <w:tcW w:type="dxa" w:w="41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共晶 + 共析</w:t>
            </w:r>
          </w:p>
        </w:tc>
      </w:tr>
      <w:tr>
        <w:tc>
          <w:tcPr>
            <w:tcW w:type="dxa" w:w="20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Fe–C　0.17% C</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包晶 + 共晶 + 共析</w:t>
            </w:r>
          </w:p>
        </w:tc>
        <w:tc>
          <w:tcPr>
            <w:tcW w:type="dxa" w:w="41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包晶 + 共析</w:t>
            </w:r>
          </w:p>
        </w:tc>
      </w:tr>
    </w:tbl>
    <w:p>
      <w:pPr>
        <w:spacing w:after="120" w:line="320"/>
      </w:pPr>
      <w:r>
        <w:rPr>
          <w:rFonts w:ascii="PingFang SC" w:cs="PingFang SC" w:eastAsia="PingFang SC" w:hAnsi="PingFang SC"/>
          <w:sz w:val="22"/>
          <w:szCs w:val="22"/>
        </w:rPr>
        <w:t xml:space="preserve"/>
      </w:r>
    </w:p>
    <w:p>
      <w:pPr>
        <w:spacing w:after="120" w:line="320"/>
      </w:pPr>
      <w:r>
        <w:rPr>
          <w:rFonts w:ascii="PingFang SC" w:cs="PingFang SC" w:eastAsia="PingFang SC" w:hAnsi="PingFang SC"/>
          <w:sz w:val="22"/>
          <w:szCs w:val="22"/>
        </w:rPr>
        <w:t xml:space="preserve">建议补充：「仅当合金成分落在该反应的适用成分区间内时才触发暂停与反应式显示」。现有实现已按此执行并有单元测试守护。</w:t>
      </w:r>
    </w:p>
    <w:p>
      <w:pPr>
        <w:pStyle w:val="Heading2"/>
        <w:spacing w:after="140" w:before="260"/>
      </w:pPr>
      <w:r>
        <w:rPr>
          <w:rFonts w:ascii="PingFang SC" w:cs="PingFang SC" w:eastAsia="PingFang SC" w:hAnsi="PingFang SC"/>
          <w:b/>
          <w:bCs/>
          <w:sz w:val="26"/>
          <w:szCs w:val="26"/>
        </w:rPr>
        <w:t xml:space="preserve">B-2　各相图坐标范围未规定</w:t>
      </w:r>
    </w:p>
    <w:p>
      <w:pPr>
        <w:spacing w:after="120" w:line="320"/>
      </w:pPr>
      <w:r>
        <w:rPr>
          <w:rFonts w:ascii="PingFang SC" w:cs="PingFang SC" w:eastAsia="PingFang SC" w:hAnsi="PingFang SC"/>
          <w:sz w:val="22"/>
          <w:szCs w:val="22"/>
        </w:rPr>
        <w:t xml:space="preserve">PRD 未规定四套相图的坐标轴范围，建议在封板版中写死，以便验收与复刻比对：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相图</w:t>
            </w:r>
          </w:p>
        </w:tc>
        <w:tc>
          <w:tcPr>
            <w:tcW w:type="dxa" w:w="34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成分轴</w:t>
            </w:r>
          </w:p>
        </w:tc>
        <w:tc>
          <w:tcPr>
            <w:tcW w:type="dxa" w:w="336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温度轴</w:t>
            </w:r>
          </w:p>
        </w:tc>
      </w:tr>
      <w:tr>
        <w:tc>
          <w:tcPr>
            <w:tcW w:type="dxa" w:w="2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Cu–Ni 匀晶</w:t>
            </w:r>
          </w:p>
        </w:tc>
        <w:tc>
          <w:tcPr>
            <w:tcW w:type="dxa" w:w="3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0 – 100　wNi / %</w:t>
            </w:r>
          </w:p>
        </w:tc>
        <w:tc>
          <w:tcPr>
            <w:tcW w:type="dxa" w:w="33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800 – 1550 ℃</w:t>
            </w:r>
          </w:p>
        </w:tc>
      </w:tr>
      <w:tr>
        <w:tc>
          <w:tcPr>
            <w:tcW w:type="dxa" w:w="2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Pt–Ag 包晶</w:t>
            </w:r>
          </w:p>
        </w:tc>
        <w:tc>
          <w:tcPr>
            <w:tcW w:type="dxa" w:w="3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0 – 100　wAg / %</w:t>
            </w:r>
          </w:p>
        </w:tc>
        <w:tc>
          <w:tcPr>
            <w:tcW w:type="dxa" w:w="33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400 – 1800 ℃</w:t>
            </w:r>
          </w:p>
        </w:tc>
      </w:tr>
      <w:tr>
        <w:tc>
          <w:tcPr>
            <w:tcW w:type="dxa" w:w="2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Pb–Sn 共晶</w:t>
            </w:r>
          </w:p>
        </w:tc>
        <w:tc>
          <w:tcPr>
            <w:tcW w:type="dxa" w:w="3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0 – 100　wSn / %</w:t>
            </w:r>
          </w:p>
        </w:tc>
        <w:tc>
          <w:tcPr>
            <w:tcW w:type="dxa" w:w="33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0 – 350 ℃</w:t>
            </w:r>
          </w:p>
        </w:tc>
      </w:tr>
      <w:tr>
        <w:tc>
          <w:tcPr>
            <w:tcW w:type="dxa" w:w="2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Fe–Fe₃C 铁碳</w:t>
            </w:r>
          </w:p>
        </w:tc>
        <w:tc>
          <w:tcPr>
            <w:tcW w:type="dxa" w:w="34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0 – 6.69　wC / %</w:t>
            </w:r>
          </w:p>
        </w:tc>
        <w:tc>
          <w:tcPr>
            <w:tcW w:type="dxa" w:w="33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600 – 1600 ℃</w:t>
            </w:r>
          </w:p>
        </w:tc>
      </w:tr>
    </w:tbl>
    <w:p>
      <w:pPr>
        <w:spacing w:after="120" w:line="320"/>
      </w:pPr>
      <w:r>
        <w:rPr>
          <w:rFonts w:ascii="PingFang SC" w:cs="PingFang SC" w:eastAsia="PingFang SC" w:hAnsi="PingFang SC"/>
          <w:sz w:val="22"/>
          <w:szCs w:val="22"/>
        </w:rPr>
        <w:t xml:space="preserve"/>
      </w:r>
    </w:p>
    <w:p>
      <w:pPr>
        <w:pStyle w:val="Heading2"/>
        <w:spacing w:after="140" w:before="260"/>
      </w:pPr>
      <w:r>
        <w:rPr>
          <w:rFonts w:ascii="PingFang SC" w:cs="PingFang SC" w:eastAsia="PingFang SC" w:hAnsi="PingFang SC"/>
          <w:b/>
          <w:bCs/>
          <w:sz w:val="26"/>
          <w:szCs w:val="26"/>
        </w:rPr>
        <w:t xml:space="preserve">B-3　已实现但 PRD 未描述的功能</w:t>
      </w:r>
    </w:p>
    <w:p>
      <w:pPr>
        <w:spacing w:after="120" w:line="320"/>
      </w:pPr>
      <w:r>
        <w:rPr>
          <w:rFonts w:ascii="PingFang SC" w:cs="PingFang SC" w:eastAsia="PingFang SC" w:hAnsi="PingFang SC"/>
          <w:sz w:val="22"/>
          <w:szCs w:val="22"/>
        </w:rPr>
        <w:t xml:space="preserve">第二十节「编号 2、4、5 处可自由发挥」已给出授权，但封板版应把最终形态写实：</w:t>
      </w:r>
    </w:p>
    <w:p>
      <w:pPr>
        <w:pStyle w:val="ListParagraph"/>
        <w:numPr>
          <w:ilvl w:val="0"/>
          <w:numId w:val="2"/>
        </w:numPr>
        <w:spacing w:after="80" w:line="320"/>
      </w:pPr>
      <w:r>
        <w:rPr>
          <w:rFonts w:ascii="PingFang SC" w:cs="PingFang SC" w:eastAsia="PingFang SC" w:hAnsi="PingFang SC"/>
          <w:sz w:val="22"/>
          <w:szCs w:val="22"/>
        </w:rPr>
        <w:t xml:space="preserve">左栏「功能模块」四项：相图结构 / 冷却过程 / 杠杆定律 / 三相反应</w:t>
      </w:r>
    </w:p>
    <w:p>
      <w:pPr>
        <w:pStyle w:val="ListParagraph"/>
        <w:numPr>
          <w:ilvl w:val="0"/>
          <w:numId w:val="2"/>
        </w:numPr>
        <w:spacing w:after="80" w:line="320"/>
      </w:pPr>
      <w:r>
        <w:rPr>
          <w:rFonts w:ascii="PingFang SC" w:cs="PingFang SC" w:eastAsia="PingFang SC" w:hAnsi="PingFang SC"/>
          <w:sz w:val="22"/>
          <w:szCs w:val="22"/>
        </w:rPr>
        <w:t xml:space="preserve">左栏「辅助显示」三个开关：相区标签 / 关键点标注 / 等温线与交点</w:t>
      </w:r>
    </w:p>
    <w:p>
      <w:pPr>
        <w:pStyle w:val="ListParagraph"/>
        <w:numPr>
          <w:ilvl w:val="0"/>
          <w:numId w:val="2"/>
        </w:numPr>
        <w:spacing w:after="80" w:line="320"/>
      </w:pPr>
      <w:r>
        <w:rPr>
          <w:rFonts w:ascii="PingFang SC" w:cs="PingFang SC" w:eastAsia="PingFang SC" w:hAnsi="PingFang SC"/>
          <w:sz w:val="22"/>
          <w:szCs w:val="22"/>
        </w:rPr>
        <w:t xml:space="preserve">顶栏三个按钮：返回首页 / 重置实验 / 自动凝固</w:t>
      </w:r>
    </w:p>
    <w:p>
      <w:pPr>
        <w:pStyle w:val="ListParagraph"/>
        <w:numPr>
          <w:ilvl w:val="0"/>
          <w:numId w:val="2"/>
        </w:numPr>
        <w:spacing w:after="80" w:line="320"/>
      </w:pPr>
      <w:r>
        <w:rPr>
          <w:rFonts w:ascii="PingFang SC" w:cs="PingFang SC" w:eastAsia="PingFang SC" w:hAnsi="PingFang SC"/>
          <w:sz w:val="22"/>
          <w:szCs w:val="22"/>
        </w:rPr>
        <w:t xml:space="preserve">固定相色（L、α、β、γ、δ、Fe₃C 各占一色），两相区取两相色的确定性混色，并附配色图例</w:t>
      </w:r>
    </w:p>
    <w:p>
      <w:pPr>
        <w:pStyle w:val="ListParagraph"/>
        <w:numPr>
          <w:ilvl w:val="0"/>
          <w:numId w:val="2"/>
        </w:numPr>
        <w:spacing w:after="80" w:line="320"/>
      </w:pPr>
      <w:r>
        <w:rPr>
          <w:rFonts w:ascii="PingFang SC" w:cs="PingFang SC" w:eastAsia="PingFang SC" w:hAnsi="PingFang SC"/>
          <w:sz w:val="22"/>
          <w:szCs w:val="22"/>
        </w:rPr>
        <w:t xml:space="preserve">冷却路径节点：相界交点与适用的三相反应温度合并、按温度降序去重，反应节点附反应式</w:t>
      </w:r>
    </w:p>
    <w:p>
      <w:pPr>
        <w:pStyle w:val="ListParagraph"/>
        <w:numPr>
          <w:ilvl w:val="0"/>
          <w:numId w:val="2"/>
        </w:numPr>
        <w:spacing w:after="80" w:line="320"/>
      </w:pPr>
      <w:r>
        <w:rPr>
          <w:rFonts w:ascii="PingFang SC" w:cs="PingFang SC" w:eastAsia="PingFang SC" w:hAnsi="PingFang SC"/>
          <w:sz w:val="22"/>
          <w:szCs w:val="22"/>
        </w:rPr>
        <w:t xml:space="preserve">键盘方向键微调状态点，状态点具备 ARIA slider 语义</w:t>
      </w:r>
    </w:p>
    <w:p>
      <w:pPr>
        <w:pStyle w:val="ListParagraph"/>
        <w:numPr>
          <w:ilvl w:val="0"/>
          <w:numId w:val="2"/>
        </w:numPr>
        <w:spacing w:after="80" w:line="320"/>
      </w:pPr>
      <w:r>
        <w:rPr>
          <w:rFonts w:ascii="PingFang SC" w:cs="PingFang SC" w:eastAsia="PingFang SC" w:hAnsi="PingFang SC"/>
          <w:sz w:val="22"/>
          <w:szCs w:val="22"/>
        </w:rPr>
        <w:t xml:space="preserve">响应式断点与移动端布局</w:t>
      </w:r>
    </w:p>
    <w:p>
      <w:pPr>
        <w:pStyle w:val="Heading2"/>
        <w:spacing w:after="140" w:before="260"/>
      </w:pPr>
      <w:r>
        <w:rPr>
          <w:rFonts w:ascii="PingFang SC" w:cs="PingFang SC" w:eastAsia="PingFang SC" w:hAnsi="PingFang SC"/>
          <w:b/>
          <w:bCs/>
          <w:sz w:val="26"/>
          <w:szCs w:val="26"/>
        </w:rPr>
        <w:t xml:space="preserve">B-4　七、复刻例外：Pt–Ag 的 A 点</w:t>
      </w:r>
    </w:p>
    <w:p>
      <w:pPr>
        <w:spacing w:after="120" w:line="320"/>
      </w:pPr>
      <w:r>
        <w:rPr>
          <w:rFonts w:ascii="PingFang SC" w:cs="PingFang SC" w:eastAsia="PingFang SC" w:hAnsi="PingFang SC"/>
          <w:sz w:val="22"/>
          <w:szCs w:val="22"/>
        </w:rPr>
        <w:t xml:space="preserve">教材参考图将 A 点画在 1800 ℃（纵轴上限），实现取铂的真实熔点 1769 ℃。第七节规定参考图优先级最高，故此处属明示例外，需在 6.2 或第七节中记录该例外及理由。</w:t>
      </w:r>
    </w:p>
    <w:p>
      <w:pPr>
        <w:spacing w:after="120" w:line="320"/>
      </w:pPr>
      <w:r>
        <w:rPr>
          <w:rFonts w:ascii="PingFang SC" w:cs="PingFang SC" w:eastAsia="PingFang SC" w:hAnsi="PingFang SC"/>
          <w:color w:val="1F6B3B"/>
          <w:sz w:val="22"/>
          <w:szCs w:val="22"/>
        </w:rPr>
        <w:t xml:space="preserve">处理进度：项目侧已在 docs/data-sources.md 的「与 PRD 的明示偏离」一节中把该项正式登记为「例外一」，依据为 7.1 优先级中的第二级「材料学理论规律」。剩余动作为在封板版 PRD 6.2 中正式载明。</w:t>
      </w:r>
    </w:p>
    <w:p>
      <w:pPr>
        <w:pStyle w:val="Heading1"/>
        <w:spacing w:after="140" w:before="260"/>
      </w:pPr>
      <w:r>
        <w:rPr>
          <w:rFonts w:ascii="PingFang SC" w:cs="PingFang SC" w:eastAsia="PingFang SC" w:hAnsi="PingFang SC"/>
          <w:b/>
          <w:bCs/>
          <w:sz w:val="30"/>
          <w:szCs w:val="30"/>
        </w:rPr>
        <w:t xml:space="preserve">四、C 类：措辞需澄清</w:t>
      </w:r>
    </w:p>
    <w:p>
      <w:pPr>
        <w:pStyle w:val="Heading2"/>
        <w:spacing w:after="140" w:before="260"/>
      </w:pPr>
      <w:r>
        <w:rPr>
          <w:rFonts w:ascii="PingFang SC" w:cs="PingFang SC" w:eastAsia="PingFang SC" w:hAnsi="PingFang SC"/>
          <w:b/>
          <w:bCs/>
          <w:sz w:val="26"/>
          <w:szCs w:val="26"/>
        </w:rPr>
        <w:t xml:space="preserve">C-1　十五、技术实现要求</w:t>
      </w:r>
    </w:p>
    <w:p>
      <w:pPr>
        <w:spacing w:after="120" w:line="320"/>
      </w:pPr>
      <w:r>
        <w:rPr>
          <w:rFonts w:ascii="PingFang SC" w:cs="PingFang SC" w:eastAsia="PingFang SC" w:hAnsi="PingFang SC"/>
          <w:sz w:val="22"/>
          <w:szCs w:val="22"/>
        </w:rPr>
        <w:t xml:space="preserve">PRD 写「技术栈推荐：Vue3 CDN / SVG / JavaScript / CSS」。实际实现为 React 19 + Vite 6 + TypeScript 5.7 + 原生 SVG + CSS，构建为静态站点，基路径 /binary/。</w:t>
      </w:r>
    </w:p>
    <w:p>
      <w:pPr>
        <w:pBdr>
          <w:left w:val="single" w:color="BBBBBB" w:sz="12" w:space="8"/>
        </w:pBdr>
        <w:spacing w:after="120" w:line="320"/>
        <w:ind w:left="360"/>
      </w:pPr>
      <w:r>
        <w:rPr>
          <w:rFonts w:ascii="PingFang SC" w:cs="PingFang SC" w:eastAsia="PingFang SC" w:hAnsi="PingFang SC"/>
          <w:color w:val="444444"/>
          <w:sz w:val="21"/>
          <w:szCs w:val="21"/>
        </w:rPr>
        <w:t xml:space="preserve">说明：第九节的硬性要求是「必须采用 SVG」，该要求已满足；第十五节原文为「推荐」。改用 Vue3 CDN 需重写全部组件、现有 23 项自动化测试作废，且 CDN 方式无构建步骤，与项目所需的 TypeScript 编译、打包和基路径配置冲突。建议按实际技术栈更新表述。</w:t>
      </w:r>
    </w:p>
    <w:p>
      <w:pPr>
        <w:pStyle w:val="Heading2"/>
        <w:spacing w:after="140" w:before="260"/>
      </w:pPr>
      <w:r>
        <w:rPr>
          <w:rFonts w:ascii="PingFang SC" w:cs="PingFang SC" w:eastAsia="PingFang SC" w:hAnsi="PingFang SC"/>
          <w:b/>
          <w:bCs/>
          <w:sz w:val="26"/>
          <w:szCs w:val="26"/>
        </w:rPr>
        <w:t xml:space="preserve">C-2　十六、代码结构要求</w:t>
      </w:r>
    </w:p>
    <w:p>
      <w:pPr>
        <w:spacing w:after="120" w:line="320"/>
      </w:pPr>
      <w:r>
        <w:rPr>
          <w:rFonts w:ascii="PingFang SC" w:cs="PingFang SC" w:eastAsia="PingFang SC" w:hAnsi="PingFang SC"/>
          <w:sz w:val="22"/>
          <w:szCs w:val="22"/>
        </w:rPr>
        <w:t xml:space="preserve">PRD 建议的函数式结构与实际模块划分对应如下，功能全部具备，仅命名与组织方式不同。PRD 原文为「建议结构」，建议按实际更新或注明其为参考性表述。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PRD 建议</w:t>
            </w:r>
          </w:p>
        </w:tc>
        <w:tc>
          <w:tcPr>
            <w:tcW w:type="dxa" w:w="576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实际实现</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phaseDatabase()</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src/data/　四套相图数据与类型定义</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renderPhase()</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src/components/PhaseDiagramSvg.tsx</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calculateLever()</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src/lib/lever.ts　calculatePhaseFractions()</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simulateCooling()</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src/hooks/useCooling.ts</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updateTeaching()</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src/lib/teaching.ts 与 phaseState.ts</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（未列出）</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src/lib/geometry.ts　插值 / 求交 / 相区判定</w:t>
            </w:r>
          </w:p>
        </w:tc>
      </w:tr>
      <w:tr>
        <w:tc>
          <w:tcPr>
            <w:tcW w:type="dxa" w:w="3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（未列出）</w:t>
            </w:r>
          </w:p>
        </w:tc>
        <w:tc>
          <w:tcPr>
            <w:tcW w:type="dxa" w:w="57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src/lib/phaseColors.ts　固定相色与两相混色</w:t>
            </w:r>
          </w:p>
        </w:tc>
      </w:tr>
    </w:tbl>
    <w:p>
      <w:pPr>
        <w:spacing w:after="120" w:line="320"/>
      </w:pPr>
      <w:r>
        <w:rPr>
          <w:rFonts w:ascii="PingFang SC" w:cs="PingFang SC" w:eastAsia="PingFang SC" w:hAnsi="PingFang SC"/>
          <w:sz w:val="22"/>
          <w:szCs w:val="22"/>
        </w:rPr>
        <w:t xml:space="preserve"/>
      </w:r>
    </w:p>
    <w:p>
      <w:pPr>
        <w:pStyle w:val="Heading2"/>
        <w:spacing w:after="140" w:before="260"/>
      </w:pPr>
      <w:r>
        <w:rPr>
          <w:rFonts w:ascii="PingFang SC" w:cs="PingFang SC" w:eastAsia="PingFang SC" w:hAnsi="PingFang SC"/>
          <w:b/>
          <w:bCs/>
          <w:sz w:val="26"/>
          <w:szCs w:val="26"/>
        </w:rPr>
        <w:t xml:space="preserve">C-3　十四、教学解析栏字段</w:t>
      </w:r>
    </w:p>
    <w:p>
      <w:pPr>
        <w:spacing w:after="120" w:line="320"/>
      </w:pPr>
      <w:r>
        <w:rPr>
          <w:rFonts w:ascii="PingFang SC" w:cs="PingFang SC" w:eastAsia="PingFang SC" w:hAnsi="PingFang SC"/>
          <w:sz w:val="22"/>
          <w:szCs w:val="22"/>
        </w:rPr>
        <w:t xml:space="preserve">PRD 列出四项：当前相图、当前成分、当前温度、当前相区。实现为五项，增加「体系类型」，且「当前成分」实际显示为「合金成分」。</w:t>
      </w:r>
    </w:p>
    <w:p>
      <w:pPr>
        <w:pBdr>
          <w:left w:val="single" w:color="BBBBBB" w:sz="12" w:space="8"/>
        </w:pBdr>
        <w:spacing w:after="120" w:line="320"/>
        <w:ind w:left="360"/>
      </w:pPr>
      <w:r>
        <w:rPr>
          <w:rFonts w:ascii="PingFang SC" w:cs="PingFang SC" w:eastAsia="PingFang SC" w:hAnsi="PingFang SC"/>
          <w:color w:val="444444"/>
          <w:sz w:val="21"/>
          <w:szCs w:val="21"/>
        </w:rPr>
        <w:t xml:space="preserve">说明：「必须实时显示」应理解为下限而非上限，增加字段不构成违规。建议在封板版中补入「体系类型」并统一字段名称。</w:t>
      </w:r>
    </w:p>
    <w:p>
      <w:pPr>
        <w:pStyle w:val="Heading2"/>
        <w:spacing w:after="140" w:before="260"/>
      </w:pPr>
      <w:r>
        <w:rPr>
          <w:rFonts w:ascii="PingFang SC" w:cs="PingFang SC" w:eastAsia="PingFang SC" w:hAnsi="PingFang SC"/>
          <w:b/>
          <w:bCs/>
          <w:sz w:val="26"/>
          <w:szCs w:val="26"/>
        </w:rPr>
        <w:t xml:space="preserve">C-4　8.2「花哨渐变」的判定口径</w:t>
      </w:r>
    </w:p>
    <w:p>
      <w:pPr>
        <w:spacing w:after="120" w:line="320"/>
      </w:pPr>
      <w:r>
        <w:rPr>
          <w:rFonts w:ascii="PingFang SC" w:cs="PingFang SC" w:eastAsia="PingFang SC" w:hAnsi="PingFang SC"/>
          <w:sz w:val="22"/>
          <w:szCs w:val="22"/>
        </w:rPr>
        <w:t xml:space="preserve">8.2 列出的禁止项包含「花哨渐变」。现状为与晶体结构实验室一致的低对比度背景光晕与面板质感渐变，并非高饱和多色渐变。</w:t>
      </w:r>
    </w:p>
    <w:p>
      <w:pPr>
        <w:pBdr>
          <w:left w:val="single" w:color="BBBBBB" w:sz="12" w:space="8"/>
        </w:pBdr>
        <w:spacing w:after="120" w:line="320"/>
        <w:ind w:left="360"/>
      </w:pPr>
      <w:r>
        <w:rPr>
          <w:rFonts w:ascii="PingFang SC" w:cs="PingFang SC" w:eastAsia="PingFang SC" w:hAnsi="PingFang SC"/>
          <w:color w:val="444444"/>
          <w:sz w:val="21"/>
          <w:szCs w:val="21"/>
        </w:rPr>
        <w:t xml:space="preserve">建议将措辞明确为：禁止高饱和、多色、喧宾夺主的渐变；允许与晶体结构实验室一致的低对比度背景与面板质感渐变。</w:t>
      </w:r>
    </w:p>
    <w:p>
      <w:pPr>
        <w:pStyle w:val="Heading1"/>
        <w:spacing w:after="140" w:before="260"/>
      </w:pPr>
      <w:r>
        <w:rPr>
          <w:rFonts w:ascii="PingFang SC" w:cs="PingFang SC" w:eastAsia="PingFang SC" w:hAnsi="PingFang SC"/>
          <w:b/>
          <w:bCs/>
          <w:sz w:val="30"/>
          <w:szCs w:val="30"/>
        </w:rPr>
        <w:t xml:space="preserve">五、D 类：待产品方决策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序</w:t>
            </w:r>
          </w:p>
        </w:tc>
        <w:tc>
          <w:tcPr>
            <w:tcW w:type="dxa" w:w="320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存疑项</w:t>
            </w:r>
          </w:p>
        </w:tc>
        <w:tc>
          <w:tcPr>
            <w:tcW w:type="dxa" w:w="5560"/>
            <w:shd w:fill="E8EEF7" w:val="clear"/>
            <w:tcMar>
              <w:top w:type="dxa" w:w="80"/>
              <w:left w:type="dxa" w:w="120"/>
              <w:bottom w:type="dxa" w:w="80"/>
              <w:right w:type="dxa" w:w="120"/>
            </w:tcMar>
          </w:tcPr>
          <w:p>
            <w:pPr>
              <w:spacing w:after="0" w:line="280"/>
            </w:pPr>
            <w:r>
              <w:rPr>
                <w:rFonts w:ascii="PingFang SC" w:cs="PingFang SC" w:eastAsia="PingFang SC" w:hAnsi="PingFang SC"/>
                <w:b/>
                <w:bCs/>
                <w:sz w:val="20"/>
                <w:szCs w:val="20"/>
              </w:rPr>
              <w:t xml:space="preserve">两种取法</w:t>
            </w:r>
          </w:p>
        </w:tc>
      </w:tr>
      <w:tr>
        <w:tc>
          <w:tcPr>
            <w:tcW w:type="dxa" w:w="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D-1</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Fe–C 相区标注命名</w:t>
            </w:r>
          </w:p>
        </w:tc>
        <w:tc>
          <w:tcPr>
            <w:tcW w:type="dxa" w:w="55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已取「沿用教材参考图的 δ / γ / α」，依据第七节最高优先级，并登记为例外二。待产品方在封板版 PRD 6.4 中确认并同步措辞。</w:t>
            </w:r>
          </w:p>
        </w:tc>
      </w:tr>
      <w:tr>
        <w:tc>
          <w:tcPr>
            <w:tcW w:type="dxa" w:w="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D-2</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Pt–Ag 的 A 点取值</w:t>
            </w:r>
          </w:p>
        </w:tc>
        <w:tc>
          <w:tcPr>
            <w:tcW w:type="dxa" w:w="55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已取「铂的真实熔点 1769 ℃」，依据 7.1 优先级第二级，并登记为例外一。待产品方在封板版 PRD 6.2 中确认并正式载明。</w:t>
            </w:r>
          </w:p>
        </w:tc>
      </w:tr>
      <w:tr>
        <w:tc>
          <w:tcPr>
            <w:tcW w:type="dxa" w:w="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D-3</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十八、「标签不遮挡边界」的判定口径</w:t>
            </w:r>
          </w:p>
        </w:tc>
        <w:tc>
          <w:tcPr>
            <w:tcW w:type="dxa" w:w="55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关键点标注天然贴近其所标注的相界。建议明确为：相区标签不得被相界穿过；关键点标注允许贴近但不得压住相界。</w:t>
            </w:r>
          </w:p>
        </w:tc>
      </w:tr>
      <w:tr>
        <w:tc>
          <w:tcPr>
            <w:tcW w:type="dxa" w:w="6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D-4</w:t>
            </w:r>
          </w:p>
        </w:tc>
        <w:tc>
          <w:tcPr>
            <w:tcW w:type="dxa" w:w="320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是否需要手动「暂停 / 继续」</w:t>
            </w:r>
          </w:p>
        </w:tc>
        <w:tc>
          <w:tcPr>
            <w:tcW w:type="dxa" w:w="5560"/>
            <w:tcMar>
              <w:top w:type="dxa" w:w="80"/>
              <w:left w:type="dxa" w:w="120"/>
              <w:bottom w:type="dxa" w:w="80"/>
              <w:right w:type="dxa" w:w="120"/>
            </w:tcMar>
          </w:tcPr>
          <w:p>
            <w:pPr>
              <w:spacing w:after="0" w:line="280"/>
            </w:pPr>
            <w:r>
              <w:rPr>
                <w:rFonts w:ascii="PingFang SC" w:cs="PingFang SC" w:eastAsia="PingFang SC" w:hAnsi="PingFang SC"/>
                <w:sz w:val="20"/>
                <w:szCs w:val="20"/>
              </w:rPr>
              <w:t xml:space="preserve">PRD 13.1 只规定一个「▶ 自动凝固」按钮，13.2 的暂停与继续均指系统自动行为。现实现按 PRD 只保留自动凝固。若课堂需要教师中途停下讲解，属超出 PRD 的增补项。</w:t>
            </w:r>
          </w:p>
        </w:tc>
      </w:tr>
    </w:tbl>
    <w:p>
      <w:pPr>
        <w:spacing w:after="120" w:line="320"/>
      </w:pPr>
      <w:r>
        <w:rPr>
          <w:rFonts w:ascii="PingFang SC" w:cs="PingFang SC" w:eastAsia="PingFang SC" w:hAnsi="PingFang SC"/>
          <w:sz w:val="22"/>
          <w:szCs w:val="22"/>
        </w:rPr>
        <w:t xml:space="preserve"/>
      </w:r>
    </w:p>
    <w:p>
      <w:pPr>
        <w:pStyle w:val="Heading1"/>
        <w:spacing w:after="140" w:before="260"/>
      </w:pPr>
      <w:r>
        <w:rPr>
          <w:rFonts w:ascii="PingFang SC" w:cs="PingFang SC" w:eastAsia="PingFang SC" w:hAnsi="PingFang SC"/>
          <w:b/>
          <w:bCs/>
          <w:sz w:val="30"/>
          <w:szCs w:val="30"/>
        </w:rPr>
        <w:t xml:space="preserve">六、附录：核对依据</w:t>
      </w:r>
    </w:p>
    <w:p>
      <w:pPr>
        <w:spacing w:after="120" w:line="320"/>
      </w:pPr>
      <w:r>
        <w:rPr>
          <w:rFonts w:ascii="PingFang SC" w:cs="PingFang SC" w:eastAsia="PingFang SC" w:hAnsi="PingFang SC"/>
          <w:sz w:val="22"/>
          <w:szCs w:val="22"/>
        </w:rPr>
        <w:t xml:space="preserve">本清单结论均由实测得到，主要数据如下。</w:t>
      </w:r>
    </w:p>
    <w:p>
      <w:pPr>
        <w:pStyle w:val="Heading3"/>
        <w:spacing w:after="140" w:before="260"/>
      </w:pPr>
      <w:r>
        <w:rPr>
          <w:rFonts w:ascii="PingFang SC" w:cs="PingFang SC" w:eastAsia="PingFang SC" w:hAnsi="PingFang SC"/>
          <w:b/>
          <w:bCs/>
          <w:sz w:val="24"/>
          <w:szCs w:val="24"/>
        </w:rPr>
        <w:t xml:space="preserve">附-1　自动凝固的反应触发（模拟完整降温循环）</w:t>
      </w:r>
    </w:p>
    <w:p>
      <w:pPr>
        <w:shd w:fill="F4F5F7" w:val="clear"/>
        <w:spacing w:after="80" w:line="300"/>
      </w:pPr>
      <w:r>
        <w:rPr>
          <w:rFonts w:ascii="Menlo" w:cs="Menlo" w:eastAsia="Menlo" w:hAnsi="Menlo"/>
          <w:sz w:val="19"/>
          <w:szCs w:val="19"/>
        </w:rPr>
        <w:t xml:space="preserve">pb-sn   5%  → 无反应        pt-ag  90%  → 无反应      cu-ni 40% → 无反应</w:t>
      </w:r>
    </w:p>
    <w:p>
      <w:pPr>
        <w:shd w:fill="F4F5F7" w:val="clear"/>
        <w:spacing w:after="80" w:line="300"/>
      </w:pPr>
      <w:r>
        <w:rPr>
          <w:rFonts w:ascii="Menlo" w:cs="Menlo" w:eastAsia="Menlo" w:hAnsi="Menlo"/>
          <w:sz w:val="19"/>
          <w:szCs w:val="19"/>
        </w:rPr>
        <w:t xml:space="preserve">pb-sn  40% / 61.9% / 95% → 共晶       pt-ag  52% → 包晶</w:t>
      </w:r>
    </w:p>
    <w:p>
      <w:pPr>
        <w:shd w:fill="F4F5F7" w:val="clear"/>
        <w:spacing w:after="80" w:line="300"/>
      </w:pPr>
      <w:r>
        <w:rPr>
          <w:rFonts w:ascii="Menlo" w:cs="Menlo" w:eastAsia="Menlo" w:hAnsi="Menlo"/>
          <w:sz w:val="19"/>
          <w:szCs w:val="19"/>
        </w:rPr>
        <w:t xml:space="preserve">fe-c 0.17% / 0.4% → 包晶 + 共析        fe-c 3% / 5.5% → 共晶 + 共析</w:t>
      </w:r>
    </w:p>
    <w:p>
      <w:pPr>
        <w:pStyle w:val="Heading3"/>
        <w:spacing w:after="140" w:before="260"/>
      </w:pPr>
      <w:r>
        <w:rPr>
          <w:rFonts w:ascii="PingFang SC" w:cs="PingFang SC" w:eastAsia="PingFang SC" w:hAnsi="PingFang SC"/>
          <w:b/>
          <w:bCs/>
          <w:sz w:val="24"/>
          <w:szCs w:val="24"/>
        </w:rPr>
        <w:t xml:space="preserve">附-2　十八、视觉验收「标签不遮挡边界」</w:t>
      </w:r>
    </w:p>
    <w:p>
      <w:pPr>
        <w:spacing w:after="120" w:line="320"/>
      </w:pPr>
      <w:r>
        <w:rPr>
          <w:rFonts w:ascii="PingFang SC" w:cs="PingFang SC" w:eastAsia="PingFang SC" w:hAnsi="PingFang SC"/>
          <w:sz w:val="22"/>
          <w:szCs w:val="22"/>
        </w:rPr>
        <w:t xml:space="preserve">沿相界路径采样 400 点，落入文字包围盒即判定为遮挡。核对时四套相图共 11 处不达标（其中 6 处为相区标签被相界穿过），修复后四套相图均为 0 处遮挡、0 处标签互压。</w:t>
      </w:r>
    </w:p>
    <w:p>
      <w:pPr>
        <w:pStyle w:val="Heading3"/>
        <w:spacing w:after="140" w:before="260"/>
      </w:pPr>
      <w:r>
        <w:rPr>
          <w:rFonts w:ascii="PingFang SC" w:cs="PingFang SC" w:eastAsia="PingFang SC" w:hAnsi="PingFang SC"/>
          <w:b/>
          <w:bCs/>
          <w:sz w:val="24"/>
          <w:szCs w:val="24"/>
        </w:rPr>
        <w:t xml:space="preserve">附-3　相界形态</w:t>
      </w:r>
    </w:p>
    <w:p>
      <w:pPr>
        <w:spacing w:after="120" w:line="320"/>
      </w:pPr>
      <w:r>
        <w:rPr>
          <w:rFonts w:ascii="PingFang SC" w:cs="PingFang SC" w:eastAsia="PingFang SC" w:hAnsi="PingFang SC"/>
          <w:sz w:val="22"/>
          <w:szCs w:val="22"/>
        </w:rPr>
        <w:t xml:space="preserve">四套相图各取 400 个采样点核对，未出现固相线高于液相线的情形；液相线均为上凸，符合第 10.2 条。</w:t>
      </w:r>
    </w:p>
    <w:p>
      <w:pPr>
        <w:pStyle w:val="Heading3"/>
        <w:spacing w:after="140" w:before="260"/>
      </w:pPr>
      <w:r>
        <w:rPr>
          <w:rFonts w:ascii="PingFang SC" w:cs="PingFang SC" w:eastAsia="PingFang SC" w:hAnsi="PingFang SC"/>
          <w:b/>
          <w:bCs/>
          <w:sz w:val="24"/>
          <w:szCs w:val="24"/>
        </w:rPr>
        <w:t xml:space="preserve">附-4　关键参数与反应方向</w:t>
      </w:r>
    </w:p>
    <w:p>
      <w:pPr>
        <w:spacing w:after="120" w:line="320"/>
      </w:pPr>
      <w:r>
        <w:rPr>
          <w:rFonts w:ascii="PingFang SC" w:cs="PingFang SC" w:eastAsia="PingFang SC" w:hAnsi="PingFang SC"/>
          <w:sz w:val="22"/>
          <w:szCs w:val="22"/>
        </w:rPr>
        <w:t xml:space="preserve">Pb–Sn 共晶 183 ℃ / 61.9%，Pt–Ag 包晶 1186 ℃（α 10.5%、β 42.4%、L 66.3%），Fe–C 包晶 1495 ℃、共晶 1148 ℃、共析 727 ℃，反应方向与 PRD 第六节、第十七节完全一致，并有单元测试锁定。</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2026-08-18T06:09:43.985Z</dcterms:created>
  <dcterms:modified xsi:type="dcterms:W3CDTF">2026-08-18T06:09:43.985Z</dcterms:modified>
</cp:coreProperties>
</file>

<file path=docProps/custom.xml><?xml version="1.0" encoding="utf-8"?>
<Properties xmlns="http://schemas.openxmlformats.org/officeDocument/2006/custom-properties" xmlns:vt="http://schemas.openxmlformats.org/officeDocument/2006/docPropsVTypes"/>
</file>