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0EF97" w14:textId="341D3BB8" w:rsidR="00C10C3F" w:rsidRDefault="00934E8A" w:rsidP="006D67D2">
      <w:pPr>
        <w:pStyle w:val="Title"/>
      </w:pPr>
      <w:r>
        <w:t>Milestone Report Draft</w:t>
      </w:r>
    </w:p>
    <w:p w14:paraId="0862325B" w14:textId="6F684AB9" w:rsidR="006D67D2" w:rsidRDefault="00934E8A" w:rsidP="006D67D2">
      <w:pPr>
        <w:pStyle w:val="Author"/>
      </w:pPr>
      <w:r>
        <w:t>…</w:t>
      </w:r>
    </w:p>
    <w:p w14:paraId="41292A0D" w14:textId="77777777" w:rsidR="006D67D2" w:rsidRDefault="006D67D2" w:rsidP="006D67D2">
      <w:pPr>
        <w:pStyle w:val="Author"/>
        <w:sectPr w:rsidR="006D67D2" w:rsidSect="00084E14">
          <w:footerReference w:type="even" r:id="rId8"/>
          <w:footerReference w:type="default" r:id="rId9"/>
          <w:pgSz w:w="11900" w:h="16840"/>
          <w:pgMar w:top="1132" w:right="1440" w:bottom="1243" w:left="1440" w:header="567" w:footer="708" w:gutter="0"/>
          <w:cols w:space="708"/>
          <w:docGrid w:linePitch="360"/>
        </w:sectPr>
      </w:pPr>
    </w:p>
    <w:sdt>
      <w:sdtPr>
        <w:id w:val="-387957112"/>
        <w:docPartObj>
          <w:docPartGallery w:val="Table of Contents"/>
          <w:docPartUnique/>
        </w:docPartObj>
      </w:sdtPr>
      <w:sdtEndPr>
        <w:rPr>
          <w:b/>
          <w:bCs/>
          <w:noProof/>
        </w:rPr>
      </w:sdtEndPr>
      <w:sdtContent>
        <w:p w14:paraId="674E7165" w14:textId="56C55329" w:rsidR="00C61E3C" w:rsidRPr="00C61E3C" w:rsidRDefault="00EE4149" w:rsidP="00C61E3C">
          <w:pPr>
            <w:jc w:val="center"/>
            <w:rPr>
              <w:rStyle w:val="Heading1Char"/>
            </w:rPr>
          </w:pPr>
          <w:r>
            <w:rPr>
              <w:rStyle w:val="Heading1Char"/>
            </w:rPr>
            <w:t>TABLE OF CONTENTS</w:t>
          </w:r>
        </w:p>
        <w:p w14:paraId="29549EB1" w14:textId="00E8762A" w:rsidR="00D71A58" w:rsidRDefault="00C61E3C">
          <w:pPr>
            <w:pStyle w:val="TOC1"/>
            <w:tabs>
              <w:tab w:val="right" w:leader="dot" w:pos="9934"/>
            </w:tabs>
            <w:rPr>
              <w:rFonts w:asciiTheme="minorHAnsi" w:hAnsiTheme="minorHAnsi" w:cstheme="minorBidi"/>
              <w:bCs w:val="0"/>
              <w:iCs w:val="0"/>
              <w:noProof/>
              <w:spacing w:val="0"/>
              <w:sz w:val="24"/>
              <w:lang w:val="en-SG"/>
            </w:rPr>
          </w:pPr>
          <w:r>
            <w:rPr>
              <w:bCs w:val="0"/>
            </w:rPr>
            <w:fldChar w:fldCharType="begin"/>
          </w:r>
          <w:r>
            <w:instrText xml:space="preserve"> TOC \o "1-3" \h \z \u </w:instrText>
          </w:r>
          <w:r>
            <w:rPr>
              <w:bCs w:val="0"/>
            </w:rPr>
            <w:fldChar w:fldCharType="separate"/>
          </w:r>
          <w:hyperlink w:anchor="_Toc93440478" w:history="1">
            <w:r w:rsidR="00D71A58" w:rsidRPr="00266A8F">
              <w:rPr>
                <w:rStyle w:val="Hyperlink"/>
                <w:noProof/>
              </w:rPr>
              <w:t>1. Identify Influential Variables / Factors</w:t>
            </w:r>
            <w:r w:rsidR="00D71A58">
              <w:rPr>
                <w:noProof/>
                <w:webHidden/>
              </w:rPr>
              <w:tab/>
            </w:r>
            <w:r w:rsidR="00D71A58">
              <w:rPr>
                <w:noProof/>
                <w:webHidden/>
              </w:rPr>
              <w:fldChar w:fldCharType="begin"/>
            </w:r>
            <w:r w:rsidR="00D71A58">
              <w:rPr>
                <w:noProof/>
                <w:webHidden/>
              </w:rPr>
              <w:instrText xml:space="preserve"> PAGEREF _Toc93440478 \h </w:instrText>
            </w:r>
            <w:r w:rsidR="00D71A58">
              <w:rPr>
                <w:noProof/>
                <w:webHidden/>
              </w:rPr>
            </w:r>
            <w:r w:rsidR="00D71A58">
              <w:rPr>
                <w:noProof/>
                <w:webHidden/>
              </w:rPr>
              <w:fldChar w:fldCharType="separate"/>
            </w:r>
            <w:r w:rsidR="00D71A58">
              <w:rPr>
                <w:noProof/>
                <w:webHidden/>
              </w:rPr>
              <w:t>1</w:t>
            </w:r>
            <w:r w:rsidR="00D71A58">
              <w:rPr>
                <w:noProof/>
                <w:webHidden/>
              </w:rPr>
              <w:fldChar w:fldCharType="end"/>
            </w:r>
          </w:hyperlink>
        </w:p>
        <w:p w14:paraId="2E58C578" w14:textId="327E74DC" w:rsidR="00D71A58" w:rsidRDefault="00D71A58">
          <w:pPr>
            <w:pStyle w:val="TOC2"/>
            <w:tabs>
              <w:tab w:val="right" w:leader="dot" w:pos="9934"/>
            </w:tabs>
            <w:rPr>
              <w:rFonts w:asciiTheme="minorHAnsi" w:hAnsiTheme="minorHAnsi" w:cstheme="minorBidi"/>
              <w:bCs w:val="0"/>
              <w:noProof/>
              <w:spacing w:val="0"/>
              <w:sz w:val="24"/>
              <w:szCs w:val="24"/>
              <w:lang w:val="en-SG"/>
            </w:rPr>
          </w:pPr>
          <w:hyperlink w:anchor="_Toc93440479" w:history="1">
            <w:r w:rsidRPr="00266A8F">
              <w:rPr>
                <w:rStyle w:val="Hyperlink"/>
                <w:noProof/>
              </w:rPr>
              <w:t>1.1. Price Movement &amp; Volume as a Result of the Event</w:t>
            </w:r>
            <w:r>
              <w:rPr>
                <w:noProof/>
                <w:webHidden/>
              </w:rPr>
              <w:tab/>
            </w:r>
            <w:r>
              <w:rPr>
                <w:noProof/>
                <w:webHidden/>
              </w:rPr>
              <w:fldChar w:fldCharType="begin"/>
            </w:r>
            <w:r>
              <w:rPr>
                <w:noProof/>
                <w:webHidden/>
              </w:rPr>
              <w:instrText xml:space="preserve"> PAGEREF _Toc93440479 \h </w:instrText>
            </w:r>
            <w:r>
              <w:rPr>
                <w:noProof/>
                <w:webHidden/>
              </w:rPr>
            </w:r>
            <w:r>
              <w:rPr>
                <w:noProof/>
                <w:webHidden/>
              </w:rPr>
              <w:fldChar w:fldCharType="separate"/>
            </w:r>
            <w:r>
              <w:rPr>
                <w:noProof/>
                <w:webHidden/>
              </w:rPr>
              <w:t>1</w:t>
            </w:r>
            <w:r>
              <w:rPr>
                <w:noProof/>
                <w:webHidden/>
              </w:rPr>
              <w:fldChar w:fldCharType="end"/>
            </w:r>
          </w:hyperlink>
        </w:p>
        <w:p w14:paraId="1E9C45EB" w14:textId="4FB70135" w:rsidR="00D71A58" w:rsidRDefault="00D71A58">
          <w:pPr>
            <w:pStyle w:val="TOC2"/>
            <w:tabs>
              <w:tab w:val="right" w:leader="dot" w:pos="9934"/>
            </w:tabs>
            <w:rPr>
              <w:rFonts w:asciiTheme="minorHAnsi" w:hAnsiTheme="minorHAnsi" w:cstheme="minorBidi"/>
              <w:bCs w:val="0"/>
              <w:noProof/>
              <w:spacing w:val="0"/>
              <w:sz w:val="24"/>
              <w:szCs w:val="24"/>
              <w:lang w:val="en-SG"/>
            </w:rPr>
          </w:pPr>
          <w:hyperlink w:anchor="_Toc93440480" w:history="1">
            <w:r w:rsidRPr="00266A8F">
              <w:rPr>
                <w:rStyle w:val="Hyperlink"/>
                <w:noProof/>
              </w:rPr>
              <w:t>1.2. Implied Volatility Change As a Result of The Event</w:t>
            </w:r>
            <w:r>
              <w:rPr>
                <w:noProof/>
                <w:webHidden/>
              </w:rPr>
              <w:tab/>
            </w:r>
            <w:r>
              <w:rPr>
                <w:noProof/>
                <w:webHidden/>
              </w:rPr>
              <w:fldChar w:fldCharType="begin"/>
            </w:r>
            <w:r>
              <w:rPr>
                <w:noProof/>
                <w:webHidden/>
              </w:rPr>
              <w:instrText xml:space="preserve"> PAGEREF _Toc93440480 \h </w:instrText>
            </w:r>
            <w:r>
              <w:rPr>
                <w:noProof/>
                <w:webHidden/>
              </w:rPr>
            </w:r>
            <w:r>
              <w:rPr>
                <w:noProof/>
                <w:webHidden/>
              </w:rPr>
              <w:fldChar w:fldCharType="separate"/>
            </w:r>
            <w:r>
              <w:rPr>
                <w:noProof/>
                <w:webHidden/>
              </w:rPr>
              <w:t>2</w:t>
            </w:r>
            <w:r>
              <w:rPr>
                <w:noProof/>
                <w:webHidden/>
              </w:rPr>
              <w:fldChar w:fldCharType="end"/>
            </w:r>
          </w:hyperlink>
        </w:p>
        <w:p w14:paraId="6C32FA1F" w14:textId="2A638B2C" w:rsidR="00D71A58" w:rsidRDefault="00D71A58">
          <w:pPr>
            <w:pStyle w:val="TOC2"/>
            <w:tabs>
              <w:tab w:val="right" w:leader="dot" w:pos="9934"/>
            </w:tabs>
            <w:rPr>
              <w:rFonts w:asciiTheme="minorHAnsi" w:hAnsiTheme="minorHAnsi" w:cstheme="minorBidi"/>
              <w:bCs w:val="0"/>
              <w:noProof/>
              <w:spacing w:val="0"/>
              <w:sz w:val="24"/>
              <w:szCs w:val="24"/>
              <w:lang w:val="en-SG"/>
            </w:rPr>
          </w:pPr>
          <w:hyperlink w:anchor="_Toc93440481" w:history="1">
            <w:r w:rsidRPr="00266A8F">
              <w:rPr>
                <w:rStyle w:val="Hyperlink"/>
                <w:noProof/>
              </w:rPr>
              <w:t>1.3. Limitation &amp; Challenges</w:t>
            </w:r>
            <w:r>
              <w:rPr>
                <w:noProof/>
                <w:webHidden/>
              </w:rPr>
              <w:tab/>
            </w:r>
            <w:r>
              <w:rPr>
                <w:noProof/>
                <w:webHidden/>
              </w:rPr>
              <w:fldChar w:fldCharType="begin"/>
            </w:r>
            <w:r>
              <w:rPr>
                <w:noProof/>
                <w:webHidden/>
              </w:rPr>
              <w:instrText xml:space="preserve"> PAGEREF _Toc93440481 \h </w:instrText>
            </w:r>
            <w:r>
              <w:rPr>
                <w:noProof/>
                <w:webHidden/>
              </w:rPr>
            </w:r>
            <w:r>
              <w:rPr>
                <w:noProof/>
                <w:webHidden/>
              </w:rPr>
              <w:fldChar w:fldCharType="separate"/>
            </w:r>
            <w:r>
              <w:rPr>
                <w:noProof/>
                <w:webHidden/>
              </w:rPr>
              <w:t>2</w:t>
            </w:r>
            <w:r>
              <w:rPr>
                <w:noProof/>
                <w:webHidden/>
              </w:rPr>
              <w:fldChar w:fldCharType="end"/>
            </w:r>
          </w:hyperlink>
        </w:p>
        <w:p w14:paraId="7AB2687A" w14:textId="3DF88A6B" w:rsidR="00D71A58" w:rsidRDefault="00D71A58">
          <w:pPr>
            <w:pStyle w:val="TOC1"/>
            <w:tabs>
              <w:tab w:val="right" w:leader="dot" w:pos="9934"/>
            </w:tabs>
            <w:rPr>
              <w:rFonts w:asciiTheme="minorHAnsi" w:hAnsiTheme="minorHAnsi" w:cstheme="minorBidi"/>
              <w:bCs w:val="0"/>
              <w:iCs w:val="0"/>
              <w:noProof/>
              <w:spacing w:val="0"/>
              <w:sz w:val="24"/>
              <w:lang w:val="en-SG"/>
            </w:rPr>
          </w:pPr>
          <w:hyperlink w:anchor="_Toc93440482" w:history="1">
            <w:r w:rsidRPr="00266A8F">
              <w:rPr>
                <w:rStyle w:val="Hyperlink"/>
                <w:noProof/>
              </w:rPr>
              <w:t>2. Analyse the Effect of Influential Variables Over Time</w:t>
            </w:r>
            <w:r>
              <w:rPr>
                <w:noProof/>
                <w:webHidden/>
              </w:rPr>
              <w:tab/>
            </w:r>
            <w:r>
              <w:rPr>
                <w:noProof/>
                <w:webHidden/>
              </w:rPr>
              <w:fldChar w:fldCharType="begin"/>
            </w:r>
            <w:r>
              <w:rPr>
                <w:noProof/>
                <w:webHidden/>
              </w:rPr>
              <w:instrText xml:space="preserve"> PAGEREF _Toc93440482 \h </w:instrText>
            </w:r>
            <w:r>
              <w:rPr>
                <w:noProof/>
                <w:webHidden/>
              </w:rPr>
            </w:r>
            <w:r>
              <w:rPr>
                <w:noProof/>
                <w:webHidden/>
              </w:rPr>
              <w:fldChar w:fldCharType="separate"/>
            </w:r>
            <w:r>
              <w:rPr>
                <w:noProof/>
                <w:webHidden/>
              </w:rPr>
              <w:t>2</w:t>
            </w:r>
            <w:r>
              <w:rPr>
                <w:noProof/>
                <w:webHidden/>
              </w:rPr>
              <w:fldChar w:fldCharType="end"/>
            </w:r>
          </w:hyperlink>
        </w:p>
        <w:p w14:paraId="295EFBD8" w14:textId="136A6BE8" w:rsidR="00D71A58" w:rsidRDefault="00D71A58">
          <w:pPr>
            <w:pStyle w:val="TOC2"/>
            <w:tabs>
              <w:tab w:val="right" w:leader="dot" w:pos="9934"/>
            </w:tabs>
            <w:rPr>
              <w:rFonts w:asciiTheme="minorHAnsi" w:hAnsiTheme="minorHAnsi" w:cstheme="minorBidi"/>
              <w:bCs w:val="0"/>
              <w:noProof/>
              <w:spacing w:val="0"/>
              <w:sz w:val="24"/>
              <w:szCs w:val="24"/>
              <w:lang w:val="en-SG"/>
            </w:rPr>
          </w:pPr>
          <w:hyperlink w:anchor="_Toc93440483" w:history="1">
            <w:r w:rsidRPr="00266A8F">
              <w:rPr>
                <w:rStyle w:val="Hyperlink"/>
                <w:noProof/>
              </w:rPr>
              <w:t>2.1. Variable’s Effect Over time</w:t>
            </w:r>
            <w:r>
              <w:rPr>
                <w:noProof/>
                <w:webHidden/>
              </w:rPr>
              <w:tab/>
            </w:r>
            <w:r>
              <w:rPr>
                <w:noProof/>
                <w:webHidden/>
              </w:rPr>
              <w:fldChar w:fldCharType="begin"/>
            </w:r>
            <w:r>
              <w:rPr>
                <w:noProof/>
                <w:webHidden/>
              </w:rPr>
              <w:instrText xml:space="preserve"> PAGEREF _Toc93440483 \h </w:instrText>
            </w:r>
            <w:r>
              <w:rPr>
                <w:noProof/>
                <w:webHidden/>
              </w:rPr>
            </w:r>
            <w:r>
              <w:rPr>
                <w:noProof/>
                <w:webHidden/>
              </w:rPr>
              <w:fldChar w:fldCharType="separate"/>
            </w:r>
            <w:r>
              <w:rPr>
                <w:noProof/>
                <w:webHidden/>
              </w:rPr>
              <w:t>2</w:t>
            </w:r>
            <w:r>
              <w:rPr>
                <w:noProof/>
                <w:webHidden/>
              </w:rPr>
              <w:fldChar w:fldCharType="end"/>
            </w:r>
          </w:hyperlink>
        </w:p>
        <w:p w14:paraId="3BF05A1F" w14:textId="6EF8BB21" w:rsidR="00D71A58" w:rsidRDefault="00D71A58">
          <w:pPr>
            <w:pStyle w:val="TOC2"/>
            <w:tabs>
              <w:tab w:val="right" w:leader="dot" w:pos="9934"/>
            </w:tabs>
            <w:rPr>
              <w:rFonts w:asciiTheme="minorHAnsi" w:hAnsiTheme="minorHAnsi" w:cstheme="minorBidi"/>
              <w:bCs w:val="0"/>
              <w:noProof/>
              <w:spacing w:val="0"/>
              <w:sz w:val="24"/>
              <w:szCs w:val="24"/>
              <w:lang w:val="en-SG"/>
            </w:rPr>
          </w:pPr>
          <w:hyperlink w:anchor="_Toc93440484" w:history="1">
            <w:r w:rsidRPr="00266A8F">
              <w:rPr>
                <w:rStyle w:val="Hyperlink"/>
                <w:noProof/>
              </w:rPr>
              <w:t>2.2. Limitation &amp; Challenges</w:t>
            </w:r>
            <w:r>
              <w:rPr>
                <w:noProof/>
                <w:webHidden/>
              </w:rPr>
              <w:tab/>
            </w:r>
            <w:r>
              <w:rPr>
                <w:noProof/>
                <w:webHidden/>
              </w:rPr>
              <w:fldChar w:fldCharType="begin"/>
            </w:r>
            <w:r>
              <w:rPr>
                <w:noProof/>
                <w:webHidden/>
              </w:rPr>
              <w:instrText xml:space="preserve"> PAGEREF _Toc93440484 \h </w:instrText>
            </w:r>
            <w:r>
              <w:rPr>
                <w:noProof/>
                <w:webHidden/>
              </w:rPr>
            </w:r>
            <w:r>
              <w:rPr>
                <w:noProof/>
                <w:webHidden/>
              </w:rPr>
              <w:fldChar w:fldCharType="separate"/>
            </w:r>
            <w:r>
              <w:rPr>
                <w:noProof/>
                <w:webHidden/>
              </w:rPr>
              <w:t>2</w:t>
            </w:r>
            <w:r>
              <w:rPr>
                <w:noProof/>
                <w:webHidden/>
              </w:rPr>
              <w:fldChar w:fldCharType="end"/>
            </w:r>
          </w:hyperlink>
        </w:p>
        <w:p w14:paraId="0EBE2A23" w14:textId="28B2186C" w:rsidR="00D71A58" w:rsidRDefault="00D71A58">
          <w:pPr>
            <w:pStyle w:val="TOC1"/>
            <w:tabs>
              <w:tab w:val="right" w:leader="dot" w:pos="9934"/>
            </w:tabs>
            <w:rPr>
              <w:rFonts w:asciiTheme="minorHAnsi" w:hAnsiTheme="minorHAnsi" w:cstheme="minorBidi"/>
              <w:bCs w:val="0"/>
              <w:iCs w:val="0"/>
              <w:noProof/>
              <w:spacing w:val="0"/>
              <w:sz w:val="24"/>
              <w:lang w:val="en-SG"/>
            </w:rPr>
          </w:pPr>
          <w:hyperlink w:anchor="_Toc93440485" w:history="1">
            <w:r w:rsidRPr="00266A8F">
              <w:rPr>
                <w:rStyle w:val="Hyperlink"/>
                <w:noProof/>
              </w:rPr>
              <w:t>3. Summary &amp; Moving Forward</w:t>
            </w:r>
            <w:r>
              <w:rPr>
                <w:noProof/>
                <w:webHidden/>
              </w:rPr>
              <w:tab/>
            </w:r>
            <w:r>
              <w:rPr>
                <w:noProof/>
                <w:webHidden/>
              </w:rPr>
              <w:fldChar w:fldCharType="begin"/>
            </w:r>
            <w:r>
              <w:rPr>
                <w:noProof/>
                <w:webHidden/>
              </w:rPr>
              <w:instrText xml:space="preserve"> PAGEREF _Toc93440485 \h </w:instrText>
            </w:r>
            <w:r>
              <w:rPr>
                <w:noProof/>
                <w:webHidden/>
              </w:rPr>
            </w:r>
            <w:r>
              <w:rPr>
                <w:noProof/>
                <w:webHidden/>
              </w:rPr>
              <w:fldChar w:fldCharType="separate"/>
            </w:r>
            <w:r>
              <w:rPr>
                <w:noProof/>
                <w:webHidden/>
              </w:rPr>
              <w:t>3</w:t>
            </w:r>
            <w:r>
              <w:rPr>
                <w:noProof/>
                <w:webHidden/>
              </w:rPr>
              <w:fldChar w:fldCharType="end"/>
            </w:r>
          </w:hyperlink>
        </w:p>
        <w:p w14:paraId="30633025" w14:textId="7D85BB9A" w:rsidR="00D71A58" w:rsidRDefault="00D71A58">
          <w:pPr>
            <w:pStyle w:val="TOC2"/>
            <w:tabs>
              <w:tab w:val="right" w:leader="dot" w:pos="9934"/>
            </w:tabs>
            <w:rPr>
              <w:rFonts w:asciiTheme="minorHAnsi" w:hAnsiTheme="minorHAnsi" w:cstheme="minorBidi"/>
              <w:bCs w:val="0"/>
              <w:noProof/>
              <w:spacing w:val="0"/>
              <w:sz w:val="24"/>
              <w:szCs w:val="24"/>
              <w:lang w:val="en-SG"/>
            </w:rPr>
          </w:pPr>
          <w:hyperlink w:anchor="_Toc93440486" w:history="1">
            <w:r w:rsidRPr="00266A8F">
              <w:rPr>
                <w:rStyle w:val="Hyperlink"/>
                <w:noProof/>
              </w:rPr>
              <w:t>3.1. Summary</w:t>
            </w:r>
            <w:r>
              <w:rPr>
                <w:noProof/>
                <w:webHidden/>
              </w:rPr>
              <w:tab/>
            </w:r>
            <w:r>
              <w:rPr>
                <w:noProof/>
                <w:webHidden/>
              </w:rPr>
              <w:fldChar w:fldCharType="begin"/>
            </w:r>
            <w:r>
              <w:rPr>
                <w:noProof/>
                <w:webHidden/>
              </w:rPr>
              <w:instrText xml:space="preserve"> PAGEREF _Toc93440486 \h </w:instrText>
            </w:r>
            <w:r>
              <w:rPr>
                <w:noProof/>
                <w:webHidden/>
              </w:rPr>
            </w:r>
            <w:r>
              <w:rPr>
                <w:noProof/>
                <w:webHidden/>
              </w:rPr>
              <w:fldChar w:fldCharType="separate"/>
            </w:r>
            <w:r>
              <w:rPr>
                <w:noProof/>
                <w:webHidden/>
              </w:rPr>
              <w:t>3</w:t>
            </w:r>
            <w:r>
              <w:rPr>
                <w:noProof/>
                <w:webHidden/>
              </w:rPr>
              <w:fldChar w:fldCharType="end"/>
            </w:r>
          </w:hyperlink>
        </w:p>
        <w:p w14:paraId="683AD474" w14:textId="56DC1D21" w:rsidR="00D71A58" w:rsidRDefault="00D71A58">
          <w:pPr>
            <w:pStyle w:val="TOC2"/>
            <w:tabs>
              <w:tab w:val="right" w:leader="dot" w:pos="9934"/>
            </w:tabs>
            <w:rPr>
              <w:rFonts w:asciiTheme="minorHAnsi" w:hAnsiTheme="minorHAnsi" w:cstheme="minorBidi"/>
              <w:bCs w:val="0"/>
              <w:noProof/>
              <w:spacing w:val="0"/>
              <w:sz w:val="24"/>
              <w:szCs w:val="24"/>
              <w:lang w:val="en-SG"/>
            </w:rPr>
          </w:pPr>
          <w:hyperlink w:anchor="_Toc93440487" w:history="1">
            <w:r w:rsidRPr="00266A8F">
              <w:rPr>
                <w:rStyle w:val="Hyperlink"/>
                <w:noProof/>
              </w:rPr>
              <w:t>3.2. Suggestions &amp; Considerations</w:t>
            </w:r>
            <w:r>
              <w:rPr>
                <w:noProof/>
                <w:webHidden/>
              </w:rPr>
              <w:tab/>
            </w:r>
            <w:r>
              <w:rPr>
                <w:noProof/>
                <w:webHidden/>
              </w:rPr>
              <w:fldChar w:fldCharType="begin"/>
            </w:r>
            <w:r>
              <w:rPr>
                <w:noProof/>
                <w:webHidden/>
              </w:rPr>
              <w:instrText xml:space="preserve"> PAGEREF _Toc93440487 \h </w:instrText>
            </w:r>
            <w:r>
              <w:rPr>
                <w:noProof/>
                <w:webHidden/>
              </w:rPr>
            </w:r>
            <w:r>
              <w:rPr>
                <w:noProof/>
                <w:webHidden/>
              </w:rPr>
              <w:fldChar w:fldCharType="separate"/>
            </w:r>
            <w:r>
              <w:rPr>
                <w:noProof/>
                <w:webHidden/>
              </w:rPr>
              <w:t>3</w:t>
            </w:r>
            <w:r>
              <w:rPr>
                <w:noProof/>
                <w:webHidden/>
              </w:rPr>
              <w:fldChar w:fldCharType="end"/>
            </w:r>
          </w:hyperlink>
        </w:p>
        <w:p w14:paraId="33F55E40" w14:textId="217A76AD" w:rsidR="00D71A58" w:rsidRDefault="00D71A58">
          <w:pPr>
            <w:pStyle w:val="TOC2"/>
            <w:tabs>
              <w:tab w:val="right" w:leader="dot" w:pos="9934"/>
            </w:tabs>
            <w:rPr>
              <w:rFonts w:asciiTheme="minorHAnsi" w:hAnsiTheme="minorHAnsi" w:cstheme="minorBidi"/>
              <w:bCs w:val="0"/>
              <w:noProof/>
              <w:spacing w:val="0"/>
              <w:sz w:val="24"/>
              <w:szCs w:val="24"/>
              <w:lang w:val="en-SG"/>
            </w:rPr>
          </w:pPr>
          <w:hyperlink w:anchor="_Toc93440488" w:history="1">
            <w:r w:rsidRPr="00266A8F">
              <w:rPr>
                <w:rStyle w:val="Hyperlink"/>
                <w:noProof/>
              </w:rPr>
              <w:t>3.3. Moving Forward</w:t>
            </w:r>
            <w:r>
              <w:rPr>
                <w:noProof/>
                <w:webHidden/>
              </w:rPr>
              <w:tab/>
            </w:r>
            <w:r>
              <w:rPr>
                <w:noProof/>
                <w:webHidden/>
              </w:rPr>
              <w:fldChar w:fldCharType="begin"/>
            </w:r>
            <w:r>
              <w:rPr>
                <w:noProof/>
                <w:webHidden/>
              </w:rPr>
              <w:instrText xml:space="preserve"> PAGEREF _Toc93440488 \h </w:instrText>
            </w:r>
            <w:r>
              <w:rPr>
                <w:noProof/>
                <w:webHidden/>
              </w:rPr>
            </w:r>
            <w:r>
              <w:rPr>
                <w:noProof/>
                <w:webHidden/>
              </w:rPr>
              <w:fldChar w:fldCharType="separate"/>
            </w:r>
            <w:r>
              <w:rPr>
                <w:noProof/>
                <w:webHidden/>
              </w:rPr>
              <w:t>3</w:t>
            </w:r>
            <w:r>
              <w:rPr>
                <w:noProof/>
                <w:webHidden/>
              </w:rPr>
              <w:fldChar w:fldCharType="end"/>
            </w:r>
          </w:hyperlink>
        </w:p>
        <w:p w14:paraId="672D9D9B" w14:textId="646250D1" w:rsidR="00D71A58" w:rsidRDefault="00D71A58">
          <w:pPr>
            <w:pStyle w:val="TOC1"/>
            <w:tabs>
              <w:tab w:val="right" w:leader="dot" w:pos="9934"/>
            </w:tabs>
            <w:rPr>
              <w:rFonts w:asciiTheme="minorHAnsi" w:hAnsiTheme="minorHAnsi" w:cstheme="minorBidi"/>
              <w:bCs w:val="0"/>
              <w:iCs w:val="0"/>
              <w:noProof/>
              <w:spacing w:val="0"/>
              <w:sz w:val="24"/>
              <w:lang w:val="en-SG"/>
            </w:rPr>
          </w:pPr>
          <w:hyperlink w:anchor="_Toc93440489" w:history="1">
            <w:r w:rsidRPr="00266A8F">
              <w:rPr>
                <w:rStyle w:val="Hyperlink"/>
                <w:noProof/>
              </w:rPr>
              <w:t>4. References</w:t>
            </w:r>
            <w:r>
              <w:rPr>
                <w:noProof/>
                <w:webHidden/>
              </w:rPr>
              <w:tab/>
            </w:r>
            <w:r>
              <w:rPr>
                <w:noProof/>
                <w:webHidden/>
              </w:rPr>
              <w:fldChar w:fldCharType="begin"/>
            </w:r>
            <w:r>
              <w:rPr>
                <w:noProof/>
                <w:webHidden/>
              </w:rPr>
              <w:instrText xml:space="preserve"> PAGEREF _Toc93440489 \h </w:instrText>
            </w:r>
            <w:r>
              <w:rPr>
                <w:noProof/>
                <w:webHidden/>
              </w:rPr>
            </w:r>
            <w:r>
              <w:rPr>
                <w:noProof/>
                <w:webHidden/>
              </w:rPr>
              <w:fldChar w:fldCharType="separate"/>
            </w:r>
            <w:r>
              <w:rPr>
                <w:noProof/>
                <w:webHidden/>
              </w:rPr>
              <w:t>3</w:t>
            </w:r>
            <w:r>
              <w:rPr>
                <w:noProof/>
                <w:webHidden/>
              </w:rPr>
              <w:fldChar w:fldCharType="end"/>
            </w:r>
          </w:hyperlink>
        </w:p>
        <w:p w14:paraId="47612135" w14:textId="0D9BB3FD" w:rsidR="00C61E3C" w:rsidRDefault="00C61E3C">
          <w:r>
            <w:rPr>
              <w:b/>
              <w:bCs/>
              <w:noProof/>
            </w:rPr>
            <w:fldChar w:fldCharType="end"/>
          </w:r>
        </w:p>
      </w:sdtContent>
    </w:sdt>
    <w:p w14:paraId="6335A8EA" w14:textId="77777777" w:rsidR="00C61E3C" w:rsidRDefault="00C61E3C" w:rsidP="00CC5F01">
      <w:pPr>
        <w:pStyle w:val="TOC2"/>
        <w:ind w:left="0"/>
        <w:sectPr w:rsidR="00C61E3C" w:rsidSect="00C61E3C">
          <w:type w:val="continuous"/>
          <w:pgSz w:w="11900" w:h="16840"/>
          <w:pgMar w:top="1440" w:right="947" w:bottom="1440" w:left="1009" w:header="708" w:footer="708" w:gutter="0"/>
          <w:cols w:space="336"/>
          <w:docGrid w:linePitch="360"/>
        </w:sectPr>
      </w:pPr>
    </w:p>
    <w:p w14:paraId="1D3DE0D8" w14:textId="5E2DD7CA" w:rsidR="00A86C09" w:rsidRPr="00DD0267" w:rsidRDefault="00196924" w:rsidP="00196924">
      <w:pPr>
        <w:pStyle w:val="Heading1"/>
      </w:pPr>
      <w:bookmarkStart w:id="0" w:name="_Toc93440478"/>
      <w:r>
        <w:t xml:space="preserve">1. </w:t>
      </w:r>
      <w:r w:rsidR="007E5EA4" w:rsidRPr="00DD0267">
        <w:t xml:space="preserve">Identify </w:t>
      </w:r>
      <w:r w:rsidR="009A5A3D" w:rsidRPr="00DD0267">
        <w:t>I</w:t>
      </w:r>
      <w:r w:rsidR="007E5EA4" w:rsidRPr="00DD0267">
        <w:t xml:space="preserve">nfluential </w:t>
      </w:r>
      <w:r w:rsidR="009A5A3D" w:rsidRPr="00DD0267">
        <w:t>V</w:t>
      </w:r>
      <w:r w:rsidR="00083A73" w:rsidRPr="00DD0267">
        <w:t>ariables /</w:t>
      </w:r>
      <w:r w:rsidR="009A5A3D" w:rsidRPr="00DD0267">
        <w:t xml:space="preserve"> F</w:t>
      </w:r>
      <w:r w:rsidR="00083A73" w:rsidRPr="00DD0267">
        <w:t>actors</w:t>
      </w:r>
      <w:bookmarkEnd w:id="0"/>
    </w:p>
    <w:p w14:paraId="76A550EE" w14:textId="37B49947" w:rsidR="00DF2A67" w:rsidRDefault="00DF2A67" w:rsidP="00DF2A67">
      <w:pPr>
        <w:pStyle w:val="Heading2"/>
      </w:pPr>
      <w:bookmarkStart w:id="1" w:name="_Toc93440479"/>
      <w:r>
        <w:t>1</w:t>
      </w:r>
      <w:r w:rsidRPr="00C07EC7">
        <w:t>.</w:t>
      </w:r>
      <w:r>
        <w:t>1.</w:t>
      </w:r>
      <w:r w:rsidRPr="00C07EC7">
        <w:t xml:space="preserve"> </w:t>
      </w:r>
      <w:r>
        <w:t xml:space="preserve">Price </w:t>
      </w:r>
      <w:r w:rsidR="00AE22CB">
        <w:t>Movement</w:t>
      </w:r>
      <w:r>
        <w:t xml:space="preserve"> &amp; V</w:t>
      </w:r>
      <w:r w:rsidR="00295E03">
        <w:t>o</w:t>
      </w:r>
      <w:r>
        <w:t>lume as a Result of the Event</w:t>
      </w:r>
      <w:bookmarkEnd w:id="1"/>
    </w:p>
    <w:p w14:paraId="564D19C1" w14:textId="3C4330A2" w:rsidR="00B95713" w:rsidRDefault="00083A73" w:rsidP="009D6469">
      <w:r>
        <w:t xml:space="preserve">The figure </w:t>
      </w:r>
      <w:r w:rsidR="0087001B">
        <w:t>1.1.</w:t>
      </w:r>
      <w:r>
        <w:t xml:space="preserve"> shows that variables l</w:t>
      </w:r>
      <w:bookmarkStart w:id="2" w:name="_GoBack"/>
      <w:bookmarkEnd w:id="2"/>
      <w:r>
        <w:t xml:space="preserve">ike FOMC Press Conference, </w:t>
      </w:r>
      <w:r w:rsidR="003511F6">
        <w:t>OPEC Meeting</w:t>
      </w:r>
      <w:r>
        <w:t xml:space="preserve">, ISM PMI Manufacturing reporting day, </w:t>
      </w:r>
      <w:r w:rsidR="003511F6">
        <w:t xml:space="preserve">and </w:t>
      </w:r>
      <w:r>
        <w:t>Black Friday</w:t>
      </w:r>
      <w:r w:rsidR="003511F6">
        <w:t xml:space="preserve"> and </w:t>
      </w:r>
      <w:r>
        <w:t>Cyber Monday</w:t>
      </w:r>
      <w:r w:rsidR="002A4045">
        <w:t xml:space="preserve"> </w:t>
      </w:r>
      <w:r w:rsidR="003511F6">
        <w:t xml:space="preserve">period </w:t>
      </w:r>
      <w:r>
        <w:t>seem to</w:t>
      </w:r>
      <w:r w:rsidR="00B56919">
        <w:t xml:space="preserve"> </w:t>
      </w:r>
      <w:r>
        <w:t xml:space="preserve">play an influential role on specific sector ETFs. </w:t>
      </w:r>
    </w:p>
    <w:p w14:paraId="4BD9D55C" w14:textId="257738D5" w:rsidR="00905F88" w:rsidRDefault="00BE36F0" w:rsidP="009D6469">
      <w:r>
        <w:t>T</w:t>
      </w:r>
      <w:r w:rsidR="00905F88">
        <w:t xml:space="preserve">he t-score </w:t>
      </w:r>
      <w:r w:rsidR="00DC18B3">
        <w:t xml:space="preserve">we used to measure price change </w:t>
      </w:r>
      <w:r w:rsidR="00905F88">
        <w:t>doesn’t take direction into account as we are only interested in the magnitude of price change and not the market sentiment on the outcome whether it’s positive or negative. And we only measure the effect on the day the event occurs</w:t>
      </w:r>
      <w:r w:rsidR="004A5CAB">
        <w:t>, n</w:t>
      </w:r>
      <w:r w:rsidR="00905F88">
        <w:t xml:space="preserve">ot including the day after. </w:t>
      </w:r>
      <w:r w:rsidR="00DC18B3">
        <w:t>Here are some of the findings we</w:t>
      </w:r>
      <w:r w:rsidR="00F76543">
        <w:t xml:space="preserve"> have </w:t>
      </w:r>
      <w:r w:rsidR="00DC18B3">
        <w:t xml:space="preserve">garnered. </w:t>
      </w:r>
    </w:p>
    <w:p w14:paraId="29F75CD0" w14:textId="12FA612C" w:rsidR="00B95713" w:rsidRDefault="00B95713" w:rsidP="009D6469">
      <w:r>
        <w:t>First is FOMC Press Conference. The primary objective of the conference is to continually optimise the monetary policies to address the current economic challenges related to employment, inflation, growth, demand, and money supply</w:t>
      </w:r>
      <w:r w:rsidR="0081092B">
        <w:t xml:space="preserve"> (APA, …)</w:t>
      </w:r>
      <w:r>
        <w:t xml:space="preserve">. </w:t>
      </w:r>
      <w:r w:rsidR="00261B72">
        <w:t>We find that all the 11 sectors are quite sensitive to the outcome of the FOMC Conference</w:t>
      </w:r>
      <w:r w:rsidR="00832BD8">
        <w:t xml:space="preserve"> </w:t>
      </w:r>
      <w:r w:rsidR="00301FB4">
        <w:t xml:space="preserve">on that </w:t>
      </w:r>
      <w:r w:rsidR="00301FB4">
        <w:t xml:space="preserve">particular day </w:t>
      </w:r>
      <w:r w:rsidR="00832BD8">
        <w:t>with a</w:t>
      </w:r>
      <w:r w:rsidR="00393626">
        <w:t xml:space="preserve">n average </w:t>
      </w:r>
      <w:r w:rsidR="00832BD8">
        <w:t>magnitude of</w:t>
      </w:r>
      <w:r w:rsidR="00483EB2">
        <w:t xml:space="preserve"> 1.0</w:t>
      </w:r>
      <w:r w:rsidR="00832BD8">
        <w:t xml:space="preserve"> t-score</w:t>
      </w:r>
      <w:r w:rsidR="00483EB2">
        <w:t xml:space="preserve"> (one standard deviation) on</w:t>
      </w:r>
      <w:r w:rsidR="00393626">
        <w:t xml:space="preserve"> </w:t>
      </w:r>
      <w:r w:rsidR="00483EB2">
        <w:t>price change</w:t>
      </w:r>
      <w:r w:rsidR="00393626">
        <w:t xml:space="preserve"> (figure </w:t>
      </w:r>
      <w:r w:rsidR="0087001B">
        <w:t>1.2.</w:t>
      </w:r>
      <w:r w:rsidR="00393626">
        <w:t>)</w:t>
      </w:r>
      <w:r w:rsidR="00483EB2">
        <w:t>.</w:t>
      </w:r>
      <w:r w:rsidR="00393626">
        <w:t xml:space="preserve"> The volume also tends to rise above the median on this day according to</w:t>
      </w:r>
      <w:r w:rsidR="003051C7">
        <w:t xml:space="preserve"> </w:t>
      </w:r>
      <w:r w:rsidR="00393626">
        <w:t xml:space="preserve">figure </w:t>
      </w:r>
      <w:r w:rsidR="0087001B">
        <w:t>1.3.</w:t>
      </w:r>
      <w:r w:rsidR="003051C7">
        <w:t xml:space="preserve">, which means more participants </w:t>
      </w:r>
      <w:r w:rsidR="0059629A">
        <w:t>tend</w:t>
      </w:r>
      <w:r w:rsidR="003B2EA9">
        <w:t xml:space="preserve"> </w:t>
      </w:r>
      <w:r w:rsidR="004246D2">
        <w:t xml:space="preserve">to </w:t>
      </w:r>
      <w:r w:rsidR="003051C7">
        <w:t>involve in the</w:t>
      </w:r>
      <w:r w:rsidR="0059629A">
        <w:t xml:space="preserve"> market during </w:t>
      </w:r>
      <w:r w:rsidR="00C6473A">
        <w:t xml:space="preserve">the </w:t>
      </w:r>
      <w:r w:rsidR="0059629A">
        <w:t>specific event</w:t>
      </w:r>
      <w:r w:rsidR="003051C7">
        <w:t xml:space="preserve">. </w:t>
      </w:r>
    </w:p>
    <w:p w14:paraId="2CC1BCAE" w14:textId="56B655D3" w:rsidR="00083A73" w:rsidRDefault="00AF085D" w:rsidP="009D6469">
      <w:r>
        <w:t xml:space="preserve">Second comes the </w:t>
      </w:r>
      <w:r w:rsidR="003511F6">
        <w:t>OPEC Meeting</w:t>
      </w:r>
      <w:r w:rsidR="00B95713">
        <w:t xml:space="preserve">. </w:t>
      </w:r>
      <w:r w:rsidR="00A235DB">
        <w:t>The objective of OPEC is to coordinate petroleum policies</w:t>
      </w:r>
      <w:r w:rsidR="00456210">
        <w:t xml:space="preserve"> </w:t>
      </w:r>
      <w:r w:rsidR="00A235DB">
        <w:t>among</w:t>
      </w:r>
      <w:r w:rsidR="00456210">
        <w:t xml:space="preserve"> countries that are chosen to be part of OPEC member, to ensure optimal production and supply, hence stable oil price </w:t>
      </w:r>
      <w:r w:rsidR="00A235DB">
        <w:t xml:space="preserve">(APA, …). </w:t>
      </w:r>
      <w:r w:rsidR="002E1121">
        <w:t>And, according to our findings, t</w:t>
      </w:r>
      <w:r w:rsidR="00A235DB">
        <w:t xml:space="preserve">he outcome of the </w:t>
      </w:r>
      <w:r w:rsidR="003511F6">
        <w:t>OPEC Meeting</w:t>
      </w:r>
      <w:r w:rsidR="00A235DB">
        <w:t xml:space="preserve"> </w:t>
      </w:r>
      <w:r w:rsidR="002E1121">
        <w:t xml:space="preserve">on that day </w:t>
      </w:r>
      <w:r w:rsidR="00083A73">
        <w:t xml:space="preserve">seem to </w:t>
      </w:r>
      <w:r w:rsidR="00A235DB">
        <w:t xml:space="preserve">have </w:t>
      </w:r>
      <w:r w:rsidR="002E1121">
        <w:t xml:space="preserve">an </w:t>
      </w:r>
      <w:r w:rsidR="00A235DB">
        <w:t>influence on sectors like materials, energy, financial, technology, utilities, and staples</w:t>
      </w:r>
      <w:r w:rsidR="00456210">
        <w:t xml:space="preserve"> with </w:t>
      </w:r>
      <w:r w:rsidR="00393626">
        <w:t xml:space="preserve">an average </w:t>
      </w:r>
      <w:r w:rsidR="00832BD8">
        <w:t xml:space="preserve">magnitude </w:t>
      </w:r>
      <w:r w:rsidR="00456210">
        <w:t xml:space="preserve"> of </w:t>
      </w:r>
      <w:r w:rsidR="00832BD8">
        <w:t xml:space="preserve">0.9 </w:t>
      </w:r>
      <w:r w:rsidR="00456210">
        <w:t>t-score</w:t>
      </w:r>
      <w:r w:rsidR="00393626">
        <w:t xml:space="preserve"> (figur</w:t>
      </w:r>
      <w:r w:rsidR="00A50839">
        <w:t>e 1.2.</w:t>
      </w:r>
      <w:r w:rsidR="00393626">
        <w:t>)</w:t>
      </w:r>
      <w:r w:rsidR="00186E69">
        <w:t xml:space="preserve">. </w:t>
      </w:r>
      <w:r w:rsidR="002E1121">
        <w:t xml:space="preserve">It is not surprising to see the influence of petroleum policies on sectors like materials, energy, and utilities since they are related to oil production, equipment, transportation of materials, shipping, and </w:t>
      </w:r>
      <w:r w:rsidR="00036FC6">
        <w:t xml:space="preserve">power </w:t>
      </w:r>
      <w:r w:rsidR="002E1121">
        <w:t xml:space="preserve">supply. </w:t>
      </w:r>
      <w:r w:rsidR="00A7665A">
        <w:t>However, it’s would be interesting to investigate sectors like staples, financial, and technology</w:t>
      </w:r>
      <w:r w:rsidR="00B95713">
        <w:t xml:space="preserve"> to validate the effect. </w:t>
      </w:r>
      <w:r w:rsidR="00393626">
        <w:t xml:space="preserve">Similar to FOMC, the volume tends to rise above the median on this day (figure </w:t>
      </w:r>
      <w:r w:rsidR="005E2AF0">
        <w:t>1.3.</w:t>
      </w:r>
      <w:r w:rsidR="00393626">
        <w:t xml:space="preserve">). </w:t>
      </w:r>
    </w:p>
    <w:p w14:paraId="4D8FAB16" w14:textId="2D7CE73F" w:rsidR="00393626" w:rsidRDefault="00CF302D" w:rsidP="009D6469">
      <w:r w:rsidRPr="00CF302D">
        <w:lastRenderedPageBreak/>
        <w:t xml:space="preserve">The ISM PMI manufacturing reporting day also tends to have </w:t>
      </w:r>
      <w:r w:rsidR="00060841">
        <w:t>greater</w:t>
      </w:r>
      <w:r w:rsidRPr="00CF302D">
        <w:t xml:space="preserve"> price movement for materials and industrial sectors with an average of 0.9 t-score (figure 1.2). ISM PMI report is a leading indicator that surveys the future prospect related to manufacturing. The effect is less about the reliability of the survey, but more on the response of the market towards the report. It’s not difficult to map the relationship here since materials and industrials sectors are related to manufacturing by nature.</w:t>
      </w:r>
      <w:r>
        <w:t xml:space="preserve"> </w:t>
      </w:r>
    </w:p>
    <w:p w14:paraId="5D8688E9" w14:textId="093C9F0C" w:rsidR="00396E48" w:rsidRDefault="00396E48" w:rsidP="009D6469">
      <w:r>
        <w:t>Another interesting variables / factors are Black Friday and Cyber Monday. Our expectation is that events are more likely to affect retail, staples, and discretionary sectors although the findings show an otherwise result. However, this is just a high level analysis</w:t>
      </w:r>
      <w:r w:rsidR="00D536A8">
        <w:t xml:space="preserve"> using t-score to measure the price movement. Furthermore, energy sector tends to have higher beta or price movement than other sectors. </w:t>
      </w:r>
      <w:r w:rsidR="00E00717">
        <w:t xml:space="preserve">Nonetheless, supply chain and logistics </w:t>
      </w:r>
      <w:r w:rsidR="00491DA0">
        <w:t xml:space="preserve">do </w:t>
      </w:r>
      <w:r w:rsidR="00E00717">
        <w:t>play a major role during events like these</w:t>
      </w:r>
      <w:r w:rsidR="006B1C1B">
        <w:t>, thus the effect on the energy sector c</w:t>
      </w:r>
      <w:r w:rsidR="00551E55">
        <w:t>ould</w:t>
      </w:r>
      <w:r w:rsidR="006B1C1B">
        <w:t xml:space="preserve"> be due to </w:t>
      </w:r>
      <w:r w:rsidR="00E00717">
        <w:t>the demand and supply for oil</w:t>
      </w:r>
      <w:r w:rsidR="006B1C1B">
        <w:t xml:space="preserve">, plus </w:t>
      </w:r>
      <w:r w:rsidR="00792C99">
        <w:t>market</w:t>
      </w:r>
      <w:r w:rsidR="006B1C1B">
        <w:t xml:space="preserve"> </w:t>
      </w:r>
      <w:r w:rsidR="00792C99">
        <w:t>react</w:t>
      </w:r>
      <w:r w:rsidR="006B1C1B">
        <w:t xml:space="preserve">ion </w:t>
      </w:r>
      <w:r w:rsidR="00011719">
        <w:t>on</w:t>
      </w:r>
      <w:r w:rsidR="00792C99">
        <w:t xml:space="preserve"> </w:t>
      </w:r>
      <w:r w:rsidR="009A5C7E">
        <w:t>those day</w:t>
      </w:r>
      <w:r w:rsidR="00011719">
        <w:t>s</w:t>
      </w:r>
      <w:r w:rsidR="009A5C7E">
        <w:t xml:space="preserve">. </w:t>
      </w:r>
    </w:p>
    <w:p w14:paraId="228BC45C" w14:textId="090E7E7D" w:rsidR="00F508E1" w:rsidRDefault="00F508E1" w:rsidP="00F508E1">
      <w:pPr>
        <w:pStyle w:val="Heading2"/>
      </w:pPr>
      <w:bookmarkStart w:id="3" w:name="_Toc93440480"/>
      <w:r>
        <w:t>1</w:t>
      </w:r>
      <w:r w:rsidRPr="00C07EC7">
        <w:t>.</w:t>
      </w:r>
      <w:r>
        <w:t>2.</w:t>
      </w:r>
      <w:r w:rsidRPr="00C07EC7">
        <w:t xml:space="preserve"> </w:t>
      </w:r>
      <w:r>
        <w:t xml:space="preserve">Implied Volatility </w:t>
      </w:r>
      <w:r w:rsidR="00DF2A67">
        <w:t>Change As a Result of The Event</w:t>
      </w:r>
      <w:bookmarkEnd w:id="3"/>
    </w:p>
    <w:p w14:paraId="3DAA37C9" w14:textId="56715D00" w:rsidR="003A157D" w:rsidRDefault="005C387E" w:rsidP="009D6469">
      <w:r>
        <w:t xml:space="preserve">We also validate the price change by measuring the changes in </w:t>
      </w:r>
      <w:r w:rsidR="00293A3E">
        <w:t>VIX (implied volatility index)</w:t>
      </w:r>
      <w:r w:rsidR="00C00184">
        <w:t xml:space="preserve"> to see if the price movement is also </w:t>
      </w:r>
      <w:r w:rsidR="008D5E79">
        <w:t>supported</w:t>
      </w:r>
      <w:r w:rsidR="00C00184">
        <w:t xml:space="preserve"> by </w:t>
      </w:r>
      <w:r w:rsidR="001659C6">
        <w:t xml:space="preserve">a significant change in </w:t>
      </w:r>
      <w:r w:rsidR="00A6205D">
        <w:t>implied volatility</w:t>
      </w:r>
      <w:r>
        <w:t xml:space="preserve">. Based on (figure </w:t>
      </w:r>
      <w:r w:rsidR="0087001B">
        <w:t>1.4.</w:t>
      </w:r>
      <w:r>
        <w:t>), w</w:t>
      </w:r>
      <w:r w:rsidR="00F22AAC">
        <w:t>e</w:t>
      </w:r>
      <w:r>
        <w:t xml:space="preserve"> </w:t>
      </w:r>
      <w:r w:rsidR="00F22AAC">
        <w:t xml:space="preserve">find that only FOMC Conference tend to </w:t>
      </w:r>
      <w:r w:rsidR="00D25B06">
        <w:t>move</w:t>
      </w:r>
      <w:r w:rsidR="00F22AAC">
        <w:t xml:space="preserve"> the VIX </w:t>
      </w:r>
      <w:r w:rsidR="00D25B06">
        <w:t xml:space="preserve">by </w:t>
      </w:r>
      <w:r w:rsidR="008151E9">
        <w:t xml:space="preserve">around </w:t>
      </w:r>
      <w:r w:rsidR="00F22AAC">
        <w:t xml:space="preserve">1 standard deviation </w:t>
      </w:r>
      <w:r w:rsidR="008151E9">
        <w:t>on average (0.9 t-score)</w:t>
      </w:r>
      <w:r w:rsidR="00323E1F">
        <w:t>, followed by OPEC with 0.8 of t-score,</w:t>
      </w:r>
      <w:r w:rsidR="008151E9">
        <w:t xml:space="preserve"> </w:t>
      </w:r>
      <w:r w:rsidR="00F22AAC">
        <w:t>while the rest</w:t>
      </w:r>
      <w:r w:rsidR="008151E9">
        <w:t xml:space="preserve"> </w:t>
      </w:r>
      <w:r w:rsidR="00323E1F">
        <w:t xml:space="preserve">is </w:t>
      </w:r>
      <w:r w:rsidR="008151E9">
        <w:t>below</w:t>
      </w:r>
      <w:r w:rsidR="00F22AAC">
        <w:t xml:space="preserve"> 0.8. </w:t>
      </w:r>
    </w:p>
    <w:p w14:paraId="27035694" w14:textId="0486966F" w:rsidR="00F508E1" w:rsidRDefault="00F508E1" w:rsidP="00F508E1">
      <w:pPr>
        <w:pStyle w:val="Heading2"/>
      </w:pPr>
      <w:bookmarkStart w:id="4" w:name="_Toc93440481"/>
      <w:r>
        <w:t>1</w:t>
      </w:r>
      <w:r w:rsidRPr="00C07EC7">
        <w:t>.</w:t>
      </w:r>
      <w:r>
        <w:t>3.</w:t>
      </w:r>
      <w:r w:rsidRPr="00C07EC7">
        <w:t xml:space="preserve"> </w:t>
      </w:r>
      <w:r>
        <w:t>Limitation &amp; Challenges</w:t>
      </w:r>
      <w:bookmarkEnd w:id="4"/>
    </w:p>
    <w:p w14:paraId="1EE7CD7C" w14:textId="1759092F" w:rsidR="006D67D2" w:rsidRDefault="005F5163" w:rsidP="006D67D2">
      <w:r>
        <w:t xml:space="preserve">We are aware, however, that </w:t>
      </w:r>
      <w:r w:rsidR="002533F1">
        <w:t>the variables we identified</w:t>
      </w:r>
      <w:r w:rsidR="00520575">
        <w:t xml:space="preserve"> </w:t>
      </w:r>
      <w:r w:rsidR="002533F1">
        <w:t xml:space="preserve">above </w:t>
      </w:r>
      <w:r w:rsidR="00A45007">
        <w:t xml:space="preserve">based on the t-scores </w:t>
      </w:r>
      <w:r w:rsidR="0034594C">
        <w:t>are</w:t>
      </w:r>
      <w:r w:rsidR="002533F1">
        <w:t xml:space="preserve"> only </w:t>
      </w:r>
      <w:r w:rsidR="0034594C">
        <w:t>around</w:t>
      </w:r>
      <w:r w:rsidR="00876B36">
        <w:t xml:space="preserve"> </w:t>
      </w:r>
      <w:r w:rsidR="0034594C">
        <w:t>0.2</w:t>
      </w:r>
      <w:r w:rsidR="002533F1">
        <w:t xml:space="preserve"> higher than the rest</w:t>
      </w:r>
      <w:r w:rsidR="00DA3A74">
        <w:t>, which can</w:t>
      </w:r>
      <w:r w:rsidR="00D177D1">
        <w:t xml:space="preserve"> likely </w:t>
      </w:r>
      <w:r w:rsidR="00DA3A74">
        <w:t>be due to random effect</w:t>
      </w:r>
      <w:r w:rsidR="0034594C">
        <w:t xml:space="preserve">. </w:t>
      </w:r>
      <w:r w:rsidR="0050790F">
        <w:t>Likewise for</w:t>
      </w:r>
      <w:r w:rsidR="00FE718D">
        <w:t xml:space="preserve"> </w:t>
      </w:r>
      <w:r w:rsidR="0050790F">
        <w:t>VIX</w:t>
      </w:r>
      <w:r w:rsidR="009F2590">
        <w:t xml:space="preserve">. </w:t>
      </w:r>
      <w:r w:rsidR="005E5A29">
        <w:t>And, som</w:t>
      </w:r>
      <w:r w:rsidR="00F60235">
        <w:t xml:space="preserve">e </w:t>
      </w:r>
      <w:r w:rsidR="005E5A29">
        <w:t xml:space="preserve">events have limited sample size since they occur once a year. </w:t>
      </w:r>
    </w:p>
    <w:p w14:paraId="3668259D" w14:textId="455AA564" w:rsidR="00C80527" w:rsidRDefault="00C80527" w:rsidP="006D67D2">
      <w:r>
        <w:t xml:space="preserve">Also, since </w:t>
      </w:r>
      <w:r w:rsidR="000E0BA7">
        <w:t xml:space="preserve">the data can only measure the price change between the previous and current day closing price, we </w:t>
      </w:r>
      <w:r w:rsidR="00AE086A">
        <w:t xml:space="preserve">have </w:t>
      </w:r>
      <w:r w:rsidR="000E0BA7">
        <w:t>essentially ignor</w:t>
      </w:r>
      <w:r w:rsidR="00AE086A">
        <w:t xml:space="preserve">ed </w:t>
      </w:r>
      <w:r w:rsidR="000E0BA7">
        <w:t xml:space="preserve">the </w:t>
      </w:r>
      <w:r w:rsidR="00AE086A">
        <w:t xml:space="preserve">narrower timeframe such as price </w:t>
      </w:r>
      <w:r w:rsidR="000E0BA7">
        <w:t>change between</w:t>
      </w:r>
      <w:r w:rsidR="00AE086A">
        <w:t xml:space="preserve"> the </w:t>
      </w:r>
      <w:r w:rsidR="000E0BA7">
        <w:t xml:space="preserve">market hours. </w:t>
      </w:r>
      <w:r w:rsidR="003B2B7D">
        <w:t>Price can fall or rise a lot after the result is released or an announcement</w:t>
      </w:r>
      <w:r w:rsidR="00496113">
        <w:t>,</w:t>
      </w:r>
      <w:r w:rsidR="003B2B7D">
        <w:t xml:space="preserve"> and</w:t>
      </w:r>
      <w:r w:rsidR="006310A7">
        <w:t xml:space="preserve"> </w:t>
      </w:r>
      <w:r w:rsidR="00E62072" w:rsidRPr="00E62072">
        <w:t xml:space="preserve">retract </w:t>
      </w:r>
      <w:r w:rsidR="003B2B7D">
        <w:t xml:space="preserve">after </w:t>
      </w:r>
      <w:r w:rsidR="00496113">
        <w:t xml:space="preserve">the market has </w:t>
      </w:r>
      <w:r w:rsidR="003B2B7D">
        <w:t>cool</w:t>
      </w:r>
      <w:r w:rsidR="00496113">
        <w:t xml:space="preserve">ed </w:t>
      </w:r>
      <w:r w:rsidR="003B2B7D">
        <w:t>down</w:t>
      </w:r>
      <w:r w:rsidR="008B4570">
        <w:t xml:space="preserve"> within hours</w:t>
      </w:r>
      <w:r w:rsidR="003B2B7D">
        <w:t xml:space="preserve">. </w:t>
      </w:r>
      <w:r w:rsidR="00496113">
        <w:t>Hence,</w:t>
      </w:r>
      <w:r w:rsidR="00495716">
        <w:t xml:space="preserve"> </w:t>
      </w:r>
      <w:r w:rsidR="00496113">
        <w:t xml:space="preserve">the effect can be watered down. </w:t>
      </w:r>
      <w:r w:rsidR="00FA46BA">
        <w:t xml:space="preserve">Likewise for VIX. </w:t>
      </w:r>
    </w:p>
    <w:p w14:paraId="68DE5B94" w14:textId="6DB9C8A5" w:rsidR="00157093" w:rsidRDefault="00157093" w:rsidP="006D67D2">
      <w:r>
        <w:t xml:space="preserve">Furthermore, the analysis doesn’t take omitted variables, uncertainty measure, and confounding variables into account. </w:t>
      </w:r>
      <w:r w:rsidR="00770C80">
        <w:t xml:space="preserve">Plus, some variables / factors might allude to an uptrend or downtrend </w:t>
      </w:r>
      <w:r w:rsidR="000C6762">
        <w:t>with</w:t>
      </w:r>
      <w:r w:rsidR="00E12B89">
        <w:t xml:space="preserve"> longer days </w:t>
      </w:r>
      <w:r w:rsidR="00AD57B7">
        <w:t xml:space="preserve">as a result of the outcome </w:t>
      </w:r>
      <w:r w:rsidR="00770C80">
        <w:t>even</w:t>
      </w:r>
      <w:r w:rsidR="00831035">
        <w:t xml:space="preserve"> </w:t>
      </w:r>
      <w:r w:rsidR="00770C80">
        <w:t>though the price movement is small</w:t>
      </w:r>
      <w:r w:rsidR="00C76363">
        <w:t>, but we are onl</w:t>
      </w:r>
      <w:r w:rsidR="00083C9F">
        <w:t>y measuring the price movement on a very</w:t>
      </w:r>
      <w:r w:rsidR="00AD57B7">
        <w:t xml:space="preserve"> </w:t>
      </w:r>
      <w:r w:rsidR="00083C9F">
        <w:t xml:space="preserve">short duration. </w:t>
      </w:r>
    </w:p>
    <w:p w14:paraId="58FE5348" w14:textId="7511D63E" w:rsidR="00113D7A" w:rsidRDefault="00113D7A" w:rsidP="006D67D2">
      <w:r>
        <w:t xml:space="preserve">It is purely a high level scanning </w:t>
      </w:r>
      <w:r w:rsidR="00F93D92">
        <w:t xml:space="preserve">and analysis </w:t>
      </w:r>
      <w:r>
        <w:t xml:space="preserve">for variables that seem to stand out among the rest for further investigation in the future. Hence we decide to emphasise them. </w:t>
      </w:r>
    </w:p>
    <w:p w14:paraId="4C61757D" w14:textId="6A1E1196" w:rsidR="006D67D2" w:rsidRPr="006D67D2" w:rsidRDefault="00196924" w:rsidP="006A66A0">
      <w:pPr>
        <w:pStyle w:val="Heading1"/>
      </w:pPr>
      <w:bookmarkStart w:id="5" w:name="_Toc93440482"/>
      <w:r>
        <w:t xml:space="preserve">2. </w:t>
      </w:r>
      <w:r w:rsidR="005A4F97">
        <w:t xml:space="preserve">Analyse </w:t>
      </w:r>
      <w:r w:rsidR="00A4300B">
        <w:t>t</w:t>
      </w:r>
      <w:r w:rsidR="005A4F97">
        <w:t xml:space="preserve">he Effect </w:t>
      </w:r>
      <w:r w:rsidR="00A4300B">
        <w:t>o</w:t>
      </w:r>
      <w:r w:rsidR="005A4F97">
        <w:t>f Influential Variables Over Time</w:t>
      </w:r>
      <w:bookmarkEnd w:id="5"/>
    </w:p>
    <w:p w14:paraId="3326D48C" w14:textId="04214EB7" w:rsidR="00E40A0D" w:rsidRDefault="002D6B6B" w:rsidP="00E40A0D">
      <w:pPr>
        <w:pStyle w:val="Heading2"/>
      </w:pPr>
      <w:bookmarkStart w:id="6" w:name="_Toc93440483"/>
      <w:r>
        <w:t>2</w:t>
      </w:r>
      <w:r w:rsidR="00E40A0D" w:rsidRPr="00C07EC7">
        <w:t>.</w:t>
      </w:r>
      <w:r w:rsidR="00E40A0D">
        <w:t>1.</w:t>
      </w:r>
      <w:r w:rsidR="00E40A0D" w:rsidRPr="00C07EC7">
        <w:t xml:space="preserve"> </w:t>
      </w:r>
      <w:r>
        <w:t>Variable’s Effect Over time</w:t>
      </w:r>
      <w:bookmarkEnd w:id="6"/>
    </w:p>
    <w:p w14:paraId="5D0C974C" w14:textId="154CCBE5" w:rsidR="006D67D2" w:rsidRDefault="00A03333" w:rsidP="006D67D2">
      <w:r>
        <w:t xml:space="preserve">We are interested to observe the effect over time to analyse the sustainability of the effect </w:t>
      </w:r>
      <w:r w:rsidR="0057216C">
        <w:t xml:space="preserve">across time </w:t>
      </w:r>
      <w:r>
        <w:t xml:space="preserve">and impact during specific period such as recession after narrowing down our focus </w:t>
      </w:r>
      <w:r w:rsidR="00B8222E">
        <w:t>to</w:t>
      </w:r>
      <w:r w:rsidR="00286BE1">
        <w:t xml:space="preserve"> specific</w:t>
      </w:r>
      <w:r w:rsidR="00B8222E">
        <w:t xml:space="preserve"> </w:t>
      </w:r>
      <w:r>
        <w:t>variable</w:t>
      </w:r>
      <w:r w:rsidR="00286BE1">
        <w:t>s</w:t>
      </w:r>
      <w:r>
        <w:t xml:space="preserve">. </w:t>
      </w:r>
    </w:p>
    <w:p w14:paraId="132A45EA" w14:textId="5AB81B6E" w:rsidR="0035330F" w:rsidRDefault="00286BE1" w:rsidP="006D67D2">
      <w:r>
        <w:t xml:space="preserve">As we observe figure </w:t>
      </w:r>
      <w:r w:rsidR="0087001B">
        <w:t>2.1.,</w:t>
      </w:r>
      <w:r>
        <w:t xml:space="preserve"> w</w:t>
      </w:r>
      <w:r w:rsidR="0035330F">
        <w:t xml:space="preserve">e find </w:t>
      </w:r>
      <w:r>
        <w:t xml:space="preserve">that the price movement on the ISM PMI Manufacturing reporting day tends to be larger </w:t>
      </w:r>
      <w:r w:rsidR="00331894">
        <w:t xml:space="preserve">a few years before and during the </w:t>
      </w:r>
      <w:r>
        <w:t>recession</w:t>
      </w:r>
      <w:r w:rsidR="008C02D4">
        <w:t xml:space="preserve"> as most</w:t>
      </w:r>
      <w:r w:rsidR="00265CF5">
        <w:t xml:space="preserve"> </w:t>
      </w:r>
      <w:r w:rsidR="008C02D4">
        <w:t>of the dots fall outside the t-score range between -1 to 1.</w:t>
      </w:r>
      <w:r w:rsidR="005628C4">
        <w:t xml:space="preserve"> </w:t>
      </w:r>
      <w:r w:rsidR="00265CF5">
        <w:t>We</w:t>
      </w:r>
      <w:r w:rsidR="006A03C4">
        <w:t xml:space="preserve"> </w:t>
      </w:r>
      <w:r w:rsidR="006A54B9">
        <w:t xml:space="preserve">highlight the range with rectangular boxes. </w:t>
      </w:r>
      <w:r w:rsidR="007B6C31">
        <w:t xml:space="preserve">This outcome could be due </w:t>
      </w:r>
      <w:r w:rsidR="00563F36">
        <w:t xml:space="preserve">to </w:t>
      </w:r>
      <w:r w:rsidR="00E567E0">
        <w:t>materials and industrials sectors</w:t>
      </w:r>
      <w:r w:rsidR="00563F36">
        <w:t xml:space="preserve"> becoming more reactive to </w:t>
      </w:r>
      <w:r w:rsidR="006C4671">
        <w:t xml:space="preserve">the </w:t>
      </w:r>
      <w:r w:rsidR="007B6C31">
        <w:t>ISM PMI</w:t>
      </w:r>
      <w:r w:rsidR="006C4671">
        <w:t xml:space="preserve"> </w:t>
      </w:r>
      <w:r w:rsidR="00563F36">
        <w:t xml:space="preserve">result (leading indicator for manufacturing) </w:t>
      </w:r>
      <w:r w:rsidR="007B6C31">
        <w:t xml:space="preserve">as the economy is </w:t>
      </w:r>
      <w:r w:rsidR="00C1057B">
        <w:t xml:space="preserve">falling from the peak or </w:t>
      </w:r>
      <w:r w:rsidR="007B6C31">
        <w:t xml:space="preserve">approaching </w:t>
      </w:r>
      <w:r w:rsidR="00C1057B">
        <w:t xml:space="preserve">a </w:t>
      </w:r>
      <w:r w:rsidR="007B6C31">
        <w:t xml:space="preserve">recession. </w:t>
      </w:r>
    </w:p>
    <w:p w14:paraId="59EB98CC" w14:textId="6C1545F1" w:rsidR="00EB71BC" w:rsidRDefault="00EB71BC" w:rsidP="006D67D2">
      <w:r>
        <w:t>The same scenario occurs for Black Frida</w:t>
      </w:r>
      <w:r w:rsidR="00E22FF7">
        <w:t>y</w:t>
      </w:r>
      <w:r w:rsidR="0087001B">
        <w:t xml:space="preserve"> (figure 2.</w:t>
      </w:r>
      <w:r w:rsidR="007A4927">
        <w:t>3</w:t>
      </w:r>
      <w:r w:rsidR="0087001B">
        <w:t>.)</w:t>
      </w:r>
      <w:r>
        <w:t>, where the price movement</w:t>
      </w:r>
      <w:r w:rsidR="008F3F73">
        <w:t xml:space="preserve"> seems t</w:t>
      </w:r>
      <w:r w:rsidR="005A4CAE">
        <w:t xml:space="preserve">o increase </w:t>
      </w:r>
      <w:r>
        <w:t>during the recession</w:t>
      </w:r>
      <w:r w:rsidR="00492488">
        <w:t xml:space="preserve"> </w:t>
      </w:r>
      <w:r w:rsidR="003D69B9">
        <w:t>(refer to the grey box)</w:t>
      </w:r>
      <w:r w:rsidR="00F0055A">
        <w:t xml:space="preserve"> while the other period</w:t>
      </w:r>
      <w:r w:rsidR="005A4CAE">
        <w:t xml:space="preserve">s have narrower movement. </w:t>
      </w:r>
    </w:p>
    <w:p w14:paraId="739CD4B1" w14:textId="2E01E0A4" w:rsidR="00705CA4" w:rsidRDefault="009F4162" w:rsidP="00705CA4">
      <w:pPr>
        <w:pStyle w:val="Heading2"/>
      </w:pPr>
      <w:bookmarkStart w:id="7" w:name="_Toc93440484"/>
      <w:r>
        <w:t>2</w:t>
      </w:r>
      <w:r w:rsidR="00705CA4" w:rsidRPr="00C07EC7">
        <w:t>.</w:t>
      </w:r>
      <w:r w:rsidR="00705CA4">
        <w:t>2.</w:t>
      </w:r>
      <w:r w:rsidR="00705CA4" w:rsidRPr="00C07EC7">
        <w:t xml:space="preserve"> </w:t>
      </w:r>
      <w:r w:rsidR="00705CA4">
        <w:t>Limitation &amp; Challenges</w:t>
      </w:r>
      <w:bookmarkEnd w:id="7"/>
    </w:p>
    <w:p w14:paraId="1A84D2D0" w14:textId="189A914A" w:rsidR="005A4CAE" w:rsidRDefault="000C6B0F" w:rsidP="006D67D2">
      <w:r>
        <w:t>Since we can only gather data from a very limited time range</w:t>
      </w:r>
      <w:r w:rsidR="00E64CDE">
        <w:t xml:space="preserve"> for both the ETFs and events</w:t>
      </w:r>
      <w:r>
        <w:t>, we aren’t able to compare the price movement o</w:t>
      </w:r>
      <w:r w:rsidR="000E50C6">
        <w:t>n</w:t>
      </w:r>
      <w:r w:rsidR="00D1200A">
        <w:t xml:space="preserve"> </w:t>
      </w:r>
      <w:r>
        <w:t>multiple recessionary</w:t>
      </w:r>
      <w:r w:rsidR="00E64CDE">
        <w:t xml:space="preserve"> </w:t>
      </w:r>
      <w:r>
        <w:t>period</w:t>
      </w:r>
      <w:r w:rsidR="000E50C6">
        <w:t xml:space="preserve"> to </w:t>
      </w:r>
      <w:r w:rsidR="00D1200A">
        <w:t>observe the consistency</w:t>
      </w:r>
      <w:r w:rsidR="000E50C6">
        <w:t>.</w:t>
      </w:r>
      <w:r w:rsidR="00A23953">
        <w:t xml:space="preserve"> </w:t>
      </w:r>
      <w:r w:rsidR="000B3602">
        <w:t>However, when we compare it with other sectors</w:t>
      </w:r>
      <w:r w:rsidR="00A07F11">
        <w:t xml:space="preserve"> for ISM PMI</w:t>
      </w:r>
      <w:r w:rsidR="000B3602">
        <w:t xml:space="preserve">, </w:t>
      </w:r>
      <w:r w:rsidR="00F63C72">
        <w:t>materials and industrial</w:t>
      </w:r>
      <w:r w:rsidR="000B3602">
        <w:t xml:space="preserve"> sectors seem to show an increasing price movement during the recessionary period compared to other sectors</w:t>
      </w:r>
      <w:r w:rsidR="00A07F11">
        <w:t xml:space="preserve"> (figure 2.2</w:t>
      </w:r>
      <w:r w:rsidR="00B422B4">
        <w:t>.</w:t>
      </w:r>
      <w:r w:rsidR="00A07F11">
        <w:t>)</w:t>
      </w:r>
      <w:r w:rsidR="000B3602">
        <w:t xml:space="preserve">. </w:t>
      </w:r>
    </w:p>
    <w:p w14:paraId="283C5B9E" w14:textId="39E37B3F" w:rsidR="000B3602" w:rsidRDefault="005A4CAE" w:rsidP="006D67D2">
      <w:r>
        <w:lastRenderedPageBreak/>
        <w:t xml:space="preserve">Also, the volatility is generally higher during the recessionary period, so the movement </w:t>
      </w:r>
      <w:r w:rsidR="009B73DD">
        <w:t>is</w:t>
      </w:r>
      <w:r>
        <w:t xml:space="preserve"> likely to be magnified for other observances or events, which makes</w:t>
      </w:r>
      <w:r w:rsidR="0057561D">
        <w:t xml:space="preserve"> </w:t>
      </w:r>
      <w:r w:rsidR="00BC1AB4">
        <w:t xml:space="preserve">effect from </w:t>
      </w:r>
      <w:r>
        <w:t>ISM PMI and Black Friday</w:t>
      </w:r>
      <w:r w:rsidR="009B73DD">
        <w:t xml:space="preserve"> </w:t>
      </w:r>
      <w:r w:rsidR="00BC1AB4">
        <w:t>less impactful</w:t>
      </w:r>
      <w:r w:rsidR="00AA76F6">
        <w:t xml:space="preserve">. </w:t>
      </w:r>
    </w:p>
    <w:p w14:paraId="7DC696B1" w14:textId="48979159" w:rsidR="00084E14" w:rsidRPr="00084E14" w:rsidRDefault="00196924" w:rsidP="006A66A0">
      <w:pPr>
        <w:pStyle w:val="Heading1"/>
      </w:pPr>
      <w:bookmarkStart w:id="8" w:name="_Toc93440485"/>
      <w:r>
        <w:t xml:space="preserve">3. </w:t>
      </w:r>
      <w:r w:rsidR="00F5128E">
        <w:t>Summary</w:t>
      </w:r>
      <w:r w:rsidR="000C523A">
        <w:t xml:space="preserve"> &amp; Moving Forward</w:t>
      </w:r>
      <w:bookmarkEnd w:id="8"/>
    </w:p>
    <w:p w14:paraId="3476707F" w14:textId="45CDDB6F" w:rsidR="00D26537" w:rsidRDefault="00D26537" w:rsidP="00D26537">
      <w:pPr>
        <w:pStyle w:val="Heading2"/>
      </w:pPr>
      <w:bookmarkStart w:id="9" w:name="_Toc93440486"/>
      <w:r>
        <w:t xml:space="preserve">3.1. </w:t>
      </w:r>
      <w:r>
        <w:t>Summary</w:t>
      </w:r>
      <w:bookmarkEnd w:id="9"/>
      <w:r>
        <w:t xml:space="preserve"> </w:t>
      </w:r>
    </w:p>
    <w:p w14:paraId="081A722C" w14:textId="583ECB00" w:rsidR="00492488" w:rsidRDefault="002D06B2" w:rsidP="00D26537">
      <w:r>
        <w:t xml:space="preserve">We </w:t>
      </w:r>
      <w:r w:rsidR="009D38F8">
        <w:t xml:space="preserve">narrow down </w:t>
      </w:r>
      <w:r w:rsidR="003511F6">
        <w:t xml:space="preserve">to </w:t>
      </w:r>
      <w:r w:rsidR="003511F6">
        <w:t xml:space="preserve">FOMC Press Conference, </w:t>
      </w:r>
      <w:r w:rsidR="003511F6">
        <w:t>OPEC Meeting</w:t>
      </w:r>
      <w:r w:rsidR="003511F6">
        <w:t xml:space="preserve">, ISM PMI Manufacturing reporting day, </w:t>
      </w:r>
      <w:r w:rsidR="003511F6">
        <w:t xml:space="preserve">and </w:t>
      </w:r>
      <w:r w:rsidR="003511F6">
        <w:t xml:space="preserve">Black Friday and Cyber Monday </w:t>
      </w:r>
      <w:r w:rsidR="003511F6">
        <w:t>period after</w:t>
      </w:r>
      <w:r w:rsidR="009D38F8">
        <w:t xml:space="preserve"> identifying </w:t>
      </w:r>
      <w:r w:rsidR="00DE6B54">
        <w:t>the</w:t>
      </w:r>
      <w:r w:rsidR="00747562">
        <w:t xml:space="preserve"> </w:t>
      </w:r>
      <w:r w:rsidR="00DE6B54">
        <w:t xml:space="preserve">variables with </w:t>
      </w:r>
      <w:r w:rsidR="00747562">
        <w:t>high</w:t>
      </w:r>
      <w:r w:rsidR="009D38F8">
        <w:t xml:space="preserve"> </w:t>
      </w:r>
      <w:r w:rsidR="003511F6">
        <w:t xml:space="preserve">average </w:t>
      </w:r>
      <w:r w:rsidR="009D38F8">
        <w:t xml:space="preserve">price movement. </w:t>
      </w:r>
    </w:p>
    <w:p w14:paraId="4CE84BB2" w14:textId="06D1D450" w:rsidR="00492488" w:rsidRDefault="00492488" w:rsidP="00D26537">
      <w:r>
        <w:t>As we analyse the effect over time, we find that price movement during the FOMC</w:t>
      </w:r>
      <w:r w:rsidR="00CB6B8F">
        <w:t xml:space="preserve">, </w:t>
      </w:r>
      <w:r>
        <w:t>OPEC</w:t>
      </w:r>
      <w:r w:rsidR="00CB6B8F">
        <w:t xml:space="preserve">, </w:t>
      </w:r>
      <w:r w:rsidR="00A73105">
        <w:t xml:space="preserve">and </w:t>
      </w:r>
      <w:r w:rsidR="00CB6B8F">
        <w:t>Black Friday</w:t>
      </w:r>
      <w:r w:rsidR="00CB6B8F">
        <w:t xml:space="preserve"> </w:t>
      </w:r>
      <w:r>
        <w:t>event day</w:t>
      </w:r>
      <w:r w:rsidR="00116216">
        <w:t xml:space="preserve"> </w:t>
      </w:r>
      <w:r>
        <w:t>is magnified during the recession.</w:t>
      </w:r>
      <w:r w:rsidR="00CB6B8F">
        <w:t xml:space="preserve"> Likewise for ISM PM</w:t>
      </w:r>
      <w:r w:rsidR="00116216">
        <w:t>I</w:t>
      </w:r>
      <w:r w:rsidR="00CB6B8F">
        <w:t xml:space="preserve">. However, </w:t>
      </w:r>
      <w:r w:rsidR="00C9331B">
        <w:t>materials and industrials</w:t>
      </w:r>
      <w:r w:rsidR="00FA0DC3">
        <w:t xml:space="preserve"> </w:t>
      </w:r>
      <w:r w:rsidR="00C9331B">
        <w:t xml:space="preserve">sectors </w:t>
      </w:r>
      <w:r w:rsidR="00FA0DC3">
        <w:t xml:space="preserve">seem to </w:t>
      </w:r>
      <w:r w:rsidR="007200F0">
        <w:t>be</w:t>
      </w:r>
      <w:r w:rsidR="00BC6463">
        <w:t>come</w:t>
      </w:r>
      <w:r w:rsidR="007200F0">
        <w:t xml:space="preserve"> more reactive to</w:t>
      </w:r>
      <w:r w:rsidR="00FA0DC3">
        <w:t xml:space="preserve"> ISM PMI with increasing price movement</w:t>
      </w:r>
      <w:r w:rsidR="00934ABB">
        <w:t xml:space="preserve"> </w:t>
      </w:r>
      <w:r w:rsidR="00C1057B">
        <w:t>as the economy is falling from the peak or</w:t>
      </w:r>
      <w:r w:rsidR="00786585">
        <w:t xml:space="preserve"> </w:t>
      </w:r>
      <w:r w:rsidR="00C1057B">
        <w:t>approaching a recession</w:t>
      </w:r>
      <w:r w:rsidR="007B6C31">
        <w:t xml:space="preserve">. </w:t>
      </w:r>
    </w:p>
    <w:p w14:paraId="46900002" w14:textId="1490A46C" w:rsidR="00084E14" w:rsidRDefault="00696C75" w:rsidP="00084E14">
      <w:pPr>
        <w:pStyle w:val="Heading2"/>
      </w:pPr>
      <w:bookmarkStart w:id="10" w:name="_Toc93440487"/>
      <w:r>
        <w:t>3</w:t>
      </w:r>
      <w:r w:rsidR="00084E14">
        <w:t>.</w:t>
      </w:r>
      <w:r w:rsidR="001E08C8">
        <w:t>2</w:t>
      </w:r>
      <w:r w:rsidR="00756BCF">
        <w:t>.</w:t>
      </w:r>
      <w:r w:rsidR="00084E14">
        <w:t xml:space="preserve"> </w:t>
      </w:r>
      <w:r w:rsidR="005E6B4D">
        <w:t>Suggestions</w:t>
      </w:r>
      <w:r w:rsidR="006B2C20">
        <w:t xml:space="preserve"> &amp; Consideration</w:t>
      </w:r>
      <w:r w:rsidR="005E6B4D">
        <w:t>s</w:t>
      </w:r>
      <w:bookmarkEnd w:id="10"/>
      <w:r w:rsidR="006B2C20">
        <w:t xml:space="preserve"> </w:t>
      </w:r>
    </w:p>
    <w:p w14:paraId="395C2000" w14:textId="01155682" w:rsidR="005E6B4D" w:rsidRDefault="00A34C13" w:rsidP="00084E14">
      <w:r>
        <w:t xml:space="preserve">Days like FOMC Conference, </w:t>
      </w:r>
      <w:r w:rsidR="003511F6">
        <w:t>OPEC Meeting</w:t>
      </w:r>
      <w:r>
        <w:t xml:space="preserve">, ISM PMI Manufacturing reporting day, and Black Friday and Cyber Monday period tend to be more volatile. </w:t>
      </w:r>
      <w:r w:rsidR="005E6B4D">
        <w:t xml:space="preserve">With that, we have </w:t>
      </w:r>
      <w:r w:rsidR="0015504E">
        <w:t>3</w:t>
      </w:r>
      <w:r w:rsidR="005E6B4D">
        <w:t xml:space="preserve"> </w:t>
      </w:r>
      <w:r w:rsidR="00147E83">
        <w:t>considerations</w:t>
      </w:r>
      <w:r w:rsidR="005E6B4D">
        <w:t xml:space="preserve">. </w:t>
      </w:r>
    </w:p>
    <w:p w14:paraId="36E27CE1" w14:textId="438302EA" w:rsidR="005E6B4D" w:rsidRDefault="00147E83" w:rsidP="00147E83">
      <w:pPr>
        <w:pStyle w:val="ListParagraph"/>
        <w:numPr>
          <w:ilvl w:val="0"/>
          <w:numId w:val="4"/>
        </w:numPr>
      </w:pPr>
      <w:r>
        <w:t>T</w:t>
      </w:r>
      <w:r w:rsidR="005E6B4D">
        <w:t xml:space="preserve">raders can exit their position days before the event occurs to avoid volatile period if the </w:t>
      </w:r>
      <w:r w:rsidR="0095766F">
        <w:t xml:space="preserve">market reaction and </w:t>
      </w:r>
      <w:r w:rsidR="005E6B4D">
        <w:t xml:space="preserve">price movement </w:t>
      </w:r>
      <w:r w:rsidR="0095766F">
        <w:t xml:space="preserve">is </w:t>
      </w:r>
      <w:r w:rsidR="005E6B4D">
        <w:t>unpredictabl</w:t>
      </w:r>
      <w:r w:rsidR="0095766F">
        <w:t>e</w:t>
      </w:r>
      <w:r>
        <w:t xml:space="preserve">. </w:t>
      </w:r>
    </w:p>
    <w:p w14:paraId="2C9D7826" w14:textId="7D472A25" w:rsidR="00A34C13" w:rsidRDefault="005E6B4D" w:rsidP="00084E14">
      <w:pPr>
        <w:pStyle w:val="ListParagraph"/>
        <w:numPr>
          <w:ilvl w:val="0"/>
          <w:numId w:val="4"/>
        </w:numPr>
      </w:pPr>
      <w:r>
        <w:t xml:space="preserve">If traders were to hold their position during those period, </w:t>
      </w:r>
      <w:r w:rsidR="00147E83">
        <w:t>they may consider hedging to protect</w:t>
      </w:r>
      <w:r w:rsidR="00256031">
        <w:t xml:space="preserve"> </w:t>
      </w:r>
      <w:r w:rsidR="00147E83">
        <w:t>profits or mitigate losses</w:t>
      </w:r>
      <w:r w:rsidR="009C43DD">
        <w:t xml:space="preserve"> until the dust is settled. </w:t>
      </w:r>
    </w:p>
    <w:p w14:paraId="54D0DF17" w14:textId="0AD63897" w:rsidR="0015504E" w:rsidRDefault="0015504E" w:rsidP="00084E14">
      <w:pPr>
        <w:pStyle w:val="ListParagraph"/>
        <w:numPr>
          <w:ilvl w:val="0"/>
          <w:numId w:val="4"/>
        </w:numPr>
      </w:pPr>
      <w:r>
        <w:t xml:space="preserve">Volatile days can be a profitable also if traders aren’t trading the direction but price movement. Meaning prices can </w:t>
      </w:r>
      <w:r w:rsidR="00886236">
        <w:t xml:space="preserve">either </w:t>
      </w:r>
      <w:r>
        <w:t xml:space="preserve">move </w:t>
      </w:r>
      <w:r w:rsidR="003B4B32">
        <w:t xml:space="preserve">up or down </w:t>
      </w:r>
      <w:r>
        <w:t>as long as the movemen</w:t>
      </w:r>
      <w:r w:rsidR="006A55E5">
        <w:t xml:space="preserve">t </w:t>
      </w:r>
      <w:r>
        <w:t xml:space="preserve">is large enough to </w:t>
      </w:r>
      <w:r w:rsidR="009440F3">
        <w:t xml:space="preserve">secure </w:t>
      </w:r>
      <w:r>
        <w:t>a</w:t>
      </w:r>
      <w:r w:rsidR="00850079">
        <w:t>n attractive</w:t>
      </w:r>
      <w:r>
        <w:t xml:space="preserve"> profit. </w:t>
      </w:r>
      <w:r w:rsidR="00857087">
        <w:t>However, if the movement i</w:t>
      </w:r>
      <w:r w:rsidR="0046670B">
        <w:t>s</w:t>
      </w:r>
      <w:r w:rsidR="006A55E5">
        <w:t xml:space="preserve"> </w:t>
      </w:r>
      <w:r w:rsidR="007A3D1E">
        <w:t>small</w:t>
      </w:r>
      <w:r w:rsidR="00857087">
        <w:t xml:space="preserve">, trades might </w:t>
      </w:r>
      <w:r w:rsidR="0052505A">
        <w:t xml:space="preserve">suffer </w:t>
      </w:r>
      <w:r w:rsidR="00857087">
        <w:t>loss</w:t>
      </w:r>
      <w:r w:rsidR="001A0C0D">
        <w:t>es</w:t>
      </w:r>
      <w:r w:rsidR="00494C07">
        <w:t xml:space="preserve"> </w:t>
      </w:r>
      <w:r w:rsidR="001063CD">
        <w:t>due to</w:t>
      </w:r>
      <w:r w:rsidR="00B035EC">
        <w:t xml:space="preserve"> </w:t>
      </w:r>
      <w:r w:rsidR="001063CD">
        <w:t>example</w:t>
      </w:r>
      <w:r w:rsidR="00DF4E39">
        <w:t xml:space="preserve"> </w:t>
      </w:r>
      <w:r w:rsidR="001063CD">
        <w:t xml:space="preserve">like </w:t>
      </w:r>
      <w:r w:rsidR="00727A7B">
        <w:t>tim</w:t>
      </w:r>
      <w:r w:rsidR="001558F6">
        <w:t xml:space="preserve">e </w:t>
      </w:r>
      <w:r w:rsidR="00727A7B">
        <w:t xml:space="preserve">decay </w:t>
      </w:r>
      <w:r w:rsidR="00494C07">
        <w:t xml:space="preserve">if it’s an option trade. </w:t>
      </w:r>
    </w:p>
    <w:p w14:paraId="7BFA4ACB" w14:textId="41322348" w:rsidR="00D26537" w:rsidRDefault="00D26537" w:rsidP="00D26537">
      <w:pPr>
        <w:pStyle w:val="Heading2"/>
      </w:pPr>
      <w:bookmarkStart w:id="11" w:name="_Toc93440488"/>
      <w:r>
        <w:t>3.</w:t>
      </w:r>
      <w:r>
        <w:t>3</w:t>
      </w:r>
      <w:r>
        <w:t xml:space="preserve">. </w:t>
      </w:r>
      <w:r w:rsidR="00A32271">
        <w:t>M</w:t>
      </w:r>
      <w:r>
        <w:t>oving Forward</w:t>
      </w:r>
      <w:bookmarkEnd w:id="11"/>
      <w:r>
        <w:t xml:space="preserve"> </w:t>
      </w:r>
    </w:p>
    <w:p w14:paraId="11D38DF9" w14:textId="4992C437" w:rsidR="00D26537" w:rsidRDefault="00DE78F0" w:rsidP="00084E14">
      <w:r>
        <w:t>W</w:t>
      </w:r>
      <w:r w:rsidR="00020153">
        <w:t xml:space="preserve">e look forward to analyse the hourly price movement for specific variables / factors mentioned above. </w:t>
      </w:r>
      <w:r w:rsidR="00997A49">
        <w:t>As mentioned, certain events may cause significant price movement within hours, but retract after</w:t>
      </w:r>
      <w:r w:rsidR="00EA3B5B">
        <w:t xml:space="preserve"> </w:t>
      </w:r>
      <w:r w:rsidR="00997A49">
        <w:t>the market</w:t>
      </w:r>
      <w:r w:rsidR="004F156F">
        <w:t xml:space="preserve"> </w:t>
      </w:r>
      <w:r w:rsidR="00997A49">
        <w:t xml:space="preserve">has cooled down. </w:t>
      </w:r>
      <w:r w:rsidR="00A93039">
        <w:t xml:space="preserve">If the </w:t>
      </w:r>
      <w:r w:rsidR="00A93039">
        <w:t xml:space="preserve">result does present </w:t>
      </w:r>
      <w:r w:rsidR="003E7983">
        <w:t xml:space="preserve">a </w:t>
      </w:r>
      <w:r w:rsidR="00A93039">
        <w:t>significant movement, it might offer an</w:t>
      </w:r>
      <w:r w:rsidR="00186C61">
        <w:t xml:space="preserve"> </w:t>
      </w:r>
      <w:r w:rsidR="00A93039">
        <w:t xml:space="preserve">opportunity </w:t>
      </w:r>
      <w:r w:rsidR="00186C61">
        <w:t xml:space="preserve">to </w:t>
      </w:r>
      <w:r w:rsidR="00A93039">
        <w:t>trade the volatility</w:t>
      </w:r>
      <w:r w:rsidR="00186C61">
        <w:t xml:space="preserve"> depending on the</w:t>
      </w:r>
      <w:r w:rsidR="008061A5">
        <w:t xml:space="preserve"> </w:t>
      </w:r>
      <w:r w:rsidR="00186C61">
        <w:t xml:space="preserve">context </w:t>
      </w:r>
      <w:r w:rsidR="008061A5">
        <w:t>for</w:t>
      </w:r>
      <w:r w:rsidR="00186C61">
        <w:t xml:space="preserve"> that day</w:t>
      </w:r>
      <w:r w:rsidR="00A93039">
        <w:t xml:space="preserve">. </w:t>
      </w:r>
    </w:p>
    <w:p w14:paraId="35E682B9" w14:textId="4D6B545E" w:rsidR="00DE707C" w:rsidRDefault="00DE707C" w:rsidP="004F0DE5">
      <w:r>
        <w:t xml:space="preserve">To measure the </w:t>
      </w:r>
      <w:r w:rsidR="004A71F5">
        <w:t xml:space="preserve">hourly </w:t>
      </w:r>
      <w:r>
        <w:t>movement</w:t>
      </w:r>
      <w:r w:rsidR="00681B30">
        <w:t xml:space="preserve">, </w:t>
      </w:r>
      <w:r>
        <w:t xml:space="preserve">we </w:t>
      </w:r>
      <w:r w:rsidR="004A71F5">
        <w:t>need to get our hand on hourly market data and compare the movement over</w:t>
      </w:r>
      <w:r w:rsidR="00212F13">
        <w:t xml:space="preserve"> </w:t>
      </w:r>
      <w:r w:rsidR="004A71F5">
        <w:t xml:space="preserve">multiple years, period, or economic cycle. </w:t>
      </w:r>
      <w:r w:rsidR="008D0CD1">
        <w:t>After identifying the period and average price movement, we can then find</w:t>
      </w:r>
      <w:r w:rsidR="004947FD">
        <w:t xml:space="preserve"> </w:t>
      </w:r>
      <w:r w:rsidR="008D0CD1">
        <w:t xml:space="preserve">out the context to construct the narrative and reasoning. </w:t>
      </w:r>
    </w:p>
    <w:p w14:paraId="54EEB343" w14:textId="60EF3015" w:rsidR="00084E14" w:rsidRDefault="005C3DC1" w:rsidP="006A66A0">
      <w:pPr>
        <w:pStyle w:val="Heading1"/>
      </w:pPr>
      <w:bookmarkStart w:id="12" w:name="_Toc93440489"/>
      <w:r>
        <w:t xml:space="preserve">4. </w:t>
      </w:r>
      <w:r w:rsidR="007928D1">
        <w:t>References</w:t>
      </w:r>
      <w:bookmarkEnd w:id="12"/>
    </w:p>
    <w:p w14:paraId="645FE33C" w14:textId="5B545B30" w:rsidR="00084E14" w:rsidRPr="00B01366" w:rsidRDefault="00084E14" w:rsidP="00B01366">
      <w:pPr>
        <w:pStyle w:val="Reference"/>
      </w:pPr>
      <w:r w:rsidRPr="00B01366">
        <w:t xml:space="preserve">[1] </w:t>
      </w:r>
      <w:r w:rsidRPr="00B01366">
        <w:tab/>
        <w:t xml:space="preserve">B. Moghaddam, C. </w:t>
      </w:r>
      <w:proofErr w:type="spellStart"/>
      <w:r w:rsidRPr="00B01366">
        <w:t>Nastar</w:t>
      </w:r>
      <w:proofErr w:type="spellEnd"/>
      <w:r w:rsidRPr="00B01366">
        <w:t xml:space="preserve"> and A. Pentland, “A Bayesian similarity measure for deformable image matching,” Image and Vision Computing, vol. 19, no. 5, pp. 235-244, 2001.</w:t>
      </w:r>
    </w:p>
    <w:p w14:paraId="41FDE7EE" w14:textId="36F72A83" w:rsidR="00084E14" w:rsidRPr="00B01366" w:rsidRDefault="00084E14" w:rsidP="00B01366">
      <w:pPr>
        <w:pStyle w:val="Reference"/>
      </w:pPr>
      <w:r w:rsidRPr="00B01366">
        <w:t xml:space="preserve">[2] </w:t>
      </w:r>
      <w:r w:rsidRPr="00B01366">
        <w:tab/>
        <w:t>B. Shan, “A Novel Image Correlation Matching Approach,” JMM, vol. 5, no. 3, 2010.</w:t>
      </w:r>
    </w:p>
    <w:p w14:paraId="778EAC39" w14:textId="2B95D13A" w:rsidR="00673AF6" w:rsidRPr="00B01366" w:rsidRDefault="00673AF6" w:rsidP="00B01366">
      <w:pPr>
        <w:pStyle w:val="Reference"/>
      </w:pPr>
      <w:r w:rsidRPr="00B01366">
        <w:t xml:space="preserve">[3] </w:t>
      </w:r>
      <w:r w:rsidR="00B93833" w:rsidRPr="00B01366">
        <w:tab/>
      </w:r>
      <w:r w:rsidRPr="00B01366">
        <w:t xml:space="preserve">David G Lowe, “Distinctive Image Features from Scale-Invariant </w:t>
      </w:r>
      <w:proofErr w:type="spellStart"/>
      <w:r w:rsidRPr="00B01366">
        <w:t>Keypoints</w:t>
      </w:r>
      <w:proofErr w:type="spellEnd"/>
      <w:r w:rsidRPr="00B01366">
        <w:t>,” International Journal of Computer Vision, vol.50, No. 2, 2004, pp.91-110.</w:t>
      </w:r>
    </w:p>
    <w:p w14:paraId="37720483" w14:textId="2D88615B" w:rsidR="00673AF6" w:rsidRPr="00B01366" w:rsidRDefault="00673AF6" w:rsidP="00B01366">
      <w:pPr>
        <w:pStyle w:val="Reference"/>
      </w:pPr>
      <w:r w:rsidRPr="00B01366">
        <w:t xml:space="preserve">[4] </w:t>
      </w:r>
      <w:r w:rsidR="00B93833" w:rsidRPr="00B01366">
        <w:tab/>
      </w:r>
      <w:r w:rsidRPr="00B01366">
        <w:t xml:space="preserve">E. </w:t>
      </w:r>
      <w:proofErr w:type="spellStart"/>
      <w:r w:rsidRPr="00B01366">
        <w:t>Karami</w:t>
      </w:r>
      <w:proofErr w:type="spellEnd"/>
      <w:r w:rsidRPr="00B01366">
        <w:t xml:space="preserve">, M. Shehata, A. Smith, “Image Identification Using SIFT Algorithm: Performance Analysis Against Different Image Deformations,” in Proceedings of the 2015 Newfoundland Electrical and Computer Engineering </w:t>
      </w:r>
      <w:proofErr w:type="spellStart"/>
      <w:r w:rsidRPr="00B01366">
        <w:t>Conference,St</w:t>
      </w:r>
      <w:proofErr w:type="spellEnd"/>
      <w:r w:rsidRPr="00B01366">
        <w:t>. john’s, Canada, November, 2015.</w:t>
      </w:r>
    </w:p>
    <w:p w14:paraId="4326B363" w14:textId="640BBE3E" w:rsidR="00673AF6" w:rsidRPr="00B01366" w:rsidRDefault="00673AF6" w:rsidP="00B01366">
      <w:pPr>
        <w:pStyle w:val="Reference"/>
      </w:pPr>
      <w:r w:rsidRPr="00B01366">
        <w:t xml:space="preserve">[5] </w:t>
      </w:r>
      <w:r w:rsidR="00B93833" w:rsidRPr="00B01366">
        <w:tab/>
      </w:r>
      <w:r w:rsidRPr="00B01366">
        <w:t xml:space="preserve">M. </w:t>
      </w:r>
      <w:proofErr w:type="spellStart"/>
      <w:r w:rsidRPr="00B01366">
        <w:t>Gu</w:t>
      </w:r>
      <w:r w:rsidRPr="00B01366">
        <w:rPr>
          <w:rFonts w:ascii="Times New Roman" w:hAnsi="Times New Roman" w:cs="Times New Roman"/>
        </w:rPr>
        <w:t>̈</w:t>
      </w:r>
      <w:r w:rsidRPr="00B01366">
        <w:t>zel</w:t>
      </w:r>
      <w:proofErr w:type="spellEnd"/>
      <w:r w:rsidRPr="00B01366">
        <w:t>, 'A Hybrid Feature Extractor using Fast Hessian Detector and SIFT', Technologies, vol. 3, no. 2, pp. 103-110, 2015.</w:t>
      </w:r>
    </w:p>
    <w:sectPr w:rsidR="00673AF6" w:rsidRPr="00B01366" w:rsidSect="00C61E3C">
      <w:type w:val="continuous"/>
      <w:pgSz w:w="11900" w:h="16840"/>
      <w:pgMar w:top="1440" w:right="947" w:bottom="1440" w:left="1009" w:header="708" w:footer="708" w:gutter="0"/>
      <w:cols w:num="2" w:space="33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7F926" w14:textId="77777777" w:rsidR="00F72F12" w:rsidRDefault="00F72F12" w:rsidP="006B3EC8">
      <w:pPr>
        <w:spacing w:after="0" w:line="240" w:lineRule="auto"/>
      </w:pPr>
      <w:r>
        <w:separator/>
      </w:r>
    </w:p>
    <w:p w14:paraId="6DBE1253" w14:textId="77777777" w:rsidR="00F72F12" w:rsidRDefault="00F72F12"/>
  </w:endnote>
  <w:endnote w:type="continuationSeparator" w:id="0">
    <w:p w14:paraId="23845D92" w14:textId="77777777" w:rsidR="00F72F12" w:rsidRDefault="00F72F12" w:rsidP="006B3EC8">
      <w:pPr>
        <w:spacing w:after="0" w:line="240" w:lineRule="auto"/>
      </w:pPr>
      <w:r>
        <w:continuationSeparator/>
      </w:r>
    </w:p>
    <w:p w14:paraId="28066070" w14:textId="77777777" w:rsidR="00F72F12" w:rsidRDefault="00F72F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5115252"/>
      <w:docPartObj>
        <w:docPartGallery w:val="Page Numbers (Bottom of Page)"/>
        <w:docPartUnique/>
      </w:docPartObj>
    </w:sdtPr>
    <w:sdtEndPr>
      <w:rPr>
        <w:rStyle w:val="PageNumber"/>
      </w:rPr>
    </w:sdtEndPr>
    <w:sdtContent>
      <w:p w14:paraId="4FDCA3A8" w14:textId="51A3A620" w:rsidR="00C76363" w:rsidRDefault="00C76363" w:rsidP="00C763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69228109"/>
      <w:docPartObj>
        <w:docPartGallery w:val="Page Numbers (Bottom of Page)"/>
        <w:docPartUnique/>
      </w:docPartObj>
    </w:sdtPr>
    <w:sdtEndPr>
      <w:rPr>
        <w:rStyle w:val="PageNumber"/>
      </w:rPr>
    </w:sdtEndPr>
    <w:sdtContent>
      <w:p w14:paraId="05879300" w14:textId="6DB4C713" w:rsidR="00C76363" w:rsidRDefault="00C76363" w:rsidP="00C76363">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32003288"/>
      <w:docPartObj>
        <w:docPartGallery w:val="Page Numbers (Bottom of Page)"/>
        <w:docPartUnique/>
      </w:docPartObj>
    </w:sdtPr>
    <w:sdtEndPr>
      <w:rPr>
        <w:rStyle w:val="PageNumber"/>
      </w:rPr>
    </w:sdtEndPr>
    <w:sdtContent>
      <w:p w14:paraId="69AB3AFE" w14:textId="36D02532" w:rsidR="00C76363" w:rsidRDefault="00C76363" w:rsidP="006B3EC8">
        <w:pPr>
          <w:pStyle w:val="Footer"/>
          <w:framePr w:wrap="none" w:vAnchor="text" w:hAnchor="margin" w:xAlign="right"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501EB9" w14:textId="77777777" w:rsidR="00C76363" w:rsidRDefault="00C76363" w:rsidP="006B3E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3055441"/>
      <w:docPartObj>
        <w:docPartGallery w:val="Page Numbers (Bottom of Page)"/>
        <w:docPartUnique/>
      </w:docPartObj>
    </w:sdtPr>
    <w:sdtEndPr>
      <w:rPr>
        <w:rStyle w:val="PageNumber"/>
      </w:rPr>
    </w:sdtEndPr>
    <w:sdtContent>
      <w:p w14:paraId="28BEB19E" w14:textId="0636B1F9" w:rsidR="00C76363" w:rsidRDefault="00C76363" w:rsidP="006B3EC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F1EC01" w14:textId="11A844EC" w:rsidR="00C76363" w:rsidRDefault="00C76363" w:rsidP="006B3EC8">
    <w:pPr>
      <w:pStyle w:val="Footer"/>
      <w:ind w:right="360"/>
    </w:pPr>
    <w:r>
      <w:fldChar w:fldCharType="begin"/>
    </w:r>
    <w:r>
      <w:instrText xml:space="preserve"> TITLE  \* MERGEFORMAT </w:instrText>
    </w:r>
    <w:r>
      <w:fldChar w:fldCharType="end"/>
    </w:r>
    <w:r>
      <w:fldChar w:fldCharType="begin"/>
    </w:r>
    <w:r>
      <w:instrText xml:space="preserve"> SUBJECT  \* MERGEFORMAT </w:instrText>
    </w:r>
    <w:r>
      <w:fldChar w:fldCharType="end"/>
    </w:r>
    <w:r>
      <w:fldChar w:fldCharType="begin"/>
    </w:r>
    <w:r>
      <w:instrText xml:space="preserve"> TITLE  \* MERGEFORMAT </w:instrText>
    </w:r>
    <w:r>
      <w:fldChar w:fldCharType="end"/>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7CCD6" w14:textId="77777777" w:rsidR="00F72F12" w:rsidRDefault="00F72F12" w:rsidP="006B3EC8">
      <w:pPr>
        <w:spacing w:after="0" w:line="240" w:lineRule="auto"/>
      </w:pPr>
      <w:r>
        <w:separator/>
      </w:r>
    </w:p>
    <w:p w14:paraId="3719D275" w14:textId="77777777" w:rsidR="00F72F12" w:rsidRDefault="00F72F12"/>
  </w:footnote>
  <w:footnote w:type="continuationSeparator" w:id="0">
    <w:p w14:paraId="79053D61" w14:textId="77777777" w:rsidR="00F72F12" w:rsidRDefault="00F72F12" w:rsidP="006B3EC8">
      <w:pPr>
        <w:spacing w:after="0" w:line="240" w:lineRule="auto"/>
      </w:pPr>
      <w:r>
        <w:continuationSeparator/>
      </w:r>
    </w:p>
    <w:p w14:paraId="5910A9BF" w14:textId="77777777" w:rsidR="00F72F12" w:rsidRDefault="00F72F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77003"/>
    <w:multiLevelType w:val="hybridMultilevel"/>
    <w:tmpl w:val="E88CD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E40CB"/>
    <w:multiLevelType w:val="hybridMultilevel"/>
    <w:tmpl w:val="5DEC9A40"/>
    <w:lvl w:ilvl="0" w:tplc="26A28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4392F"/>
    <w:multiLevelType w:val="hybridMultilevel"/>
    <w:tmpl w:val="0C64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D923A7"/>
    <w:multiLevelType w:val="hybridMultilevel"/>
    <w:tmpl w:val="4630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3F"/>
    <w:rsid w:val="000045E4"/>
    <w:rsid w:val="00011719"/>
    <w:rsid w:val="00020153"/>
    <w:rsid w:val="0002465A"/>
    <w:rsid w:val="000265A4"/>
    <w:rsid w:val="00036FC6"/>
    <w:rsid w:val="00060841"/>
    <w:rsid w:val="0007087F"/>
    <w:rsid w:val="00076B12"/>
    <w:rsid w:val="00083A73"/>
    <w:rsid w:val="00083C9F"/>
    <w:rsid w:val="00084E14"/>
    <w:rsid w:val="000918FF"/>
    <w:rsid w:val="000B3602"/>
    <w:rsid w:val="000C523A"/>
    <w:rsid w:val="000C6762"/>
    <w:rsid w:val="000C6B0F"/>
    <w:rsid w:val="000E0BA7"/>
    <w:rsid w:val="000E50C6"/>
    <w:rsid w:val="001063CD"/>
    <w:rsid w:val="00113D7A"/>
    <w:rsid w:val="00113E45"/>
    <w:rsid w:val="00116216"/>
    <w:rsid w:val="00127611"/>
    <w:rsid w:val="00131936"/>
    <w:rsid w:val="00147E83"/>
    <w:rsid w:val="0015504E"/>
    <w:rsid w:val="001558F6"/>
    <w:rsid w:val="00157093"/>
    <w:rsid w:val="00162005"/>
    <w:rsid w:val="001659C6"/>
    <w:rsid w:val="001801B1"/>
    <w:rsid w:val="001866FE"/>
    <w:rsid w:val="00186C61"/>
    <w:rsid w:val="00186E69"/>
    <w:rsid w:val="00196924"/>
    <w:rsid w:val="001A0C0D"/>
    <w:rsid w:val="001B51F5"/>
    <w:rsid w:val="001B545C"/>
    <w:rsid w:val="001C5195"/>
    <w:rsid w:val="001E08C8"/>
    <w:rsid w:val="001E1A55"/>
    <w:rsid w:val="001E60E3"/>
    <w:rsid w:val="001F326D"/>
    <w:rsid w:val="001F520E"/>
    <w:rsid w:val="001F7307"/>
    <w:rsid w:val="0020647D"/>
    <w:rsid w:val="00212F13"/>
    <w:rsid w:val="00236BEA"/>
    <w:rsid w:val="00245D16"/>
    <w:rsid w:val="002533F1"/>
    <w:rsid w:val="00256031"/>
    <w:rsid w:val="00261B72"/>
    <w:rsid w:val="00265CF5"/>
    <w:rsid w:val="00286BE1"/>
    <w:rsid w:val="00290A2D"/>
    <w:rsid w:val="00293A3E"/>
    <w:rsid w:val="00295E03"/>
    <w:rsid w:val="002A2A92"/>
    <w:rsid w:val="002A4045"/>
    <w:rsid w:val="002B2103"/>
    <w:rsid w:val="002B7191"/>
    <w:rsid w:val="002D06B2"/>
    <w:rsid w:val="002D6B6B"/>
    <w:rsid w:val="002E1121"/>
    <w:rsid w:val="002F6BC4"/>
    <w:rsid w:val="00301FB4"/>
    <w:rsid w:val="003051C7"/>
    <w:rsid w:val="00323E1F"/>
    <w:rsid w:val="003301E0"/>
    <w:rsid w:val="00331894"/>
    <w:rsid w:val="00334C3E"/>
    <w:rsid w:val="0034594C"/>
    <w:rsid w:val="003511F6"/>
    <w:rsid w:val="0035330F"/>
    <w:rsid w:val="00354F01"/>
    <w:rsid w:val="003766AB"/>
    <w:rsid w:val="00391D75"/>
    <w:rsid w:val="00393626"/>
    <w:rsid w:val="00394BF9"/>
    <w:rsid w:val="00396E48"/>
    <w:rsid w:val="003A157D"/>
    <w:rsid w:val="003B2B7D"/>
    <w:rsid w:val="003B2EA9"/>
    <w:rsid w:val="003B4B32"/>
    <w:rsid w:val="003C1AA9"/>
    <w:rsid w:val="003C2837"/>
    <w:rsid w:val="003C75EF"/>
    <w:rsid w:val="003D69B9"/>
    <w:rsid w:val="003E7983"/>
    <w:rsid w:val="003F759A"/>
    <w:rsid w:val="004244AA"/>
    <w:rsid w:val="004246D2"/>
    <w:rsid w:val="00446BDF"/>
    <w:rsid w:val="00456210"/>
    <w:rsid w:val="0046072A"/>
    <w:rsid w:val="0046670B"/>
    <w:rsid w:val="00483EB2"/>
    <w:rsid w:val="004860AD"/>
    <w:rsid w:val="00491DA0"/>
    <w:rsid w:val="00492488"/>
    <w:rsid w:val="004947FD"/>
    <w:rsid w:val="00494C07"/>
    <w:rsid w:val="00495716"/>
    <w:rsid w:val="00496113"/>
    <w:rsid w:val="004A4D69"/>
    <w:rsid w:val="004A5CAB"/>
    <w:rsid w:val="004A71F5"/>
    <w:rsid w:val="004A7C19"/>
    <w:rsid w:val="004B08F5"/>
    <w:rsid w:val="004C099B"/>
    <w:rsid w:val="004D37D0"/>
    <w:rsid w:val="004F0DE5"/>
    <w:rsid w:val="004F156F"/>
    <w:rsid w:val="0050790F"/>
    <w:rsid w:val="00520575"/>
    <w:rsid w:val="0052351B"/>
    <w:rsid w:val="0052505A"/>
    <w:rsid w:val="005448BE"/>
    <w:rsid w:val="00544E61"/>
    <w:rsid w:val="00551E55"/>
    <w:rsid w:val="0056024C"/>
    <w:rsid w:val="0056075D"/>
    <w:rsid w:val="005628C4"/>
    <w:rsid w:val="00563F36"/>
    <w:rsid w:val="0057216C"/>
    <w:rsid w:val="0057561D"/>
    <w:rsid w:val="0059629A"/>
    <w:rsid w:val="005A4CAE"/>
    <w:rsid w:val="005A4F97"/>
    <w:rsid w:val="005A5D3A"/>
    <w:rsid w:val="005B395A"/>
    <w:rsid w:val="005C387E"/>
    <w:rsid w:val="005C3DC1"/>
    <w:rsid w:val="005D4930"/>
    <w:rsid w:val="005D5FAD"/>
    <w:rsid w:val="005D6300"/>
    <w:rsid w:val="005E1C3E"/>
    <w:rsid w:val="005E2AF0"/>
    <w:rsid w:val="005E5A29"/>
    <w:rsid w:val="005E6B4D"/>
    <w:rsid w:val="005F34DC"/>
    <w:rsid w:val="005F5163"/>
    <w:rsid w:val="006074F4"/>
    <w:rsid w:val="006310A7"/>
    <w:rsid w:val="006473C9"/>
    <w:rsid w:val="00651B03"/>
    <w:rsid w:val="00657B2E"/>
    <w:rsid w:val="00666216"/>
    <w:rsid w:val="00673AF6"/>
    <w:rsid w:val="00681B30"/>
    <w:rsid w:val="00686C1C"/>
    <w:rsid w:val="00692B73"/>
    <w:rsid w:val="00696C75"/>
    <w:rsid w:val="006A03C4"/>
    <w:rsid w:val="006A54B9"/>
    <w:rsid w:val="006A55E5"/>
    <w:rsid w:val="006A66A0"/>
    <w:rsid w:val="006B1C1B"/>
    <w:rsid w:val="006B2C20"/>
    <w:rsid w:val="006B3EC8"/>
    <w:rsid w:val="006C37E6"/>
    <w:rsid w:val="006C4671"/>
    <w:rsid w:val="006C5C80"/>
    <w:rsid w:val="006D67D2"/>
    <w:rsid w:val="006D6AB1"/>
    <w:rsid w:val="00705CA4"/>
    <w:rsid w:val="007200F0"/>
    <w:rsid w:val="0072249D"/>
    <w:rsid w:val="00727A7B"/>
    <w:rsid w:val="00737696"/>
    <w:rsid w:val="00741DB4"/>
    <w:rsid w:val="00741EEE"/>
    <w:rsid w:val="00747562"/>
    <w:rsid w:val="00756BCF"/>
    <w:rsid w:val="00770C80"/>
    <w:rsid w:val="00786585"/>
    <w:rsid w:val="007928D1"/>
    <w:rsid w:val="00792C99"/>
    <w:rsid w:val="007A3D1E"/>
    <w:rsid w:val="007A4927"/>
    <w:rsid w:val="007B6C31"/>
    <w:rsid w:val="007E5EA4"/>
    <w:rsid w:val="007F67D3"/>
    <w:rsid w:val="007F6BB4"/>
    <w:rsid w:val="008061A5"/>
    <w:rsid w:val="0081092B"/>
    <w:rsid w:val="008151E9"/>
    <w:rsid w:val="0081597A"/>
    <w:rsid w:val="00831035"/>
    <w:rsid w:val="00832BD8"/>
    <w:rsid w:val="00835BA7"/>
    <w:rsid w:val="008377EB"/>
    <w:rsid w:val="00850079"/>
    <w:rsid w:val="00857087"/>
    <w:rsid w:val="00863866"/>
    <w:rsid w:val="0087001B"/>
    <w:rsid w:val="00876B36"/>
    <w:rsid w:val="00886236"/>
    <w:rsid w:val="00887D8A"/>
    <w:rsid w:val="008A0F80"/>
    <w:rsid w:val="008A326A"/>
    <w:rsid w:val="008A49B6"/>
    <w:rsid w:val="008B4570"/>
    <w:rsid w:val="008C02D4"/>
    <w:rsid w:val="008D0CD1"/>
    <w:rsid w:val="008D5E79"/>
    <w:rsid w:val="008E7540"/>
    <w:rsid w:val="008F3F73"/>
    <w:rsid w:val="00902E45"/>
    <w:rsid w:val="00905F88"/>
    <w:rsid w:val="009101E7"/>
    <w:rsid w:val="0091201D"/>
    <w:rsid w:val="009228FA"/>
    <w:rsid w:val="00930472"/>
    <w:rsid w:val="0093189D"/>
    <w:rsid w:val="00934ABB"/>
    <w:rsid w:val="00934E8A"/>
    <w:rsid w:val="00937D24"/>
    <w:rsid w:val="0094003B"/>
    <w:rsid w:val="009440F3"/>
    <w:rsid w:val="0095398E"/>
    <w:rsid w:val="0095766F"/>
    <w:rsid w:val="009905AE"/>
    <w:rsid w:val="00997A49"/>
    <w:rsid w:val="009A5A3D"/>
    <w:rsid w:val="009A5C7E"/>
    <w:rsid w:val="009B73DD"/>
    <w:rsid w:val="009C43DD"/>
    <w:rsid w:val="009D38F8"/>
    <w:rsid w:val="009D6469"/>
    <w:rsid w:val="009E4D70"/>
    <w:rsid w:val="009E5604"/>
    <w:rsid w:val="009F2590"/>
    <w:rsid w:val="009F4162"/>
    <w:rsid w:val="00A03333"/>
    <w:rsid w:val="00A07F11"/>
    <w:rsid w:val="00A235DB"/>
    <w:rsid w:val="00A23661"/>
    <w:rsid w:val="00A23953"/>
    <w:rsid w:val="00A32271"/>
    <w:rsid w:val="00A34C13"/>
    <w:rsid w:val="00A36795"/>
    <w:rsid w:val="00A4300B"/>
    <w:rsid w:val="00A45007"/>
    <w:rsid w:val="00A4714C"/>
    <w:rsid w:val="00A50839"/>
    <w:rsid w:val="00A6205D"/>
    <w:rsid w:val="00A73105"/>
    <w:rsid w:val="00A73828"/>
    <w:rsid w:val="00A760E6"/>
    <w:rsid w:val="00A7665A"/>
    <w:rsid w:val="00A86C09"/>
    <w:rsid w:val="00A93039"/>
    <w:rsid w:val="00AA76F6"/>
    <w:rsid w:val="00AC42ED"/>
    <w:rsid w:val="00AD15F3"/>
    <w:rsid w:val="00AD57B7"/>
    <w:rsid w:val="00AD5E02"/>
    <w:rsid w:val="00AE086A"/>
    <w:rsid w:val="00AE22CB"/>
    <w:rsid w:val="00AF085D"/>
    <w:rsid w:val="00B00F73"/>
    <w:rsid w:val="00B01366"/>
    <w:rsid w:val="00B035EC"/>
    <w:rsid w:val="00B24139"/>
    <w:rsid w:val="00B346AC"/>
    <w:rsid w:val="00B422B4"/>
    <w:rsid w:val="00B56919"/>
    <w:rsid w:val="00B75CBC"/>
    <w:rsid w:val="00B75D35"/>
    <w:rsid w:val="00B8222E"/>
    <w:rsid w:val="00B87E6B"/>
    <w:rsid w:val="00B93833"/>
    <w:rsid w:val="00B95713"/>
    <w:rsid w:val="00BB2C3B"/>
    <w:rsid w:val="00BC1AB4"/>
    <w:rsid w:val="00BC6463"/>
    <w:rsid w:val="00BD6356"/>
    <w:rsid w:val="00BE36F0"/>
    <w:rsid w:val="00C00184"/>
    <w:rsid w:val="00C07EC7"/>
    <w:rsid w:val="00C1057B"/>
    <w:rsid w:val="00C10C3F"/>
    <w:rsid w:val="00C30208"/>
    <w:rsid w:val="00C36ABB"/>
    <w:rsid w:val="00C53165"/>
    <w:rsid w:val="00C5478F"/>
    <w:rsid w:val="00C61E3C"/>
    <w:rsid w:val="00C6323F"/>
    <w:rsid w:val="00C6473A"/>
    <w:rsid w:val="00C7114B"/>
    <w:rsid w:val="00C76363"/>
    <w:rsid w:val="00C80527"/>
    <w:rsid w:val="00C849F4"/>
    <w:rsid w:val="00C8727C"/>
    <w:rsid w:val="00C9331B"/>
    <w:rsid w:val="00CA28C2"/>
    <w:rsid w:val="00CB1E7A"/>
    <w:rsid w:val="00CB6B8F"/>
    <w:rsid w:val="00CC12D9"/>
    <w:rsid w:val="00CC1C88"/>
    <w:rsid w:val="00CC5F01"/>
    <w:rsid w:val="00CD6F82"/>
    <w:rsid w:val="00CF302D"/>
    <w:rsid w:val="00D01632"/>
    <w:rsid w:val="00D048B8"/>
    <w:rsid w:val="00D07E21"/>
    <w:rsid w:val="00D1200A"/>
    <w:rsid w:val="00D12497"/>
    <w:rsid w:val="00D14ED1"/>
    <w:rsid w:val="00D177D1"/>
    <w:rsid w:val="00D242D7"/>
    <w:rsid w:val="00D25B06"/>
    <w:rsid w:val="00D26537"/>
    <w:rsid w:val="00D536A8"/>
    <w:rsid w:val="00D613FA"/>
    <w:rsid w:val="00D65FFE"/>
    <w:rsid w:val="00D7166B"/>
    <w:rsid w:val="00D71A58"/>
    <w:rsid w:val="00D9508A"/>
    <w:rsid w:val="00DA3A74"/>
    <w:rsid w:val="00DA3AB9"/>
    <w:rsid w:val="00DC18B3"/>
    <w:rsid w:val="00DC2277"/>
    <w:rsid w:val="00DC487A"/>
    <w:rsid w:val="00DD0267"/>
    <w:rsid w:val="00DD4065"/>
    <w:rsid w:val="00DD59EA"/>
    <w:rsid w:val="00DE07B1"/>
    <w:rsid w:val="00DE6B54"/>
    <w:rsid w:val="00DE707C"/>
    <w:rsid w:val="00DE78F0"/>
    <w:rsid w:val="00DF2A67"/>
    <w:rsid w:val="00DF4E39"/>
    <w:rsid w:val="00E00717"/>
    <w:rsid w:val="00E11FF8"/>
    <w:rsid w:val="00E12B89"/>
    <w:rsid w:val="00E13F78"/>
    <w:rsid w:val="00E22FF7"/>
    <w:rsid w:val="00E40A0D"/>
    <w:rsid w:val="00E567E0"/>
    <w:rsid w:val="00E62072"/>
    <w:rsid w:val="00E64CDE"/>
    <w:rsid w:val="00E727A0"/>
    <w:rsid w:val="00E75B7E"/>
    <w:rsid w:val="00E76948"/>
    <w:rsid w:val="00E96E04"/>
    <w:rsid w:val="00EA3B5B"/>
    <w:rsid w:val="00EA45E8"/>
    <w:rsid w:val="00EA7151"/>
    <w:rsid w:val="00EB41B7"/>
    <w:rsid w:val="00EB71BC"/>
    <w:rsid w:val="00ED1624"/>
    <w:rsid w:val="00ED5F45"/>
    <w:rsid w:val="00EE4149"/>
    <w:rsid w:val="00EE471C"/>
    <w:rsid w:val="00F001D2"/>
    <w:rsid w:val="00F0055A"/>
    <w:rsid w:val="00F22AAC"/>
    <w:rsid w:val="00F508E1"/>
    <w:rsid w:val="00F5128E"/>
    <w:rsid w:val="00F60235"/>
    <w:rsid w:val="00F63C72"/>
    <w:rsid w:val="00F72F12"/>
    <w:rsid w:val="00F76543"/>
    <w:rsid w:val="00F93D92"/>
    <w:rsid w:val="00FA0DC3"/>
    <w:rsid w:val="00FA46BA"/>
    <w:rsid w:val="00FC0E08"/>
    <w:rsid w:val="00FD1738"/>
    <w:rsid w:val="00FE0F9B"/>
    <w:rsid w:val="00FE71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3B1D"/>
  <w14:defaultImageDpi w14:val="32767"/>
  <w15:chartTrackingRefBased/>
  <w15:docId w15:val="{0A594169-A961-D446-B838-4FEE4C41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6300"/>
    <w:pPr>
      <w:suppressAutoHyphens/>
      <w:spacing w:after="240" w:line="324" w:lineRule="auto"/>
      <w:jc w:val="both"/>
    </w:pPr>
    <w:rPr>
      <w:rFonts w:ascii="Book Antiqua" w:hAnsi="Book Antiqua" w:cs="Times New Roman (Body CS)"/>
      <w:spacing w:val="2"/>
      <w:sz w:val="18"/>
    </w:rPr>
  </w:style>
  <w:style w:type="paragraph" w:styleId="Heading1">
    <w:name w:val="heading 1"/>
    <w:basedOn w:val="Normal"/>
    <w:link w:val="Heading1Char"/>
    <w:autoRedefine/>
    <w:uiPriority w:val="9"/>
    <w:qFormat/>
    <w:rsid w:val="00196924"/>
    <w:pPr>
      <w:spacing w:after="120"/>
      <w:ind w:left="360"/>
      <w:jc w:val="center"/>
      <w:outlineLvl w:val="0"/>
    </w:pPr>
    <w:rPr>
      <w:b/>
      <w:caps/>
    </w:rPr>
  </w:style>
  <w:style w:type="paragraph" w:styleId="Heading2">
    <w:name w:val="heading 2"/>
    <w:basedOn w:val="Normal"/>
    <w:link w:val="Heading2Char"/>
    <w:autoRedefine/>
    <w:uiPriority w:val="9"/>
    <w:unhideWhenUsed/>
    <w:qFormat/>
    <w:rsid w:val="00C07EC7"/>
    <w:pPr>
      <w:outlineLvl w:val="1"/>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924"/>
    <w:rPr>
      <w:rFonts w:ascii="Book Antiqua" w:hAnsi="Book Antiqua" w:cs="Times New Roman (Body CS)"/>
      <w:b/>
      <w:caps/>
      <w:spacing w:val="2"/>
      <w:sz w:val="18"/>
    </w:rPr>
  </w:style>
  <w:style w:type="paragraph" w:styleId="Title">
    <w:name w:val="Title"/>
    <w:basedOn w:val="Normal"/>
    <w:link w:val="TitleChar"/>
    <w:autoRedefine/>
    <w:uiPriority w:val="10"/>
    <w:qFormat/>
    <w:rsid w:val="00A86C09"/>
    <w:pPr>
      <w:spacing w:line="240" w:lineRule="auto"/>
      <w:jc w:val="center"/>
    </w:pPr>
    <w:rPr>
      <w:rFonts w:eastAsiaTheme="majorEastAsia" w:cs="Times New Roman (Headings CS)"/>
      <w:sz w:val="40"/>
      <w:szCs w:val="32"/>
    </w:rPr>
  </w:style>
  <w:style w:type="character" w:customStyle="1" w:styleId="TitleChar">
    <w:name w:val="Title Char"/>
    <w:basedOn w:val="DefaultParagraphFont"/>
    <w:link w:val="Title"/>
    <w:uiPriority w:val="10"/>
    <w:rsid w:val="00A86C09"/>
    <w:rPr>
      <w:rFonts w:ascii="Book Antiqua" w:eastAsiaTheme="majorEastAsia" w:hAnsi="Book Antiqua" w:cs="Times New Roman (Headings CS)"/>
      <w:sz w:val="40"/>
      <w:szCs w:val="32"/>
    </w:rPr>
  </w:style>
  <w:style w:type="paragraph" w:styleId="NoSpacing">
    <w:name w:val="No Spacing"/>
    <w:uiPriority w:val="1"/>
    <w:qFormat/>
    <w:rsid w:val="006D67D2"/>
    <w:pPr>
      <w:jc w:val="center"/>
    </w:pPr>
    <w:rPr>
      <w:rFonts w:ascii="Georgia" w:hAnsi="Georgia"/>
      <w:sz w:val="18"/>
    </w:rPr>
  </w:style>
  <w:style w:type="paragraph" w:customStyle="1" w:styleId="Author">
    <w:name w:val="Author"/>
    <w:basedOn w:val="Normal"/>
    <w:autoRedefine/>
    <w:qFormat/>
    <w:rsid w:val="0094003B"/>
    <w:pPr>
      <w:spacing w:after="480"/>
      <w:jc w:val="center"/>
    </w:pPr>
  </w:style>
  <w:style w:type="paragraph" w:styleId="Header">
    <w:name w:val="header"/>
    <w:basedOn w:val="Normal"/>
    <w:link w:val="HeaderChar"/>
    <w:uiPriority w:val="99"/>
    <w:unhideWhenUsed/>
    <w:rsid w:val="006B3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EC8"/>
    <w:rPr>
      <w:rFonts w:ascii="Book Antiqua" w:hAnsi="Book Antiqua"/>
      <w:sz w:val="18"/>
    </w:rPr>
  </w:style>
  <w:style w:type="paragraph" w:styleId="Footer">
    <w:name w:val="footer"/>
    <w:basedOn w:val="Normal"/>
    <w:link w:val="FooterChar"/>
    <w:uiPriority w:val="99"/>
    <w:unhideWhenUsed/>
    <w:rsid w:val="006B3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EC8"/>
    <w:rPr>
      <w:rFonts w:ascii="Book Antiqua" w:hAnsi="Book Antiqua"/>
      <w:sz w:val="18"/>
    </w:rPr>
  </w:style>
  <w:style w:type="character" w:styleId="PageNumber">
    <w:name w:val="page number"/>
    <w:basedOn w:val="DefaultParagraphFont"/>
    <w:uiPriority w:val="99"/>
    <w:semiHidden/>
    <w:unhideWhenUsed/>
    <w:rsid w:val="006B3EC8"/>
  </w:style>
  <w:style w:type="character" w:customStyle="1" w:styleId="Heading2Char">
    <w:name w:val="Heading 2 Char"/>
    <w:basedOn w:val="DefaultParagraphFont"/>
    <w:link w:val="Heading2"/>
    <w:uiPriority w:val="9"/>
    <w:rsid w:val="00C07EC7"/>
    <w:rPr>
      <w:rFonts w:ascii="Book Antiqua" w:hAnsi="Book Antiqua" w:cs="Times New Roman (Body CS)"/>
      <w:caps/>
      <w:sz w:val="18"/>
    </w:rPr>
  </w:style>
  <w:style w:type="paragraph" w:customStyle="1" w:styleId="Reference">
    <w:name w:val="Reference"/>
    <w:basedOn w:val="Normal"/>
    <w:autoRedefine/>
    <w:qFormat/>
    <w:rsid w:val="00DC2277"/>
    <w:pPr>
      <w:ind w:left="340" w:hanging="340"/>
    </w:pPr>
    <w:rPr>
      <w:spacing w:val="6"/>
      <w:sz w:val="15"/>
    </w:rPr>
  </w:style>
  <w:style w:type="paragraph" w:styleId="TOC1">
    <w:name w:val="toc 1"/>
    <w:basedOn w:val="Normal"/>
    <w:autoRedefine/>
    <w:uiPriority w:val="39"/>
    <w:unhideWhenUsed/>
    <w:rsid w:val="00C61E3C"/>
    <w:pPr>
      <w:spacing w:before="120" w:after="0"/>
      <w:jc w:val="left"/>
    </w:pPr>
    <w:rPr>
      <w:bCs/>
      <w:iCs/>
    </w:rPr>
  </w:style>
  <w:style w:type="paragraph" w:styleId="TOC2">
    <w:name w:val="toc 2"/>
    <w:basedOn w:val="Normal"/>
    <w:autoRedefine/>
    <w:uiPriority w:val="39"/>
    <w:unhideWhenUsed/>
    <w:rsid w:val="00ED1624"/>
    <w:pPr>
      <w:spacing w:before="120" w:after="0"/>
      <w:ind w:left="284"/>
      <w:jc w:val="left"/>
    </w:pPr>
    <w:rPr>
      <w:bCs/>
      <w:szCs w:val="22"/>
    </w:rPr>
  </w:style>
  <w:style w:type="character" w:styleId="Hyperlink">
    <w:name w:val="Hyperlink"/>
    <w:basedOn w:val="DefaultParagraphFont"/>
    <w:uiPriority w:val="99"/>
    <w:unhideWhenUsed/>
    <w:rsid w:val="00236BEA"/>
    <w:rPr>
      <w:color w:val="0563C1" w:themeColor="hyperlink"/>
      <w:u w:val="single"/>
    </w:rPr>
  </w:style>
  <w:style w:type="paragraph" w:styleId="TOC3">
    <w:name w:val="toc 3"/>
    <w:basedOn w:val="Normal"/>
    <w:next w:val="Normal"/>
    <w:autoRedefine/>
    <w:uiPriority w:val="39"/>
    <w:semiHidden/>
    <w:unhideWhenUsed/>
    <w:rsid w:val="00236BEA"/>
    <w:pPr>
      <w:spacing w:after="0"/>
      <w:ind w:left="360"/>
      <w:jc w:val="left"/>
    </w:pPr>
    <w:rPr>
      <w:rFonts w:asciiTheme="minorHAnsi" w:hAnsiTheme="minorHAnsi"/>
      <w:sz w:val="20"/>
      <w:szCs w:val="20"/>
    </w:rPr>
  </w:style>
  <w:style w:type="paragraph" w:styleId="TOC4">
    <w:name w:val="toc 4"/>
    <w:basedOn w:val="Normal"/>
    <w:next w:val="Normal"/>
    <w:autoRedefine/>
    <w:uiPriority w:val="39"/>
    <w:semiHidden/>
    <w:unhideWhenUsed/>
    <w:rsid w:val="00236BEA"/>
    <w:pPr>
      <w:spacing w:after="0"/>
      <w:ind w:left="540"/>
      <w:jc w:val="left"/>
    </w:pPr>
    <w:rPr>
      <w:rFonts w:asciiTheme="minorHAnsi" w:hAnsiTheme="minorHAnsi"/>
      <w:sz w:val="20"/>
      <w:szCs w:val="20"/>
    </w:rPr>
  </w:style>
  <w:style w:type="paragraph" w:styleId="TOC5">
    <w:name w:val="toc 5"/>
    <w:basedOn w:val="Normal"/>
    <w:next w:val="Normal"/>
    <w:autoRedefine/>
    <w:uiPriority w:val="39"/>
    <w:semiHidden/>
    <w:unhideWhenUsed/>
    <w:rsid w:val="00236BEA"/>
    <w:pPr>
      <w:spacing w:after="0"/>
      <w:ind w:left="720"/>
      <w:jc w:val="left"/>
    </w:pPr>
    <w:rPr>
      <w:rFonts w:asciiTheme="minorHAnsi" w:hAnsiTheme="minorHAnsi"/>
      <w:sz w:val="20"/>
      <w:szCs w:val="20"/>
    </w:rPr>
  </w:style>
  <w:style w:type="paragraph" w:styleId="TOC6">
    <w:name w:val="toc 6"/>
    <w:basedOn w:val="Normal"/>
    <w:next w:val="Normal"/>
    <w:autoRedefine/>
    <w:uiPriority w:val="39"/>
    <w:semiHidden/>
    <w:unhideWhenUsed/>
    <w:rsid w:val="00236BEA"/>
    <w:pPr>
      <w:spacing w:after="0"/>
      <w:ind w:left="900"/>
      <w:jc w:val="left"/>
    </w:pPr>
    <w:rPr>
      <w:rFonts w:asciiTheme="minorHAnsi" w:hAnsiTheme="minorHAnsi"/>
      <w:sz w:val="20"/>
      <w:szCs w:val="20"/>
    </w:rPr>
  </w:style>
  <w:style w:type="paragraph" w:styleId="TOC7">
    <w:name w:val="toc 7"/>
    <w:basedOn w:val="Normal"/>
    <w:next w:val="Normal"/>
    <w:autoRedefine/>
    <w:uiPriority w:val="39"/>
    <w:semiHidden/>
    <w:unhideWhenUsed/>
    <w:rsid w:val="00236BEA"/>
    <w:pPr>
      <w:spacing w:after="0"/>
      <w:ind w:left="1080"/>
      <w:jc w:val="left"/>
    </w:pPr>
    <w:rPr>
      <w:rFonts w:asciiTheme="minorHAnsi" w:hAnsiTheme="minorHAnsi"/>
      <w:sz w:val="20"/>
      <w:szCs w:val="20"/>
    </w:rPr>
  </w:style>
  <w:style w:type="paragraph" w:styleId="TOC8">
    <w:name w:val="toc 8"/>
    <w:basedOn w:val="Normal"/>
    <w:next w:val="Normal"/>
    <w:autoRedefine/>
    <w:uiPriority w:val="39"/>
    <w:semiHidden/>
    <w:unhideWhenUsed/>
    <w:rsid w:val="00236BEA"/>
    <w:pPr>
      <w:spacing w:after="0"/>
      <w:ind w:left="1260"/>
      <w:jc w:val="left"/>
    </w:pPr>
    <w:rPr>
      <w:rFonts w:asciiTheme="minorHAnsi" w:hAnsiTheme="minorHAnsi"/>
      <w:sz w:val="20"/>
      <w:szCs w:val="20"/>
    </w:rPr>
  </w:style>
  <w:style w:type="paragraph" w:styleId="TOC9">
    <w:name w:val="toc 9"/>
    <w:basedOn w:val="Normal"/>
    <w:next w:val="Normal"/>
    <w:autoRedefine/>
    <w:uiPriority w:val="39"/>
    <w:semiHidden/>
    <w:unhideWhenUsed/>
    <w:rsid w:val="00236BEA"/>
    <w:pPr>
      <w:spacing w:after="0"/>
      <w:ind w:left="1440"/>
      <w:jc w:val="left"/>
    </w:pPr>
    <w:rPr>
      <w:rFonts w:asciiTheme="minorHAnsi" w:hAnsiTheme="minorHAnsi"/>
      <w:sz w:val="20"/>
      <w:szCs w:val="20"/>
    </w:rPr>
  </w:style>
  <w:style w:type="paragraph" w:styleId="ListParagraph">
    <w:name w:val="List Paragraph"/>
    <w:basedOn w:val="Normal"/>
    <w:uiPriority w:val="34"/>
    <w:qFormat/>
    <w:rsid w:val="00912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791134">
      <w:bodyDiv w:val="1"/>
      <w:marLeft w:val="0"/>
      <w:marRight w:val="0"/>
      <w:marTop w:val="0"/>
      <w:marBottom w:val="0"/>
      <w:divBdr>
        <w:top w:val="none" w:sz="0" w:space="0" w:color="auto"/>
        <w:left w:val="none" w:sz="0" w:space="0" w:color="auto"/>
        <w:bottom w:val="none" w:sz="0" w:space="0" w:color="auto"/>
        <w:right w:val="none" w:sz="0" w:space="0" w:color="auto"/>
      </w:divBdr>
    </w:div>
    <w:div w:id="832374183">
      <w:bodyDiv w:val="1"/>
      <w:marLeft w:val="0"/>
      <w:marRight w:val="0"/>
      <w:marTop w:val="0"/>
      <w:marBottom w:val="0"/>
      <w:divBdr>
        <w:top w:val="none" w:sz="0" w:space="0" w:color="auto"/>
        <w:left w:val="none" w:sz="0" w:space="0" w:color="auto"/>
        <w:bottom w:val="none" w:sz="0" w:space="0" w:color="auto"/>
        <w:right w:val="none" w:sz="0" w:space="0" w:color="auto"/>
      </w:divBdr>
    </w:div>
    <w:div w:id="177393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F7BA6-DA1A-DB4F-AE00-A90AD71B6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Yee Dang</dc:creator>
  <cp:keywords/>
  <dc:description/>
  <cp:lastModifiedBy>Tay Yee Dang</cp:lastModifiedBy>
  <cp:revision>713</cp:revision>
  <dcterms:created xsi:type="dcterms:W3CDTF">2019-12-10T15:05:00Z</dcterms:created>
  <dcterms:modified xsi:type="dcterms:W3CDTF">2022-01-18T23:57:00Z</dcterms:modified>
</cp:coreProperties>
</file>