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B80" w:rsidRDefault="00667B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Alumno : </w:t>
      </w:r>
      <w:proofErr w:type="spellStart"/>
      <w:r>
        <w:rPr>
          <w:b/>
          <w:sz w:val="28"/>
          <w:szCs w:val="28"/>
        </w:rPr>
        <w:t>Leyter</w:t>
      </w:r>
      <w:proofErr w:type="spellEnd"/>
      <w:r>
        <w:rPr>
          <w:b/>
          <w:sz w:val="28"/>
          <w:szCs w:val="28"/>
        </w:rPr>
        <w:t xml:space="preserve"> Palacios Vargas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</w:p>
    <w:p w:rsidR="00A91DDD" w:rsidRDefault="00667B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Población y Muestra: </w:t>
      </w:r>
    </w:p>
    <w:p w:rsidR="00A91DDD" w:rsidRDefault="00667B80">
      <w:pPr>
        <w:rPr>
          <w:sz w:val="24"/>
          <w:szCs w:val="24"/>
        </w:rPr>
      </w:pPr>
      <w:r>
        <w:rPr>
          <w:sz w:val="24"/>
          <w:szCs w:val="24"/>
        </w:rPr>
        <w:t xml:space="preserve">El tipo de investigación es un estudio </w:t>
      </w:r>
      <w:proofErr w:type="spellStart"/>
      <w:r>
        <w:rPr>
          <w:sz w:val="24"/>
          <w:szCs w:val="24"/>
        </w:rPr>
        <w:t>correlacional</w:t>
      </w:r>
      <w:proofErr w:type="spellEnd"/>
      <w:r>
        <w:rPr>
          <w:sz w:val="24"/>
          <w:szCs w:val="24"/>
        </w:rPr>
        <w:t xml:space="preserve"> que consiste en ver la relación entre la variable independiente y dependiente. La población utilizada en la investigación es finita porque se enfoca específicamente en el reporte de costos de almacenamie</w:t>
      </w:r>
      <w:r>
        <w:rPr>
          <w:sz w:val="24"/>
          <w:szCs w:val="24"/>
        </w:rPr>
        <w:t xml:space="preserve">nto desde el año 2004 que inicia sus actividades, hasta la fecha (año 2021) </w:t>
      </w:r>
    </w:p>
    <w:p w:rsidR="00A91DDD" w:rsidRDefault="00A91DDD">
      <w:pPr>
        <w:rPr>
          <w:sz w:val="24"/>
          <w:szCs w:val="24"/>
        </w:rPr>
      </w:pPr>
    </w:p>
    <w:p w:rsidR="00A91DDD" w:rsidRDefault="00667B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Población </w:t>
      </w:r>
    </w:p>
    <w:p w:rsidR="00A91DDD" w:rsidRDefault="00667B80">
      <w:pPr>
        <w:rPr>
          <w:sz w:val="24"/>
          <w:szCs w:val="24"/>
        </w:rPr>
      </w:pPr>
      <w:r>
        <w:rPr>
          <w:sz w:val="24"/>
          <w:szCs w:val="24"/>
        </w:rPr>
        <w:t>La población con la que se realizó la investigación fue todos los reportes de costos (fijos y variables) de la empresa Global Alimentos desde el año 2004. En esta pobl</w:t>
      </w:r>
      <w:r>
        <w:rPr>
          <w:sz w:val="24"/>
          <w:szCs w:val="24"/>
        </w:rPr>
        <w:t xml:space="preserve">ación podemos ver el total de sus egresos de la empresa mes a mes y año a año. Además tomando como criterio la accesibilidad y que cumplieran con los criterios de inclusión para la investigación, los cuales serían: reportes relacionados al abastecimiento, </w:t>
      </w:r>
      <w:r>
        <w:rPr>
          <w:sz w:val="24"/>
          <w:szCs w:val="24"/>
        </w:rPr>
        <w:t>así como también excluyendo a los reportes menores al periodo 2020.</w:t>
      </w:r>
    </w:p>
    <w:p w:rsidR="00A91DDD" w:rsidRDefault="00A91DDD">
      <w:pPr>
        <w:rPr>
          <w:sz w:val="24"/>
          <w:szCs w:val="24"/>
        </w:rPr>
      </w:pPr>
    </w:p>
    <w:p w:rsidR="00A91DDD" w:rsidRDefault="00667B80">
      <w:pPr>
        <w:rPr>
          <w:sz w:val="24"/>
          <w:szCs w:val="24"/>
        </w:rPr>
      </w:pPr>
      <w:r>
        <w:rPr>
          <w:sz w:val="24"/>
          <w:szCs w:val="24"/>
        </w:rPr>
        <w:t>Los reportes en total son = 212. De esto se tomó los reportes del periodo 2020, excluyendo a todos los demás reportes anteriores a ese año. Para dicha investigación se toma el total de la</w:t>
      </w:r>
      <w:r>
        <w:rPr>
          <w:sz w:val="24"/>
          <w:szCs w:val="24"/>
        </w:rPr>
        <w:t xml:space="preserve"> población.</w:t>
      </w:r>
    </w:p>
    <w:p w:rsidR="00A91DDD" w:rsidRDefault="00A91DDD">
      <w:pPr>
        <w:rPr>
          <w:sz w:val="24"/>
          <w:szCs w:val="24"/>
        </w:rPr>
      </w:pPr>
    </w:p>
    <w:p w:rsidR="00A91DDD" w:rsidRDefault="00A91DDD">
      <w:pPr>
        <w:rPr>
          <w:sz w:val="24"/>
          <w:szCs w:val="24"/>
        </w:rPr>
      </w:pPr>
    </w:p>
    <w:tbl>
      <w:tblPr>
        <w:tblStyle w:val="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yellow"/>
                <w:u w:val="single"/>
              </w:rPr>
            </w:pPr>
            <w:r>
              <w:rPr>
                <w:sz w:val="24"/>
                <w:szCs w:val="24"/>
                <w:highlight w:val="yellow"/>
                <w:u w:val="single"/>
              </w:rPr>
              <w:t>Periodo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yellow"/>
                <w:u w:val="single"/>
              </w:rPr>
            </w:pPr>
            <w:r>
              <w:rPr>
                <w:sz w:val="24"/>
                <w:szCs w:val="24"/>
                <w:highlight w:val="yellow"/>
                <w:u w:val="single"/>
              </w:rPr>
              <w:t>Cantidad de reportes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Reportes de costos año 2004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Reportes de costos año 2005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Reportes de costos año 2006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Reportes de costos año 2007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Reportes de costos año 2008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Reportes de costos año 2009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Reportes de costos año 2010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Reportes de costos año 2011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Reportes de costos año 2012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Reportes de costos año 2013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Reportes de costos año 2014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Reportes de costos año 2015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Reportes de costos año 2016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Reportes de costos año 2017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Reportes de costos año 2018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Reportes de costos año 2019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Reportes de costos año 2020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Reportes de costos año 2021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Total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</w:tr>
    </w:tbl>
    <w:p w:rsidR="00A91DDD" w:rsidRDefault="00A91DDD">
      <w:pPr>
        <w:rPr>
          <w:sz w:val="24"/>
          <w:szCs w:val="24"/>
        </w:rPr>
      </w:pPr>
    </w:p>
    <w:p w:rsidR="00A91DDD" w:rsidRDefault="00A91DDD">
      <w:pPr>
        <w:rPr>
          <w:sz w:val="24"/>
          <w:szCs w:val="24"/>
        </w:rPr>
      </w:pPr>
    </w:p>
    <w:p w:rsidR="00A91DDD" w:rsidRDefault="00667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Muestra</w:t>
      </w:r>
    </w:p>
    <w:p w:rsidR="00A91DDD" w:rsidRDefault="00667B80">
      <w:pPr>
        <w:rPr>
          <w:sz w:val="24"/>
          <w:szCs w:val="24"/>
        </w:rPr>
      </w:pPr>
      <w:r>
        <w:rPr>
          <w:sz w:val="24"/>
          <w:szCs w:val="24"/>
        </w:rPr>
        <w:t>Para la muestra de nuestra investigación se aplica la toma de muestra no probabilística debido a que por nuestro criterio no podemos elegir al azar un periodo para realizar la comparación con nuestras proyecciones de la aplicación de nuestra investigación,</w:t>
      </w:r>
      <w:r>
        <w:rPr>
          <w:sz w:val="24"/>
          <w:szCs w:val="24"/>
        </w:rPr>
        <w:t xml:space="preserve"> para ello debemos comparar nuestros resultados con un periodo anterior al actual.</w:t>
      </w:r>
    </w:p>
    <w:p w:rsidR="00A91DDD" w:rsidRDefault="00A91DDD">
      <w:pPr>
        <w:rPr>
          <w:sz w:val="24"/>
          <w:szCs w:val="24"/>
        </w:rPr>
      </w:pPr>
    </w:p>
    <w:p w:rsidR="00A91DDD" w:rsidRDefault="00667B80">
      <w:pPr>
        <w:rPr>
          <w:sz w:val="24"/>
          <w:szCs w:val="24"/>
        </w:rPr>
      </w:pPr>
      <w:r>
        <w:rPr>
          <w:sz w:val="24"/>
          <w:szCs w:val="24"/>
        </w:rPr>
        <w:t>La muestra de la investigación se obtuvo a través de la fórmula estadística para población finita y aplicando el tipo de muestreo por conveniencia.</w:t>
      </w:r>
    </w:p>
    <w:p w:rsidR="00A91DDD" w:rsidRDefault="00A91DDD">
      <w:pPr>
        <w:rPr>
          <w:sz w:val="24"/>
          <w:szCs w:val="24"/>
        </w:rPr>
      </w:pPr>
    </w:p>
    <w:p w:rsidR="00A91DDD" w:rsidRDefault="00667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Muestreo por Convenienc</w:t>
      </w:r>
      <w:r>
        <w:rPr>
          <w:b/>
          <w:sz w:val="24"/>
          <w:szCs w:val="24"/>
        </w:rPr>
        <w:t>ia</w:t>
      </w:r>
    </w:p>
    <w:p w:rsidR="00A91DDD" w:rsidRDefault="00667B80">
      <w:pPr>
        <w:rPr>
          <w:sz w:val="24"/>
          <w:szCs w:val="24"/>
        </w:rPr>
      </w:pPr>
      <w:r>
        <w:rPr>
          <w:sz w:val="24"/>
          <w:szCs w:val="24"/>
        </w:rPr>
        <w:t>Para seleccionar nuestra muestra aplicaremos a nuestra población el tipo de muestreo por conveniencia, debido a que es recomendable tomar los reportes del periodo anterior más próximos al 2021. Con esta selección podremos trabajar con los datos más actu</w:t>
      </w:r>
      <w:r>
        <w:rPr>
          <w:sz w:val="24"/>
          <w:szCs w:val="24"/>
        </w:rPr>
        <w:t>ales para la empresa, siendo de mejor utilidad que los reportes de periodos pasados.</w:t>
      </w:r>
    </w:p>
    <w:p w:rsidR="00A91DDD" w:rsidRDefault="00667B80">
      <w:pPr>
        <w:rPr>
          <w:sz w:val="24"/>
          <w:szCs w:val="24"/>
        </w:rPr>
      </w:pPr>
      <w:r>
        <w:rPr>
          <w:sz w:val="24"/>
          <w:szCs w:val="24"/>
        </w:rPr>
        <w:t>Por tal motivo como muestra tomaremos el reporte de costos del periodo 2020 - 2021.</w:t>
      </w:r>
    </w:p>
    <w:p w:rsidR="00A91DDD" w:rsidRDefault="00A91DDD">
      <w:pPr>
        <w:rPr>
          <w:sz w:val="24"/>
          <w:szCs w:val="24"/>
        </w:rPr>
      </w:pPr>
    </w:p>
    <w:p w:rsidR="00A91DDD" w:rsidRDefault="00667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Criterios de inclusión</w:t>
      </w:r>
    </w:p>
    <w:p w:rsidR="00A91DDD" w:rsidRDefault="00667B8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Todos los reportes de egresos de la empresa Global Alimentos: T</w:t>
      </w:r>
      <w:r>
        <w:rPr>
          <w:sz w:val="24"/>
          <w:szCs w:val="24"/>
        </w:rPr>
        <w:t>omaremos en consideración todos los reportes del libro contable de egresos de la empresa Global alimentos, para poder tener una vista general de la población en estudio.</w:t>
      </w:r>
    </w:p>
    <w:p w:rsidR="00A91DDD" w:rsidRDefault="00667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Criterios de exclusión</w:t>
      </w:r>
    </w:p>
    <w:p w:rsidR="00A91DDD" w:rsidRDefault="00667B8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Reporte de egresos que no tengan relación con el abastecimiento</w:t>
      </w:r>
      <w:r>
        <w:rPr>
          <w:sz w:val="24"/>
          <w:szCs w:val="24"/>
        </w:rPr>
        <w:t xml:space="preserve"> de la empresa: Excluimos a los reportes de egresos o costos que la empresa ha realizado pero que no tengan relación con el proceso de abastecimiento, ello reducirá nuestra población a tener todos los gastos desde el año 2004 que la empresa ha realizado co</w:t>
      </w:r>
      <w:r>
        <w:rPr>
          <w:sz w:val="24"/>
          <w:szCs w:val="24"/>
        </w:rPr>
        <w:t>n respecto a su proceso de abastecimiento.</w:t>
      </w:r>
    </w:p>
    <w:p w:rsidR="00A91DDD" w:rsidRDefault="00A91DDD">
      <w:pPr>
        <w:ind w:left="720"/>
        <w:rPr>
          <w:sz w:val="24"/>
          <w:szCs w:val="24"/>
        </w:rPr>
      </w:pPr>
    </w:p>
    <w:p w:rsidR="00A91DDD" w:rsidRDefault="00667B8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Reportes de periodos pasados, anteriores al periodo Octubre 2020: </w:t>
      </w:r>
      <w:proofErr w:type="spellStart"/>
      <w:r>
        <w:rPr>
          <w:sz w:val="24"/>
          <w:szCs w:val="24"/>
        </w:rPr>
        <w:t>Excluirémos</w:t>
      </w:r>
      <w:proofErr w:type="spellEnd"/>
      <w:r>
        <w:rPr>
          <w:sz w:val="24"/>
          <w:szCs w:val="24"/>
        </w:rPr>
        <w:t xml:space="preserve"> a nuestro criterio a todos los demás reportes anteriores al periodo Octubre 2020, de tal manera que nos quedamos con los costos que as</w:t>
      </w:r>
      <w:r>
        <w:rPr>
          <w:sz w:val="24"/>
          <w:szCs w:val="24"/>
        </w:rPr>
        <w:t>ume la empresa en el periodo 2020 - 2021 con relación a su proceso de almacenamiento. Tomando así una muestra más actual de la situación de la empresa y el escenario político-social.</w:t>
      </w:r>
    </w:p>
    <w:p w:rsidR="00A91DDD" w:rsidRDefault="00667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Muestra de la investigación</w:t>
      </w:r>
    </w:p>
    <w:p w:rsidR="00A91DDD" w:rsidRDefault="00A91DDD">
      <w:pPr>
        <w:rPr>
          <w:b/>
          <w:sz w:val="24"/>
          <w:szCs w:val="24"/>
        </w:rPr>
      </w:pPr>
    </w:p>
    <w:p w:rsidR="00A91DDD" w:rsidRDefault="00667B8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Costos de abastecimiento del periodo 2020-2021</w:t>
      </w:r>
    </w:p>
    <w:p w:rsidR="00A91DDD" w:rsidRDefault="00A91DDD">
      <w:pPr>
        <w:ind w:left="720"/>
        <w:rPr>
          <w:b/>
          <w:sz w:val="24"/>
          <w:szCs w:val="24"/>
        </w:rPr>
      </w:pPr>
    </w:p>
    <w:tbl>
      <w:tblPr>
        <w:tblStyle w:val="a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>Periodo 2020-2021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>Costos s/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Octubre - 2020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S/24,229.63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Noviembre - 2020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S/18,461.51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Diciembre - 2020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S/23,884.61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Enero - 2021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S/19,139.03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Febrero - 2021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S/14,437.32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Marzo - 2021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S/20,427.99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Abril - 2021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S/21,289.53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Mayo - 2021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S/18,733.55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Junio - 2021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S/21,152.23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Julio - 2021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S/24,075.59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Agosto - 2021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S/25,574.88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Setiembre - 2021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S/18,703.29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>Total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S/250,109.15</w:t>
            </w:r>
          </w:p>
        </w:tc>
      </w:tr>
    </w:tbl>
    <w:p w:rsidR="00A91DDD" w:rsidRDefault="00A91DDD">
      <w:pPr>
        <w:rPr>
          <w:b/>
          <w:sz w:val="24"/>
          <w:szCs w:val="24"/>
        </w:rPr>
      </w:pPr>
    </w:p>
    <w:p w:rsidR="00A91DDD" w:rsidRDefault="00A91DDD">
      <w:pPr>
        <w:rPr>
          <w:sz w:val="24"/>
          <w:szCs w:val="24"/>
        </w:rPr>
      </w:pPr>
    </w:p>
    <w:p w:rsidR="00A91DDD" w:rsidRDefault="00A91DDD">
      <w:pPr>
        <w:rPr>
          <w:sz w:val="24"/>
          <w:szCs w:val="24"/>
        </w:rPr>
      </w:pPr>
    </w:p>
    <w:p w:rsidR="00A91DDD" w:rsidRDefault="00A91DDD">
      <w:pPr>
        <w:rPr>
          <w:sz w:val="24"/>
          <w:szCs w:val="24"/>
        </w:rPr>
      </w:pPr>
    </w:p>
    <w:p w:rsidR="00A91DDD" w:rsidRDefault="00A91DDD">
      <w:pPr>
        <w:rPr>
          <w:sz w:val="24"/>
          <w:szCs w:val="24"/>
        </w:rPr>
      </w:pPr>
    </w:p>
    <w:p w:rsidR="00A91DDD" w:rsidRDefault="00A91DDD">
      <w:pPr>
        <w:rPr>
          <w:sz w:val="24"/>
          <w:szCs w:val="24"/>
        </w:rPr>
      </w:pPr>
    </w:p>
    <w:p w:rsidR="00A91DDD" w:rsidRDefault="00A91DDD">
      <w:pPr>
        <w:rPr>
          <w:sz w:val="24"/>
          <w:szCs w:val="24"/>
        </w:rPr>
      </w:pPr>
    </w:p>
    <w:p w:rsidR="00A91DDD" w:rsidRDefault="00A91DDD">
      <w:pPr>
        <w:rPr>
          <w:sz w:val="24"/>
          <w:szCs w:val="24"/>
        </w:rPr>
      </w:pPr>
    </w:p>
    <w:p w:rsidR="00A91DDD" w:rsidRDefault="00A91DDD">
      <w:pPr>
        <w:rPr>
          <w:sz w:val="24"/>
          <w:szCs w:val="24"/>
        </w:rPr>
      </w:pPr>
    </w:p>
    <w:p w:rsidR="00A91DDD" w:rsidRDefault="00A91DDD">
      <w:pPr>
        <w:rPr>
          <w:sz w:val="24"/>
          <w:szCs w:val="24"/>
        </w:rPr>
      </w:pPr>
    </w:p>
    <w:p w:rsidR="00A91DDD" w:rsidRDefault="00A91DDD">
      <w:pPr>
        <w:rPr>
          <w:sz w:val="24"/>
          <w:szCs w:val="24"/>
        </w:rPr>
      </w:pPr>
    </w:p>
    <w:p w:rsidR="00A91DDD" w:rsidRDefault="00A91DDD">
      <w:pPr>
        <w:rPr>
          <w:sz w:val="24"/>
          <w:szCs w:val="24"/>
        </w:rPr>
      </w:pPr>
    </w:p>
    <w:p w:rsidR="00A91DDD" w:rsidRDefault="00A91DDD">
      <w:pPr>
        <w:rPr>
          <w:sz w:val="24"/>
          <w:szCs w:val="24"/>
        </w:rPr>
      </w:pPr>
    </w:p>
    <w:p w:rsidR="00A91DDD" w:rsidRDefault="00667B80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Costos de abastecimiento (Proyección propia de la investigación)</w:t>
      </w:r>
    </w:p>
    <w:p w:rsidR="00A91DDD" w:rsidRDefault="00A91DDD">
      <w:pPr>
        <w:rPr>
          <w:sz w:val="24"/>
          <w:szCs w:val="24"/>
        </w:rPr>
      </w:pPr>
    </w:p>
    <w:tbl>
      <w:tblPr>
        <w:tblStyle w:val="a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Concepto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Costo s/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 Horas-Hombres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S/46,552.32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Costo </w:t>
            </w:r>
            <w:proofErr w:type="spellStart"/>
            <w:r>
              <w:rPr>
                <w:sz w:val="24"/>
                <w:szCs w:val="24"/>
              </w:rPr>
              <w:t>Packing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S/32,877.76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 alquiler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S/5,653.96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Inventario dañado u obsoleto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S/35,640.87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 de transporte al almacén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S/10,447.84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Pedidos rechazados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S/22,213.70 </w:t>
            </w:r>
          </w:p>
        </w:tc>
      </w:tr>
      <w:tr w:rsidR="00A91D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Total Costos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DDD" w:rsidRDefault="00667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S/153,386.45</w:t>
            </w:r>
          </w:p>
        </w:tc>
      </w:tr>
    </w:tbl>
    <w:p w:rsidR="00A91DDD" w:rsidRDefault="00A91DDD">
      <w:pPr>
        <w:rPr>
          <w:sz w:val="24"/>
          <w:szCs w:val="24"/>
        </w:rPr>
      </w:pPr>
    </w:p>
    <w:p w:rsidR="00A91DDD" w:rsidRDefault="00A91DDD">
      <w:pPr>
        <w:rPr>
          <w:sz w:val="24"/>
          <w:szCs w:val="24"/>
        </w:rPr>
      </w:pPr>
    </w:p>
    <w:p w:rsidR="00A91DDD" w:rsidRDefault="00667B80">
      <w:pPr>
        <w:rPr>
          <w:sz w:val="24"/>
          <w:szCs w:val="24"/>
        </w:rPr>
      </w:pPr>
      <w:r>
        <w:rPr>
          <w:b/>
          <w:sz w:val="24"/>
          <w:szCs w:val="24"/>
        </w:rPr>
        <w:t>Conclusión</w:t>
      </w:r>
      <w:r>
        <w:rPr>
          <w:sz w:val="24"/>
          <w:szCs w:val="24"/>
        </w:rPr>
        <w:t>:</w:t>
      </w:r>
    </w:p>
    <w:p w:rsidR="00A91DDD" w:rsidRDefault="00667B80">
      <w:pPr>
        <w:rPr>
          <w:sz w:val="24"/>
          <w:szCs w:val="24"/>
        </w:rPr>
      </w:pPr>
      <w:r>
        <w:rPr>
          <w:sz w:val="24"/>
          <w:szCs w:val="24"/>
        </w:rPr>
        <w:t xml:space="preserve">Según la tabla </w:t>
      </w:r>
      <w:r>
        <w:rPr>
          <w:b/>
          <w:sz w:val="24"/>
          <w:szCs w:val="24"/>
        </w:rPr>
        <w:t>Costos de abastecimiento del periodo 2020-2021</w:t>
      </w:r>
      <w:r>
        <w:rPr>
          <w:sz w:val="24"/>
          <w:szCs w:val="24"/>
        </w:rPr>
        <w:t xml:space="preserve">, los costos sumaron S/250,109.15, sin embargo, gracias a la propuesta de mejora implementada, consideramos la eliminación de pérdidas en un </w:t>
      </w:r>
      <w:r>
        <w:rPr>
          <w:b/>
          <w:sz w:val="24"/>
          <w:szCs w:val="24"/>
        </w:rPr>
        <w:t>61.33</w:t>
      </w:r>
      <w:r>
        <w:rPr>
          <w:sz w:val="24"/>
          <w:szCs w:val="24"/>
        </w:rPr>
        <w:t xml:space="preserve">%. Por lo tanto, el ahorro será de S/130,467.72, representado en </w:t>
      </w:r>
      <w:r>
        <w:rPr>
          <w:b/>
          <w:sz w:val="24"/>
          <w:szCs w:val="24"/>
        </w:rPr>
        <w:t xml:space="preserve">38.67 </w:t>
      </w:r>
      <w:r>
        <w:rPr>
          <w:sz w:val="24"/>
          <w:szCs w:val="24"/>
        </w:rPr>
        <w:t>% de los costos de abastecimiento media</w:t>
      </w:r>
      <w:r>
        <w:rPr>
          <w:sz w:val="24"/>
          <w:szCs w:val="24"/>
        </w:rPr>
        <w:t>nte la siguiente fórmula:</w:t>
      </w:r>
    </w:p>
    <w:p w:rsidR="00A91DDD" w:rsidRDefault="00A91DDD">
      <w:pPr>
        <w:rPr>
          <w:sz w:val="24"/>
          <w:szCs w:val="24"/>
        </w:rPr>
      </w:pPr>
    </w:p>
    <w:p w:rsidR="00A91DDD" w:rsidRDefault="00667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(153,386.45 / 250,109.15)</w:t>
      </w:r>
      <w:r>
        <w:rPr>
          <w:sz w:val="24"/>
          <w:szCs w:val="24"/>
        </w:rPr>
        <w:t xml:space="preserve"> * 100  =</w:t>
      </w:r>
      <w:r>
        <w:rPr>
          <w:b/>
          <w:sz w:val="24"/>
          <w:szCs w:val="24"/>
        </w:rPr>
        <w:t xml:space="preserve"> 61.3278 %</w:t>
      </w:r>
    </w:p>
    <w:p w:rsidR="00A91DDD" w:rsidRDefault="00A91DDD">
      <w:pPr>
        <w:rPr>
          <w:b/>
          <w:sz w:val="24"/>
          <w:szCs w:val="24"/>
        </w:rPr>
      </w:pPr>
    </w:p>
    <w:p w:rsidR="00A91DDD" w:rsidRDefault="00667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100 - 61.3278 = 38.6722 %</w:t>
      </w:r>
    </w:p>
    <w:sectPr w:rsidR="00A91D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F560F"/>
    <w:multiLevelType w:val="multilevel"/>
    <w:tmpl w:val="666A78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D02687B"/>
    <w:multiLevelType w:val="multilevel"/>
    <w:tmpl w:val="0074BE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E630ABE"/>
    <w:multiLevelType w:val="multilevel"/>
    <w:tmpl w:val="A94AFB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5591F00"/>
    <w:multiLevelType w:val="multilevel"/>
    <w:tmpl w:val="FEEADD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DD"/>
    <w:rsid w:val="00667B80"/>
    <w:rsid w:val="00A9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129D01-ADC5-43AB-98F5-FE5F4B4F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755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</cp:lastModifiedBy>
  <cp:revision>2</cp:revision>
  <dcterms:created xsi:type="dcterms:W3CDTF">2021-10-24T19:18:00Z</dcterms:created>
  <dcterms:modified xsi:type="dcterms:W3CDTF">2021-10-24T19:19:00Z</dcterms:modified>
</cp:coreProperties>
</file>