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3EE3" w14:textId="77777777" w:rsidR="005D2663" w:rsidRPr="0059772D" w:rsidRDefault="005D2663">
      <w:pPr>
        <w:rPr>
          <w:rFonts w:ascii="Calibri" w:hAnsi="Calibri" w:cs="Calibri"/>
          <w:rtl/>
        </w:rPr>
      </w:pPr>
    </w:p>
    <w:p w14:paraId="23805120" w14:textId="77777777" w:rsidR="00836921" w:rsidRPr="0059772D" w:rsidRDefault="005D2663">
      <w:pPr>
        <w:rPr>
          <w:rFonts w:ascii="Calibri" w:hAnsi="Calibri" w:cs="Calibri"/>
        </w:rPr>
      </w:pPr>
      <w:r w:rsidRPr="0059772D">
        <w:rPr>
          <w:rFonts w:ascii="Calibri" w:hAnsi="Calibri" w:cs="Calibri"/>
        </w:rPr>
        <w:t>Golan Katzav, Lior Mashiach</w:t>
      </w:r>
    </w:p>
    <w:p w14:paraId="0CB4F71E" w14:textId="77777777" w:rsidR="005D2663" w:rsidRPr="0059772D" w:rsidRDefault="005D2663">
      <w:pPr>
        <w:rPr>
          <w:rFonts w:ascii="Calibri" w:hAnsi="Calibri" w:cs="Calibri"/>
        </w:rPr>
      </w:pPr>
    </w:p>
    <w:p w14:paraId="1579001C" w14:textId="77777777" w:rsidR="005D2663" w:rsidRPr="0059772D" w:rsidRDefault="005D2663">
      <w:pPr>
        <w:rPr>
          <w:rFonts w:ascii="Calibri" w:hAnsi="Calibri" w:cs="Calibri"/>
        </w:rPr>
      </w:pPr>
    </w:p>
    <w:p w14:paraId="5E05ED37" w14:textId="77777777" w:rsidR="005D2663" w:rsidRPr="0059772D" w:rsidRDefault="00641E0B">
      <w:pPr>
        <w:rPr>
          <w:rFonts w:ascii="Calibri" w:hAnsi="Calibri" w:cs="Calibri"/>
          <w:sz w:val="40"/>
          <w:szCs w:val="40"/>
        </w:rPr>
      </w:pPr>
      <w:proofErr w:type="spellStart"/>
      <w:r w:rsidRPr="0059772D">
        <w:rPr>
          <w:rFonts w:ascii="Calibri" w:hAnsi="Calibri" w:cs="Calibri"/>
          <w:b/>
          <w:bCs/>
          <w:color w:val="202124"/>
          <w:spacing w:val="-8"/>
          <w:sz w:val="40"/>
          <w:szCs w:val="40"/>
          <w:shd w:val="clear" w:color="auto" w:fill="FFFFFF"/>
        </w:rPr>
        <w:t>ShinyHunters</w:t>
      </w:r>
      <w:proofErr w:type="spellEnd"/>
      <w:r w:rsidRPr="0059772D">
        <w:rPr>
          <w:rFonts w:ascii="Calibri" w:hAnsi="Calibri" w:cs="Calibri"/>
          <w:b/>
          <w:bCs/>
          <w:color w:val="202124"/>
          <w:spacing w:val="-8"/>
          <w:sz w:val="40"/>
          <w:szCs w:val="40"/>
          <w:shd w:val="clear" w:color="auto" w:fill="FFFFFF"/>
        </w:rPr>
        <w:t xml:space="preserve"> Renewed Mass Exploitation Campaign Targeting Oracle PeopleSoft</w:t>
      </w:r>
    </w:p>
    <w:p w14:paraId="246A35EB" w14:textId="77777777" w:rsidR="008844A1" w:rsidRPr="0059772D" w:rsidRDefault="008844A1" w:rsidP="008844A1">
      <w:pPr>
        <w:shd w:val="clear" w:color="auto" w:fill="FFFFFF"/>
        <w:spacing w:after="0" w:line="240" w:lineRule="auto"/>
        <w:outlineLvl w:val="4"/>
        <w:rPr>
          <w:rFonts w:ascii="Calibri" w:eastAsia="Times New Roman" w:hAnsi="Calibri" w:cs="Calibri"/>
          <w:b/>
          <w:bCs/>
          <w:color w:val="202124"/>
          <w:sz w:val="20"/>
          <w:szCs w:val="20"/>
        </w:rPr>
      </w:pPr>
      <w:r w:rsidRPr="0059772D">
        <w:rPr>
          <w:rFonts w:ascii="Calibri" w:eastAsia="Times New Roman" w:hAnsi="Calibri" w:cs="Calibri"/>
          <w:b/>
          <w:bCs/>
          <w:color w:val="202124"/>
          <w:sz w:val="20"/>
          <w:szCs w:val="20"/>
        </w:rPr>
        <w:t>Mandiant</w:t>
      </w:r>
    </w:p>
    <w:p w14:paraId="19A3312B" w14:textId="77777777" w:rsidR="005D2663" w:rsidRPr="0059772D" w:rsidRDefault="005D2663">
      <w:pPr>
        <w:rPr>
          <w:rFonts w:ascii="Calibri" w:hAnsi="Calibri" w:cs="Calibri"/>
        </w:rPr>
      </w:pPr>
    </w:p>
    <w:p w14:paraId="24A20C53" w14:textId="77777777" w:rsidR="008844A1" w:rsidRPr="0059772D" w:rsidRDefault="008844A1" w:rsidP="008844A1">
      <w:pPr>
        <w:spacing w:line="360" w:lineRule="atLeast"/>
        <w:jc w:val="center"/>
        <w:rPr>
          <w:rFonts w:ascii="Calibri" w:eastAsia="Times New Roman" w:hAnsi="Calibri" w:cs="Calibri"/>
          <w:color w:val="5F6368"/>
          <w:sz w:val="21"/>
          <w:szCs w:val="21"/>
        </w:rPr>
      </w:pPr>
      <w:r w:rsidRPr="0059772D">
        <w:rPr>
          <w:rFonts w:ascii="Calibri" w:eastAsia="Times New Roman" w:hAnsi="Calibri" w:cs="Calibri"/>
          <w:color w:val="5F6368"/>
          <w:sz w:val="21"/>
          <w:szCs w:val="21"/>
        </w:rPr>
        <w:t>September 26, 2026</w:t>
      </w:r>
    </w:p>
    <w:p w14:paraId="77BF8D7D" w14:textId="77777777" w:rsidR="008844A1" w:rsidRPr="0059772D" w:rsidRDefault="008844A1" w:rsidP="0059772D">
      <w:pPr>
        <w:pStyle w:val="NormalWeb"/>
        <w:rPr>
          <w:rFonts w:ascii="Calibri" w:hAnsi="Calibri" w:cs="Calibri"/>
        </w:rPr>
      </w:pPr>
      <w:hyperlink r:id="rId7" w:history="1">
        <w:r w:rsidRPr="0059772D">
          <w:rPr>
            <w:rStyle w:val="Hyperlink"/>
            <w:rFonts w:ascii="Calibri" w:hAnsi="Calibri" w:cs="Calibri"/>
          </w:rPr>
          <w:t>https://cloud.google.com/blog/topics/threat-intelligence/shinyhunters-renewed-mass-exploitation-campaign-targeting-oracle-peoplesoft</w:t>
        </w:r>
      </w:hyperlink>
      <w:r w:rsidR="00C6165B" w:rsidRPr="0059772D">
        <w:rPr>
          <w:rFonts w:ascii="Calibri" w:hAnsi="Calibri" w:cs="Calibri"/>
          <w:color w:val="202124"/>
        </w:rPr>
        <w:br/>
      </w:r>
      <w:r w:rsidRPr="0059772D">
        <w:rPr>
          <w:rFonts w:ascii="Calibri" w:hAnsi="Calibri" w:cs="Calibri"/>
          <w:color w:val="202124"/>
        </w:rPr>
        <w:br/>
      </w:r>
      <w:r w:rsidR="00C6165B" w:rsidRPr="0059772D">
        <w:rPr>
          <w:rFonts w:ascii="Calibri" w:hAnsi="Calibri" w:cs="Calibri"/>
        </w:rPr>
        <w:t xml:space="preserve"> </w:t>
      </w:r>
      <w:r w:rsidR="00C6165B" w:rsidRPr="0059772D">
        <w:rPr>
          <w:rFonts w:ascii="Calibri" w:hAnsi="Calibri" w:cs="Calibri"/>
          <w:b/>
          <w:bCs/>
          <w:sz w:val="32"/>
          <w:szCs w:val="32"/>
          <w:u w:val="single"/>
        </w:rPr>
        <w:t>short summary:</w:t>
      </w:r>
      <w:r w:rsidR="00C6165B" w:rsidRPr="0059772D">
        <w:rPr>
          <w:rFonts w:ascii="Calibri" w:hAnsi="Calibri" w:cs="Calibri"/>
          <w:b/>
          <w:bCs/>
          <w:sz w:val="40"/>
          <w:szCs w:val="40"/>
          <w:u w:val="single"/>
        </w:rPr>
        <w:br/>
      </w:r>
      <w:r w:rsidR="00C6165B" w:rsidRPr="0059772D">
        <w:rPr>
          <w:rFonts w:ascii="Calibri" w:hAnsi="Calibri" w:cs="Calibri"/>
        </w:rPr>
        <w:br/>
      </w:r>
      <w:r w:rsidRPr="0059772D">
        <w:rPr>
          <w:rFonts w:ascii="Calibri" w:hAnsi="Calibri" w:cs="Calibri"/>
        </w:rPr>
        <w:t>The renewed UNC6240 (</w:t>
      </w:r>
      <w:proofErr w:type="spellStart"/>
      <w:r w:rsidRPr="0059772D">
        <w:rPr>
          <w:rFonts w:ascii="Calibri" w:hAnsi="Calibri" w:cs="Calibri"/>
        </w:rPr>
        <w:t>ShinyHunters</w:t>
      </w:r>
      <w:proofErr w:type="spellEnd"/>
      <w:r w:rsidRPr="0059772D">
        <w:rPr>
          <w:rFonts w:ascii="Calibri" w:hAnsi="Calibri" w:cs="Calibri"/>
        </w:rPr>
        <w:t xml:space="preserve">) campaign exploits CVE-2026-35273 to compromise </w:t>
      </w:r>
      <w:r w:rsidRPr="0059772D">
        <w:rPr>
          <w:rFonts w:ascii="Calibri" w:hAnsi="Calibri" w:cs="Calibri"/>
          <w:b/>
          <w:bCs/>
        </w:rPr>
        <w:t>Oracle PeopleSoft environments</w:t>
      </w:r>
      <w:r w:rsidRPr="0059772D">
        <w:rPr>
          <w:rFonts w:ascii="Calibri" w:hAnsi="Calibri" w:cs="Calibri"/>
        </w:rPr>
        <w:t xml:space="preserve">, specifically targeting the Environment Management Hub (PSEMHUB) endpoint. The </w:t>
      </w:r>
      <w:r w:rsidRPr="0059772D">
        <w:rPr>
          <w:rFonts w:ascii="Calibri" w:hAnsi="Calibri" w:cs="Calibri"/>
          <w:b/>
          <w:bCs/>
        </w:rPr>
        <w:t>affected environment</w:t>
      </w:r>
      <w:r w:rsidRPr="0059772D">
        <w:rPr>
          <w:rFonts w:ascii="Calibri" w:hAnsi="Calibri" w:cs="Calibri"/>
        </w:rPr>
        <w:t xml:space="preserve"> spans dozens of unpatched, globally distributed systems across the higher education, technology, healthcare, agriculture, transportation, and government sectors.</w:t>
      </w:r>
    </w:p>
    <w:p w14:paraId="0AA3DD3D" w14:textId="77777777" w:rsidR="008844A1" w:rsidRPr="0059772D" w:rsidRDefault="008844A1" w:rsidP="008844A1">
      <w:pPr>
        <w:pStyle w:val="NormalWeb"/>
        <w:rPr>
          <w:rFonts w:ascii="Calibri" w:hAnsi="Calibri" w:cs="Calibri"/>
        </w:rPr>
      </w:pPr>
      <w:r w:rsidRPr="0059772D">
        <w:rPr>
          <w:rFonts w:ascii="Calibri" w:hAnsi="Calibri" w:cs="Calibri"/>
        </w:rPr>
        <w:t xml:space="preserve">The primary </w:t>
      </w:r>
      <w:r w:rsidRPr="0059772D">
        <w:rPr>
          <w:rFonts w:ascii="Calibri" w:hAnsi="Calibri" w:cs="Calibri"/>
          <w:b/>
          <w:bCs/>
        </w:rPr>
        <w:t>attack objective</w:t>
      </w:r>
      <w:r w:rsidRPr="0059772D">
        <w:rPr>
          <w:rFonts w:ascii="Calibri" w:hAnsi="Calibri" w:cs="Calibri"/>
        </w:rPr>
        <w:t xml:space="preserve"> is data theft extortion. The threat actor seeks to establish persistent access, steal credentials, and exfiltrate sensitive databases (such as HR, payroll, and student records) to extort organizations under the threat of data leaks.</w:t>
      </w:r>
    </w:p>
    <w:p w14:paraId="4B6B2522" w14:textId="77777777" w:rsidR="008844A1" w:rsidRPr="0059772D" w:rsidRDefault="008844A1" w:rsidP="008844A1">
      <w:pPr>
        <w:pStyle w:val="NormalWeb"/>
        <w:rPr>
          <w:rFonts w:ascii="Calibri" w:hAnsi="Calibri" w:cs="Calibri"/>
        </w:rPr>
      </w:pPr>
      <w:r w:rsidRPr="0059772D">
        <w:rPr>
          <w:rFonts w:ascii="Calibri" w:hAnsi="Calibri" w:cs="Calibri"/>
        </w:rPr>
        <w:t xml:space="preserve">The </w:t>
      </w:r>
      <w:r w:rsidRPr="0059772D">
        <w:rPr>
          <w:rFonts w:ascii="Calibri" w:hAnsi="Calibri" w:cs="Calibri"/>
          <w:b/>
          <w:bCs/>
        </w:rPr>
        <w:t>observed sequence</w:t>
      </w:r>
      <w:r w:rsidRPr="0059772D">
        <w:rPr>
          <w:rFonts w:ascii="Calibri" w:hAnsi="Calibri" w:cs="Calibri"/>
        </w:rPr>
        <w:t xml:space="preserve"> follows a highly structured lifecycle:</w:t>
      </w:r>
    </w:p>
    <w:p w14:paraId="687C5720" w14:textId="77777777" w:rsidR="008844A1" w:rsidRPr="0059772D" w:rsidRDefault="008844A1" w:rsidP="008844A1">
      <w:pPr>
        <w:pStyle w:val="NormalWeb"/>
        <w:numPr>
          <w:ilvl w:val="0"/>
          <w:numId w:val="2"/>
        </w:numPr>
        <w:rPr>
          <w:rFonts w:ascii="Calibri" w:hAnsi="Calibri" w:cs="Calibri"/>
        </w:rPr>
      </w:pPr>
      <w:r w:rsidRPr="0059772D">
        <w:rPr>
          <w:rFonts w:ascii="Calibri" w:hAnsi="Calibri" w:cs="Calibri"/>
          <w:b/>
          <w:bCs/>
        </w:rPr>
        <w:t>Target Verification:</w:t>
      </w:r>
      <w:r w:rsidRPr="0059772D">
        <w:rPr>
          <w:rFonts w:ascii="Calibri" w:hAnsi="Calibri" w:cs="Calibri"/>
        </w:rPr>
        <w:t xml:space="preserve"> Attackers send non-disruptive serialized Java objects to quietly confirm if a host is unpatched.</w:t>
      </w:r>
    </w:p>
    <w:p w14:paraId="0527554C" w14:textId="77777777" w:rsidR="008844A1" w:rsidRPr="0059772D" w:rsidRDefault="008844A1" w:rsidP="008844A1">
      <w:pPr>
        <w:pStyle w:val="NormalWeb"/>
        <w:numPr>
          <w:ilvl w:val="0"/>
          <w:numId w:val="2"/>
        </w:numPr>
        <w:rPr>
          <w:rFonts w:ascii="Calibri" w:hAnsi="Calibri" w:cs="Calibri"/>
        </w:rPr>
      </w:pPr>
      <w:r w:rsidRPr="0059772D">
        <w:rPr>
          <w:rFonts w:ascii="Calibri" w:hAnsi="Calibri" w:cs="Calibri"/>
          <w:b/>
          <w:bCs/>
        </w:rPr>
        <w:t>WAF Bypass:</w:t>
      </w:r>
      <w:r w:rsidRPr="0059772D">
        <w:rPr>
          <w:rFonts w:ascii="Calibri" w:hAnsi="Calibri" w:cs="Calibri"/>
        </w:rPr>
        <w:t xml:space="preserve"> They evade string-based Web Application Firewalls by URL-encoding a single character in the request path (e.g., </w:t>
      </w:r>
      <w:r w:rsidRPr="0059772D">
        <w:rPr>
          <w:rStyle w:val="HTMLCode"/>
          <w:rFonts w:ascii="Calibri" w:hAnsi="Calibri" w:cs="Calibri"/>
        </w:rPr>
        <w:t>/%50SEMHUB/</w:t>
      </w:r>
      <w:r w:rsidRPr="0059772D">
        <w:rPr>
          <w:rFonts w:ascii="Calibri" w:hAnsi="Calibri" w:cs="Calibri"/>
        </w:rPr>
        <w:t>).</w:t>
      </w:r>
    </w:p>
    <w:p w14:paraId="510002F3" w14:textId="77777777" w:rsidR="008844A1" w:rsidRPr="0059772D" w:rsidRDefault="008844A1" w:rsidP="008844A1">
      <w:pPr>
        <w:pStyle w:val="NormalWeb"/>
        <w:numPr>
          <w:ilvl w:val="0"/>
          <w:numId w:val="2"/>
        </w:numPr>
        <w:rPr>
          <w:rFonts w:ascii="Calibri" w:hAnsi="Calibri" w:cs="Calibri"/>
        </w:rPr>
      </w:pPr>
      <w:r w:rsidRPr="0059772D">
        <w:rPr>
          <w:rFonts w:ascii="Calibri" w:hAnsi="Calibri" w:cs="Calibri"/>
          <w:b/>
          <w:bCs/>
        </w:rPr>
        <w:t>Exploitation:</w:t>
      </w:r>
      <w:r w:rsidRPr="0059772D">
        <w:rPr>
          <w:rFonts w:ascii="Calibri" w:hAnsi="Calibri" w:cs="Calibri"/>
        </w:rPr>
        <w:t xml:space="preserve"> Abusing Java deserialization, the attackers achieve fileless command execution or deploy dual evasive JSP web shells (</w:t>
      </w:r>
      <w:proofErr w:type="spellStart"/>
      <w:r w:rsidRPr="0059772D">
        <w:rPr>
          <w:rStyle w:val="HTMLCode"/>
          <w:rFonts w:ascii="Calibri" w:hAnsi="Calibri" w:cs="Calibri"/>
        </w:rPr>
        <w:t>x.jsp</w:t>
      </w:r>
      <w:proofErr w:type="spellEnd"/>
      <w:r w:rsidRPr="0059772D">
        <w:rPr>
          <w:rFonts w:ascii="Calibri" w:hAnsi="Calibri" w:cs="Calibri"/>
        </w:rPr>
        <w:t xml:space="preserve"> and </w:t>
      </w:r>
      <w:proofErr w:type="spellStart"/>
      <w:r w:rsidRPr="0059772D">
        <w:rPr>
          <w:rStyle w:val="HTMLCode"/>
          <w:rFonts w:ascii="Calibri" w:hAnsi="Calibri" w:cs="Calibri"/>
        </w:rPr>
        <w:t>u.jsp</w:t>
      </w:r>
      <w:proofErr w:type="spellEnd"/>
      <w:r w:rsidRPr="0059772D">
        <w:rPr>
          <w:rFonts w:ascii="Calibri" w:hAnsi="Calibri" w:cs="Calibri"/>
        </w:rPr>
        <w:t>) across load-balanced nodes.</w:t>
      </w:r>
    </w:p>
    <w:p w14:paraId="087E02EA" w14:textId="77777777" w:rsidR="008844A1" w:rsidRPr="0059772D" w:rsidRDefault="008844A1" w:rsidP="008844A1">
      <w:pPr>
        <w:pStyle w:val="NormalWeb"/>
        <w:numPr>
          <w:ilvl w:val="0"/>
          <w:numId w:val="2"/>
        </w:numPr>
        <w:rPr>
          <w:rFonts w:ascii="Calibri" w:hAnsi="Calibri" w:cs="Calibri"/>
        </w:rPr>
      </w:pPr>
      <w:r w:rsidRPr="0059772D">
        <w:rPr>
          <w:rFonts w:ascii="Calibri" w:hAnsi="Calibri" w:cs="Calibri"/>
          <w:b/>
          <w:bCs/>
        </w:rPr>
        <w:t>Post-Exploitation:</w:t>
      </w:r>
      <w:r w:rsidRPr="0059772D">
        <w:rPr>
          <w:rFonts w:ascii="Calibri" w:hAnsi="Calibri" w:cs="Calibri"/>
        </w:rPr>
        <w:t xml:space="preserve"> Attackers upload a </w:t>
      </w:r>
      <w:proofErr w:type="spellStart"/>
      <w:r w:rsidRPr="0059772D">
        <w:rPr>
          <w:rFonts w:ascii="Calibri" w:hAnsi="Calibri" w:cs="Calibri"/>
        </w:rPr>
        <w:t>trojanized</w:t>
      </w:r>
      <w:proofErr w:type="spellEnd"/>
      <w:r w:rsidRPr="0059772D">
        <w:rPr>
          <w:rFonts w:ascii="Calibri" w:hAnsi="Calibri" w:cs="Calibri"/>
        </w:rPr>
        <w:t xml:space="preserve"> installer (</w:t>
      </w:r>
      <w:r w:rsidRPr="0059772D">
        <w:rPr>
          <w:rStyle w:val="HTMLCode"/>
          <w:rFonts w:ascii="Calibri" w:hAnsi="Calibri" w:cs="Calibri"/>
        </w:rPr>
        <w:t>Ple64.exe</w:t>
      </w:r>
      <w:r w:rsidRPr="0059772D">
        <w:rPr>
          <w:rFonts w:ascii="Calibri" w:hAnsi="Calibri" w:cs="Calibri"/>
        </w:rPr>
        <w:t>) that deploys the SIDEEYE backdoor for credential theft. They additionally stage Neo-</w:t>
      </w:r>
      <w:proofErr w:type="spellStart"/>
      <w:r w:rsidRPr="0059772D">
        <w:rPr>
          <w:rFonts w:ascii="Calibri" w:hAnsi="Calibri" w:cs="Calibri"/>
        </w:rPr>
        <w:t>reGeorg</w:t>
      </w:r>
      <w:proofErr w:type="spellEnd"/>
      <w:r w:rsidRPr="0059772D">
        <w:rPr>
          <w:rFonts w:ascii="Calibri" w:hAnsi="Calibri" w:cs="Calibri"/>
        </w:rPr>
        <w:t xml:space="preserve"> for network tunneling and </w:t>
      </w:r>
      <w:proofErr w:type="spellStart"/>
      <w:r w:rsidRPr="0059772D">
        <w:rPr>
          <w:rFonts w:ascii="Calibri" w:hAnsi="Calibri" w:cs="Calibri"/>
        </w:rPr>
        <w:t>MeshAgent</w:t>
      </w:r>
      <w:proofErr w:type="spellEnd"/>
      <w:r w:rsidRPr="0059772D">
        <w:rPr>
          <w:rFonts w:ascii="Calibri" w:hAnsi="Calibri" w:cs="Calibri"/>
        </w:rPr>
        <w:t xml:space="preserve"> for persistent remote management to facilitate internal discovery and data exfiltration.</w:t>
      </w:r>
    </w:p>
    <w:p w14:paraId="356C7C89" w14:textId="77777777" w:rsidR="009C759B" w:rsidRPr="0059772D" w:rsidRDefault="009C759B" w:rsidP="008844A1">
      <w:pPr>
        <w:shd w:val="clear" w:color="auto" w:fill="FFFFFF"/>
        <w:spacing w:after="0" w:line="240" w:lineRule="auto"/>
        <w:rPr>
          <w:rFonts w:ascii="Calibri" w:eastAsia="Times New Roman" w:hAnsi="Calibri" w:cs="Calibri"/>
          <w:color w:val="202124"/>
          <w:sz w:val="24"/>
          <w:szCs w:val="24"/>
        </w:rPr>
      </w:pPr>
    </w:p>
    <w:p w14:paraId="3453D2BA" w14:textId="53A8DC98" w:rsidR="009C759B" w:rsidRPr="0059772D" w:rsidRDefault="009C759B" w:rsidP="009C759B">
      <w:pPr>
        <w:shd w:val="clear" w:color="auto" w:fill="FFFFFF"/>
        <w:spacing w:after="0" w:line="240" w:lineRule="auto"/>
        <w:rPr>
          <w:rFonts w:ascii="Calibri" w:eastAsia="Times New Roman" w:hAnsi="Calibri" w:cs="Calibri"/>
          <w:b/>
          <w:bCs/>
          <w:color w:val="202124"/>
          <w:sz w:val="32"/>
          <w:szCs w:val="32"/>
          <w:u w:val="single"/>
          <w:lang w:val="en-IL"/>
        </w:rPr>
      </w:pPr>
      <w:r w:rsidRPr="0059772D">
        <w:rPr>
          <w:rFonts w:ascii="Calibri" w:eastAsia="Times New Roman" w:hAnsi="Calibri" w:cs="Calibri"/>
          <w:b/>
          <w:bCs/>
          <w:color w:val="202124"/>
          <w:sz w:val="32"/>
          <w:szCs w:val="32"/>
          <w:u w:val="single"/>
          <w:lang w:val="en-IL"/>
        </w:rPr>
        <w:t>Attack Diagram / Sequence</w:t>
      </w:r>
      <w:r w:rsidR="0059772D">
        <w:rPr>
          <w:rFonts w:ascii="Calibri" w:eastAsia="Times New Roman" w:hAnsi="Calibri" w:cs="Calibri"/>
          <w:b/>
          <w:bCs/>
          <w:color w:val="202124"/>
          <w:sz w:val="32"/>
          <w:szCs w:val="32"/>
          <w:u w:val="single"/>
          <w:lang w:val="en-IL"/>
        </w:rPr>
        <w:t>:</w:t>
      </w:r>
    </w:p>
    <w:p w14:paraId="748417F5" w14:textId="77777777" w:rsidR="009C759B" w:rsidRPr="0059772D" w:rsidRDefault="009C759B" w:rsidP="008844A1">
      <w:pPr>
        <w:shd w:val="clear" w:color="auto" w:fill="FFFFFF"/>
        <w:spacing w:after="0" w:line="240" w:lineRule="auto"/>
        <w:rPr>
          <w:rFonts w:ascii="Calibri" w:eastAsia="Times New Roman" w:hAnsi="Calibri" w:cs="Calibri"/>
          <w:color w:val="202124"/>
          <w:sz w:val="24"/>
          <w:szCs w:val="24"/>
        </w:rPr>
      </w:pPr>
    </w:p>
    <w:p w14:paraId="4559B16E" w14:textId="77777777" w:rsidR="005D2663" w:rsidRPr="0059772D" w:rsidRDefault="000205F1" w:rsidP="000205F1">
      <w:pPr>
        <w:rPr>
          <w:rFonts w:ascii="Calibri" w:hAnsi="Calibri" w:cs="Calibri"/>
        </w:rPr>
      </w:pPr>
      <w:r w:rsidRPr="0059772D">
        <w:rPr>
          <w:rFonts w:ascii="Calibri" w:hAnsi="Calibri" w:cs="Calibri"/>
          <w:noProof/>
        </w:rPr>
        <w:drawing>
          <wp:inline distT="0" distB="0" distL="0" distR="0" wp14:anchorId="28216DBF" wp14:editId="257C027E">
            <wp:extent cx="5934075" cy="2676525"/>
            <wp:effectExtent l="0" t="0" r="9525" b="9525"/>
            <wp:docPr id="1" name="תמונה 1" descr="C:\Users\liorm\AppData\Local\Microsoft\Windows\INetCache\Content.Word\T1595.002 Web Exploitation Attack Flow-2026-10-22-134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iorm\AppData\Local\Microsoft\Windows\INetCache\Content.Word\T1595.002 Web Exploitation Attack Flow-2026-10-22-13440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2676525"/>
                    </a:xfrm>
                    <a:prstGeom prst="rect">
                      <a:avLst/>
                    </a:prstGeom>
                    <a:noFill/>
                    <a:ln>
                      <a:noFill/>
                    </a:ln>
                  </pic:spPr>
                </pic:pic>
              </a:graphicData>
            </a:graphic>
          </wp:inline>
        </w:drawing>
      </w:r>
      <w:r w:rsidRPr="0059772D">
        <w:rPr>
          <w:rFonts w:ascii="Calibri" w:hAnsi="Calibri" w:cs="Calibri"/>
        </w:rPr>
        <w:br/>
      </w:r>
      <w:r w:rsidRPr="0059772D">
        <w:rPr>
          <w:rFonts w:ascii="Calibri" w:hAnsi="Calibri" w:cs="Calibri"/>
        </w:rPr>
        <w:br/>
      </w:r>
      <w:r w:rsidR="004A1FC0" w:rsidRPr="0059772D">
        <w:rPr>
          <w:rFonts w:ascii="Calibri" w:hAnsi="Calibri" w:cs="Calibri"/>
        </w:rPr>
        <w:br/>
      </w:r>
    </w:p>
    <w:p w14:paraId="1764D610" w14:textId="77777777" w:rsidR="009C759B" w:rsidRPr="0059772D" w:rsidRDefault="009C759B" w:rsidP="000205F1">
      <w:pPr>
        <w:rPr>
          <w:rFonts w:ascii="Calibri" w:hAnsi="Calibri" w:cs="Calibri"/>
        </w:rPr>
      </w:pPr>
    </w:p>
    <w:p w14:paraId="2B4277B7" w14:textId="77777777" w:rsidR="009C759B" w:rsidRPr="0059772D" w:rsidRDefault="009C759B" w:rsidP="000205F1">
      <w:pPr>
        <w:rPr>
          <w:rFonts w:ascii="Calibri" w:hAnsi="Calibri" w:cs="Calibri"/>
        </w:rPr>
      </w:pPr>
    </w:p>
    <w:p w14:paraId="42B374C9" w14:textId="77777777" w:rsidR="009C759B" w:rsidRPr="0059772D" w:rsidRDefault="009C759B" w:rsidP="000205F1">
      <w:pPr>
        <w:rPr>
          <w:rFonts w:ascii="Calibri" w:hAnsi="Calibri" w:cs="Calibri"/>
        </w:rPr>
      </w:pPr>
    </w:p>
    <w:p w14:paraId="3F5835CC" w14:textId="77777777" w:rsidR="009C759B" w:rsidRPr="0059772D" w:rsidRDefault="009C759B" w:rsidP="000205F1">
      <w:pPr>
        <w:rPr>
          <w:rFonts w:ascii="Calibri" w:hAnsi="Calibri" w:cs="Calibri"/>
        </w:rPr>
      </w:pPr>
    </w:p>
    <w:p w14:paraId="50BA8947" w14:textId="77777777" w:rsidR="009C759B" w:rsidRPr="0059772D" w:rsidRDefault="009C759B" w:rsidP="000205F1">
      <w:pPr>
        <w:rPr>
          <w:rFonts w:ascii="Calibri" w:hAnsi="Calibri" w:cs="Calibri"/>
        </w:rPr>
      </w:pPr>
    </w:p>
    <w:p w14:paraId="4209792D" w14:textId="77777777" w:rsidR="009C759B" w:rsidRPr="0059772D" w:rsidRDefault="009C759B" w:rsidP="000205F1">
      <w:pPr>
        <w:rPr>
          <w:rFonts w:ascii="Calibri" w:hAnsi="Calibri" w:cs="Calibri"/>
        </w:rPr>
      </w:pPr>
    </w:p>
    <w:p w14:paraId="78258081" w14:textId="77777777" w:rsidR="009C759B" w:rsidRPr="0059772D" w:rsidRDefault="009C759B" w:rsidP="000205F1">
      <w:pPr>
        <w:rPr>
          <w:rFonts w:ascii="Calibri" w:hAnsi="Calibri" w:cs="Calibri"/>
        </w:rPr>
      </w:pPr>
    </w:p>
    <w:p w14:paraId="454CE242" w14:textId="77777777" w:rsidR="009C759B" w:rsidRPr="0059772D" w:rsidRDefault="009C759B" w:rsidP="000205F1">
      <w:pPr>
        <w:rPr>
          <w:rFonts w:ascii="Calibri" w:hAnsi="Calibri" w:cs="Calibri"/>
        </w:rPr>
      </w:pPr>
    </w:p>
    <w:p w14:paraId="1C2D24AE" w14:textId="77777777" w:rsidR="009C759B" w:rsidRPr="0059772D" w:rsidRDefault="009C759B" w:rsidP="000205F1">
      <w:pPr>
        <w:rPr>
          <w:rFonts w:ascii="Calibri" w:hAnsi="Calibri" w:cs="Calibri"/>
        </w:rPr>
      </w:pPr>
    </w:p>
    <w:p w14:paraId="08DD0128" w14:textId="77777777" w:rsidR="009C759B" w:rsidRPr="0059772D" w:rsidRDefault="009C759B" w:rsidP="000205F1">
      <w:pPr>
        <w:rPr>
          <w:rFonts w:ascii="Calibri" w:hAnsi="Calibri" w:cs="Calibri"/>
        </w:rPr>
      </w:pPr>
    </w:p>
    <w:p w14:paraId="1538F4E5" w14:textId="77777777" w:rsidR="009C759B" w:rsidRPr="0059772D" w:rsidRDefault="009C759B" w:rsidP="000205F1">
      <w:pPr>
        <w:rPr>
          <w:rFonts w:ascii="Calibri" w:hAnsi="Calibri" w:cs="Calibri"/>
        </w:rPr>
      </w:pPr>
    </w:p>
    <w:p w14:paraId="370AA12A" w14:textId="77777777" w:rsidR="009C759B" w:rsidRPr="0059772D" w:rsidRDefault="009C759B" w:rsidP="000205F1">
      <w:pPr>
        <w:rPr>
          <w:rFonts w:ascii="Calibri" w:hAnsi="Calibri" w:cs="Calibri"/>
        </w:rPr>
      </w:pPr>
    </w:p>
    <w:p w14:paraId="785C4361" w14:textId="77777777" w:rsidR="009C759B" w:rsidRPr="0059772D" w:rsidRDefault="009C759B" w:rsidP="000205F1">
      <w:pPr>
        <w:rPr>
          <w:rFonts w:ascii="Calibri" w:hAnsi="Calibri" w:cs="Calibri"/>
        </w:rPr>
      </w:pPr>
    </w:p>
    <w:p w14:paraId="2495C9CC" w14:textId="77777777" w:rsidR="009C759B" w:rsidRPr="0059772D" w:rsidRDefault="009C759B" w:rsidP="000205F1">
      <w:pPr>
        <w:rPr>
          <w:rFonts w:ascii="Calibri" w:hAnsi="Calibri" w:cs="Calibri"/>
        </w:rPr>
      </w:pPr>
    </w:p>
    <w:p w14:paraId="307D1B99" w14:textId="77777777" w:rsidR="009C759B" w:rsidRPr="0059772D" w:rsidRDefault="009C759B" w:rsidP="000205F1">
      <w:pPr>
        <w:rPr>
          <w:rFonts w:ascii="Calibri" w:hAnsi="Calibri" w:cs="Calibri"/>
        </w:rPr>
      </w:pPr>
    </w:p>
    <w:p w14:paraId="5ABB5FCF" w14:textId="77777777" w:rsidR="009C759B" w:rsidRPr="0059772D" w:rsidRDefault="009C759B" w:rsidP="000205F1">
      <w:pPr>
        <w:rPr>
          <w:rFonts w:ascii="Calibri" w:hAnsi="Calibri" w:cs="Calibri"/>
        </w:rPr>
      </w:pPr>
    </w:p>
    <w:p w14:paraId="749A5A4A" w14:textId="26277B10" w:rsidR="009C759B" w:rsidRPr="0059772D" w:rsidRDefault="009C759B" w:rsidP="009C759B">
      <w:pPr>
        <w:rPr>
          <w:rFonts w:ascii="Calibri" w:hAnsi="Calibri" w:cs="Calibri"/>
          <w:b/>
          <w:bCs/>
          <w:sz w:val="32"/>
          <w:szCs w:val="32"/>
          <w:u w:val="single"/>
          <w:lang w:val="en-IL"/>
        </w:rPr>
      </w:pPr>
      <w:r w:rsidRPr="0059772D">
        <w:rPr>
          <w:rFonts w:ascii="Calibri" w:hAnsi="Calibri" w:cs="Calibri"/>
          <w:b/>
          <w:bCs/>
          <w:sz w:val="32"/>
          <w:szCs w:val="32"/>
          <w:u w:val="single"/>
          <w:lang w:val="en-IL"/>
        </w:rPr>
        <w:t>MITRE ATT&amp;CK Mapping</w:t>
      </w:r>
      <w:r w:rsidR="0059772D">
        <w:rPr>
          <w:rFonts w:ascii="Calibri" w:hAnsi="Calibri" w:cs="Calibri"/>
          <w:b/>
          <w:bCs/>
          <w:sz w:val="32"/>
          <w:szCs w:val="32"/>
          <w:u w:val="single"/>
          <w:lang w:val="en-IL"/>
        </w:rPr>
        <w:t>:</w:t>
      </w:r>
    </w:p>
    <w:tbl>
      <w:tblPr>
        <w:tblW w:w="9596" w:type="dxa"/>
        <w:jc w:val="center"/>
        <w:tblBorders>
          <w:top w:val="single" w:sz="6" w:space="0" w:color="C7D0DA"/>
          <w:left w:val="single" w:sz="6" w:space="0" w:color="C7D0DA"/>
          <w:bottom w:val="single" w:sz="6" w:space="0" w:color="C7D0DA"/>
          <w:right w:val="single" w:sz="6" w:space="0" w:color="C7D0DA"/>
          <w:insideH w:val="single" w:sz="6" w:space="0" w:color="C7D0DA"/>
          <w:insideV w:val="single" w:sz="6" w:space="0" w:color="C7D0DA"/>
        </w:tblBorders>
        <w:tblLayout w:type="fixed"/>
        <w:tblCellMar>
          <w:top w:w="55" w:type="dxa"/>
          <w:left w:w="75" w:type="dxa"/>
          <w:bottom w:w="55" w:type="dxa"/>
          <w:right w:w="75" w:type="dxa"/>
        </w:tblCellMar>
        <w:tblLook w:val="0620" w:firstRow="1" w:lastRow="0" w:firstColumn="0" w:lastColumn="0" w:noHBand="1" w:noVBand="1"/>
      </w:tblPr>
      <w:tblGrid>
        <w:gridCol w:w="1835"/>
        <w:gridCol w:w="1285"/>
        <w:gridCol w:w="1670"/>
        <w:gridCol w:w="2420"/>
        <w:gridCol w:w="2386"/>
      </w:tblGrid>
      <w:tr w:rsidR="00626E24" w:rsidRPr="0059772D" w14:paraId="2558585B" w14:textId="77777777" w:rsidTr="005B3BB1">
        <w:trPr>
          <w:tblHeader/>
          <w:jc w:val="center"/>
        </w:trPr>
        <w:tc>
          <w:tcPr>
            <w:tcW w:w="1835" w:type="dxa"/>
            <w:shd w:val="clear" w:color="auto" w:fill="193B5F"/>
            <w:vAlign w:val="center"/>
          </w:tcPr>
          <w:p w14:paraId="1CF8AF2A" w14:textId="77777777" w:rsidR="00626E24" w:rsidRPr="0059772D" w:rsidRDefault="005B3BB1">
            <w:pPr>
              <w:spacing w:after="20" w:line="220" w:lineRule="auto"/>
              <w:rPr>
                <w:rFonts w:ascii="Calibri" w:hAnsi="Calibri" w:cs="Calibri"/>
              </w:rPr>
            </w:pPr>
            <w:r w:rsidRPr="0059772D">
              <w:rPr>
                <w:rFonts w:ascii="Calibri" w:hAnsi="Calibri" w:cs="Calibri"/>
                <w:b/>
                <w:color w:val="FFFFFF"/>
                <w:sz w:val="17"/>
              </w:rPr>
              <w:t>Observed behavior</w:t>
            </w:r>
          </w:p>
        </w:tc>
        <w:tc>
          <w:tcPr>
            <w:tcW w:w="1285" w:type="dxa"/>
            <w:shd w:val="clear" w:color="auto" w:fill="193B5F"/>
            <w:vAlign w:val="center"/>
          </w:tcPr>
          <w:p w14:paraId="0B64AECF" w14:textId="77777777" w:rsidR="00626E24" w:rsidRPr="0059772D" w:rsidRDefault="005B3BB1">
            <w:pPr>
              <w:spacing w:after="20" w:line="220" w:lineRule="auto"/>
              <w:rPr>
                <w:rFonts w:ascii="Calibri" w:hAnsi="Calibri" w:cs="Calibri"/>
              </w:rPr>
            </w:pPr>
            <w:r w:rsidRPr="0059772D">
              <w:rPr>
                <w:rFonts w:ascii="Calibri" w:hAnsi="Calibri" w:cs="Calibri"/>
                <w:b/>
                <w:color w:val="FFFFFF"/>
                <w:sz w:val="17"/>
              </w:rPr>
              <w:t>ATT&amp;CK tactic</w:t>
            </w:r>
          </w:p>
        </w:tc>
        <w:tc>
          <w:tcPr>
            <w:tcW w:w="1670" w:type="dxa"/>
            <w:shd w:val="clear" w:color="auto" w:fill="193B5F"/>
            <w:vAlign w:val="center"/>
          </w:tcPr>
          <w:p w14:paraId="3092F8CB" w14:textId="77777777" w:rsidR="00626E24" w:rsidRPr="0059772D" w:rsidRDefault="005B3BB1">
            <w:pPr>
              <w:spacing w:after="20" w:line="220" w:lineRule="auto"/>
              <w:rPr>
                <w:rFonts w:ascii="Calibri" w:hAnsi="Calibri" w:cs="Calibri"/>
              </w:rPr>
            </w:pPr>
            <w:r w:rsidRPr="0059772D">
              <w:rPr>
                <w:rFonts w:ascii="Calibri" w:hAnsi="Calibri" w:cs="Calibri"/>
                <w:b/>
                <w:color w:val="FFFFFF"/>
                <w:sz w:val="17"/>
              </w:rPr>
              <w:t>Technique / ID</w:t>
            </w:r>
          </w:p>
        </w:tc>
        <w:tc>
          <w:tcPr>
            <w:tcW w:w="2420" w:type="dxa"/>
            <w:shd w:val="clear" w:color="auto" w:fill="193B5F"/>
            <w:vAlign w:val="center"/>
          </w:tcPr>
          <w:p w14:paraId="115F4310" w14:textId="77777777" w:rsidR="00626E24" w:rsidRPr="0059772D" w:rsidRDefault="005B3BB1">
            <w:pPr>
              <w:spacing w:after="20" w:line="220" w:lineRule="auto"/>
              <w:rPr>
                <w:rFonts w:ascii="Calibri" w:hAnsi="Calibri" w:cs="Calibri"/>
              </w:rPr>
            </w:pPr>
            <w:r w:rsidRPr="0059772D">
              <w:rPr>
                <w:rFonts w:ascii="Calibri" w:hAnsi="Calibri" w:cs="Calibri"/>
                <w:b/>
                <w:color w:val="FFFFFF"/>
                <w:sz w:val="17"/>
              </w:rPr>
              <w:t>Evidence and mapping rationale</w:t>
            </w:r>
          </w:p>
        </w:tc>
        <w:tc>
          <w:tcPr>
            <w:tcW w:w="2386" w:type="dxa"/>
            <w:shd w:val="clear" w:color="auto" w:fill="193B5F"/>
            <w:vAlign w:val="center"/>
          </w:tcPr>
          <w:p w14:paraId="0E9C82F3" w14:textId="77777777" w:rsidR="00626E24" w:rsidRPr="0059772D" w:rsidRDefault="005B3BB1">
            <w:pPr>
              <w:spacing w:after="20" w:line="220" w:lineRule="auto"/>
              <w:rPr>
                <w:rFonts w:ascii="Calibri" w:hAnsi="Calibri" w:cs="Calibri"/>
              </w:rPr>
            </w:pPr>
            <w:r w:rsidRPr="0059772D">
              <w:rPr>
                <w:rFonts w:ascii="Calibri" w:hAnsi="Calibri" w:cs="Calibri"/>
                <w:b/>
                <w:color w:val="FFFFFF"/>
                <w:sz w:val="17"/>
              </w:rPr>
              <w:t>SOC telemetry / investigation</w:t>
            </w:r>
          </w:p>
        </w:tc>
      </w:tr>
      <w:tr w:rsidR="00626E24" w:rsidRPr="0059772D" w14:paraId="18A4FB30" w14:textId="77777777" w:rsidTr="005B3BB1">
        <w:trPr>
          <w:cantSplit/>
          <w:jc w:val="center"/>
        </w:trPr>
        <w:tc>
          <w:tcPr>
            <w:tcW w:w="1835" w:type="dxa"/>
            <w:vAlign w:val="center"/>
          </w:tcPr>
          <w:p w14:paraId="494257C0" w14:textId="77777777" w:rsidR="00626E24" w:rsidRPr="0059772D" w:rsidRDefault="005B3BB1">
            <w:pPr>
              <w:spacing w:after="35" w:line="220" w:lineRule="auto"/>
              <w:rPr>
                <w:rFonts w:ascii="Calibri" w:hAnsi="Calibri" w:cs="Calibri"/>
              </w:rPr>
            </w:pPr>
            <w:r w:rsidRPr="0059772D">
              <w:rPr>
                <w:rFonts w:ascii="Calibri" w:hAnsi="Calibri" w:cs="Calibri"/>
                <w:sz w:val="17"/>
              </w:rPr>
              <w:t>5–15 POSTs to /%50SEMHUB/hub with a serialized Java object to verify whether the target is vulnerable.</w:t>
            </w:r>
          </w:p>
        </w:tc>
        <w:tc>
          <w:tcPr>
            <w:tcW w:w="1285" w:type="dxa"/>
            <w:vAlign w:val="center"/>
          </w:tcPr>
          <w:p w14:paraId="112D3F8A" w14:textId="77777777" w:rsidR="00626E24" w:rsidRPr="0059772D" w:rsidRDefault="005B3BB1">
            <w:pPr>
              <w:spacing w:after="35" w:line="220" w:lineRule="auto"/>
              <w:rPr>
                <w:rFonts w:ascii="Calibri" w:hAnsi="Calibri" w:cs="Calibri"/>
              </w:rPr>
            </w:pPr>
            <w:r w:rsidRPr="0059772D">
              <w:rPr>
                <w:rFonts w:ascii="Calibri" w:hAnsi="Calibri" w:cs="Calibri"/>
                <w:sz w:val="17"/>
              </w:rPr>
              <w:t>Reconnaissance</w:t>
            </w:r>
          </w:p>
        </w:tc>
        <w:tc>
          <w:tcPr>
            <w:tcW w:w="1670" w:type="dxa"/>
            <w:vAlign w:val="center"/>
          </w:tcPr>
          <w:p w14:paraId="0FEB3BFF" w14:textId="77777777" w:rsidR="00626E24" w:rsidRPr="0059772D" w:rsidRDefault="005B3BB1">
            <w:pPr>
              <w:spacing w:after="35" w:line="220" w:lineRule="auto"/>
              <w:rPr>
                <w:rFonts w:ascii="Calibri" w:hAnsi="Calibri" w:cs="Calibri"/>
              </w:rPr>
            </w:pPr>
            <w:r w:rsidRPr="0059772D">
              <w:rPr>
                <w:rFonts w:ascii="Calibri" w:hAnsi="Calibri" w:cs="Calibri"/>
                <w:sz w:val="17"/>
              </w:rPr>
              <w:t>Active Scanning: Vulnerability Scanning (T1595.002)</w:t>
            </w:r>
          </w:p>
        </w:tc>
        <w:tc>
          <w:tcPr>
            <w:tcW w:w="2420" w:type="dxa"/>
            <w:vAlign w:val="center"/>
          </w:tcPr>
          <w:p w14:paraId="4E695537" w14:textId="77777777" w:rsidR="00626E24" w:rsidRPr="0059772D" w:rsidRDefault="005B3BB1">
            <w:pPr>
              <w:spacing w:after="35" w:line="220" w:lineRule="auto"/>
              <w:rPr>
                <w:rFonts w:ascii="Calibri" w:hAnsi="Calibri" w:cs="Calibri"/>
              </w:rPr>
            </w:pPr>
            <w:r w:rsidRPr="0059772D">
              <w:rPr>
                <w:rFonts w:ascii="Calibri" w:hAnsi="Calibri" w:cs="Calibri"/>
                <w:sz w:val="17"/>
              </w:rPr>
              <w:t>Mandiant describes this repeated, non-disruptive request pattern as target verification before exploitation. It checks for a specific exploitable application condition. The report notes that validation may occur without follow-on activity, so the probe alone does not prove compromise.</w:t>
            </w:r>
          </w:p>
        </w:tc>
        <w:tc>
          <w:tcPr>
            <w:tcW w:w="2386" w:type="dxa"/>
            <w:vAlign w:val="center"/>
          </w:tcPr>
          <w:p w14:paraId="39F705EF"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Telemetry: </w:t>
            </w:r>
            <w:r w:rsidRPr="0059772D">
              <w:rPr>
                <w:rFonts w:ascii="Calibri" w:hAnsi="Calibri" w:cs="Calibri"/>
                <w:sz w:val="17"/>
              </w:rPr>
              <w:t>PIA/WebLogic, reverse-proxy and WAF access logs.</w:t>
            </w:r>
          </w:p>
          <w:p w14:paraId="54AB6B54"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1: </w:t>
            </w:r>
            <w:r w:rsidRPr="0059772D">
              <w:rPr>
                <w:rFonts w:ascii="Calibri" w:hAnsi="Calibri" w:cs="Calibri"/>
                <w:sz w:val="17"/>
              </w:rPr>
              <w:t>Group repeated POSTs by source, host, URI and response; preserve both raw and normalized paths.</w:t>
            </w:r>
          </w:p>
          <w:p w14:paraId="4F41569F"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2: </w:t>
            </w:r>
            <w:r w:rsidRPr="0059772D">
              <w:rPr>
                <w:rFonts w:ascii="Calibri" w:hAnsi="Calibri" w:cs="Calibri"/>
                <w:sz w:val="17"/>
              </w:rPr>
              <w:t>Correlate with later shell processes or JSP writes; determine whether the host was only checked or later exploited.</w:t>
            </w:r>
          </w:p>
        </w:tc>
      </w:tr>
      <w:tr w:rsidR="00626E24" w:rsidRPr="0059772D" w14:paraId="6E919639" w14:textId="77777777" w:rsidTr="005B3BB1">
        <w:trPr>
          <w:cantSplit/>
          <w:jc w:val="center"/>
        </w:trPr>
        <w:tc>
          <w:tcPr>
            <w:tcW w:w="1835" w:type="dxa"/>
            <w:vAlign w:val="center"/>
          </w:tcPr>
          <w:p w14:paraId="0C4529B9" w14:textId="77777777" w:rsidR="00626E24" w:rsidRPr="0059772D" w:rsidRDefault="005B3BB1">
            <w:pPr>
              <w:spacing w:after="35" w:line="220" w:lineRule="auto"/>
              <w:rPr>
                <w:rFonts w:ascii="Calibri" w:hAnsi="Calibri" w:cs="Calibri"/>
              </w:rPr>
            </w:pPr>
            <w:r w:rsidRPr="0059772D">
              <w:rPr>
                <w:rFonts w:ascii="Calibri" w:hAnsi="Calibri" w:cs="Calibri"/>
                <w:sz w:val="17"/>
              </w:rPr>
              <w:t>The request path uses /%50SEMHUB/ instead of the literal /PSEMHUB/ path to reach the vulnerable endpoint.</w:t>
            </w:r>
          </w:p>
        </w:tc>
        <w:tc>
          <w:tcPr>
            <w:tcW w:w="1285" w:type="dxa"/>
            <w:vAlign w:val="center"/>
          </w:tcPr>
          <w:p w14:paraId="545E440B" w14:textId="77777777" w:rsidR="00626E24" w:rsidRPr="0059772D" w:rsidRDefault="005B3BB1">
            <w:pPr>
              <w:spacing w:after="35" w:line="220" w:lineRule="auto"/>
              <w:rPr>
                <w:rFonts w:ascii="Calibri" w:hAnsi="Calibri" w:cs="Calibri"/>
              </w:rPr>
            </w:pPr>
            <w:r w:rsidRPr="0059772D">
              <w:rPr>
                <w:rFonts w:ascii="Calibri" w:hAnsi="Calibri" w:cs="Calibri"/>
                <w:sz w:val="17"/>
              </w:rPr>
              <w:t>Defense Evasion</w:t>
            </w:r>
          </w:p>
        </w:tc>
        <w:tc>
          <w:tcPr>
            <w:tcW w:w="1670" w:type="dxa"/>
            <w:vAlign w:val="center"/>
          </w:tcPr>
          <w:p w14:paraId="3F654FC9" w14:textId="77777777" w:rsidR="00626E24" w:rsidRPr="0059772D" w:rsidRDefault="005B3BB1">
            <w:pPr>
              <w:spacing w:after="35" w:line="220" w:lineRule="auto"/>
              <w:rPr>
                <w:rFonts w:ascii="Calibri" w:hAnsi="Calibri" w:cs="Calibri"/>
              </w:rPr>
            </w:pPr>
            <w:r w:rsidRPr="0059772D">
              <w:rPr>
                <w:rFonts w:ascii="Calibri" w:hAnsi="Calibri" w:cs="Calibri"/>
                <w:sz w:val="17"/>
              </w:rPr>
              <w:t>Obfuscated Files or Information (T1027)</w:t>
            </w:r>
          </w:p>
        </w:tc>
        <w:tc>
          <w:tcPr>
            <w:tcW w:w="2420" w:type="dxa"/>
            <w:vAlign w:val="center"/>
          </w:tcPr>
          <w:p w14:paraId="2CB29A2D" w14:textId="77777777" w:rsidR="00626E24" w:rsidRPr="0059772D" w:rsidRDefault="005B3BB1">
            <w:pPr>
              <w:spacing w:after="35" w:line="220" w:lineRule="auto"/>
              <w:rPr>
                <w:rFonts w:ascii="Calibri" w:hAnsi="Calibri" w:cs="Calibri"/>
              </w:rPr>
            </w:pPr>
            <w:r w:rsidRPr="0059772D">
              <w:rPr>
                <w:rFonts w:ascii="Calibri" w:hAnsi="Calibri" w:cs="Calibri"/>
                <w:sz w:val="17"/>
              </w:rPr>
              <w:t>The report says percent-encoding P bypassed string-based WAF matching while WebLogic decoded and routed the path. Its ATT&amp;CK summary maps this behavior to T1027. No narrower sub-technique is assigned because the observed encoding is in a URI path, not a command or file.</w:t>
            </w:r>
          </w:p>
        </w:tc>
        <w:tc>
          <w:tcPr>
            <w:tcW w:w="2386" w:type="dxa"/>
            <w:vAlign w:val="center"/>
          </w:tcPr>
          <w:p w14:paraId="5AD1871D"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Telemetry: </w:t>
            </w:r>
            <w:r w:rsidRPr="0059772D">
              <w:rPr>
                <w:rFonts w:ascii="Calibri" w:hAnsi="Calibri" w:cs="Calibri"/>
                <w:sz w:val="17"/>
              </w:rPr>
              <w:t>WAF/reverse-proxy logs and WebLogic access logs.</w:t>
            </w:r>
          </w:p>
          <w:p w14:paraId="33394A6A"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1: </w:t>
            </w:r>
            <w:r w:rsidRPr="0059772D">
              <w:rPr>
                <w:rFonts w:ascii="Calibri" w:hAnsi="Calibri" w:cs="Calibri"/>
                <w:sz w:val="17"/>
              </w:rPr>
              <w:t>Compare raw and normalized URI, method and response; flag encoded PSEMHUB variants.</w:t>
            </w:r>
          </w:p>
          <w:p w14:paraId="37E8870C"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2: </w:t>
            </w:r>
            <w:r w:rsidRPr="0059772D">
              <w:rPr>
                <w:rFonts w:ascii="Calibri" w:hAnsi="Calibri" w:cs="Calibri"/>
                <w:sz w:val="17"/>
              </w:rPr>
              <w:t>Correlate requests with servlet activity and assess whether path normalization allowed the request past the WAF.</w:t>
            </w:r>
          </w:p>
        </w:tc>
      </w:tr>
      <w:tr w:rsidR="00626E24" w:rsidRPr="0059772D" w14:paraId="3D650324" w14:textId="77777777" w:rsidTr="005B3BB1">
        <w:trPr>
          <w:cantSplit/>
          <w:jc w:val="center"/>
        </w:trPr>
        <w:tc>
          <w:tcPr>
            <w:tcW w:w="1835" w:type="dxa"/>
            <w:vAlign w:val="center"/>
          </w:tcPr>
          <w:p w14:paraId="623CF1C1" w14:textId="77777777" w:rsidR="00626E24" w:rsidRPr="0059772D" w:rsidRDefault="005B3BB1">
            <w:pPr>
              <w:spacing w:after="35" w:line="220" w:lineRule="auto"/>
              <w:rPr>
                <w:rFonts w:ascii="Calibri" w:hAnsi="Calibri" w:cs="Calibri"/>
              </w:rPr>
            </w:pPr>
            <w:r w:rsidRPr="0059772D">
              <w:rPr>
                <w:rFonts w:ascii="Calibri" w:hAnsi="Calibri" w:cs="Calibri"/>
                <w:sz w:val="17"/>
              </w:rPr>
              <w:t>An external request exploits CVE-2026-35273 in PSEMHUB; the WebLogic Java process can spawn cmd.exe or /bin/sh and return command output without writing a file.</w:t>
            </w:r>
          </w:p>
        </w:tc>
        <w:tc>
          <w:tcPr>
            <w:tcW w:w="1285" w:type="dxa"/>
            <w:vAlign w:val="center"/>
          </w:tcPr>
          <w:p w14:paraId="57136C6D" w14:textId="77777777" w:rsidR="00626E24" w:rsidRPr="0059772D" w:rsidRDefault="005B3BB1">
            <w:pPr>
              <w:spacing w:after="35" w:line="220" w:lineRule="auto"/>
              <w:rPr>
                <w:rFonts w:ascii="Calibri" w:hAnsi="Calibri" w:cs="Calibri"/>
              </w:rPr>
            </w:pPr>
            <w:r w:rsidRPr="0059772D">
              <w:rPr>
                <w:rFonts w:ascii="Calibri" w:hAnsi="Calibri" w:cs="Calibri"/>
                <w:sz w:val="17"/>
              </w:rPr>
              <w:t>Initial Access; Execution</w:t>
            </w:r>
          </w:p>
        </w:tc>
        <w:tc>
          <w:tcPr>
            <w:tcW w:w="1670" w:type="dxa"/>
            <w:vAlign w:val="center"/>
          </w:tcPr>
          <w:p w14:paraId="1F338058" w14:textId="77777777" w:rsidR="00626E24" w:rsidRPr="0059772D" w:rsidRDefault="005B3BB1">
            <w:pPr>
              <w:spacing w:after="35" w:line="220" w:lineRule="auto"/>
              <w:rPr>
                <w:rFonts w:ascii="Calibri" w:hAnsi="Calibri" w:cs="Calibri"/>
              </w:rPr>
            </w:pPr>
            <w:r w:rsidRPr="0059772D">
              <w:rPr>
                <w:rFonts w:ascii="Calibri" w:hAnsi="Calibri" w:cs="Calibri"/>
                <w:sz w:val="17"/>
              </w:rPr>
              <w:t>Exploit Public-Facing Application (T1190)</w:t>
            </w:r>
          </w:p>
          <w:p w14:paraId="15CF7548" w14:textId="77777777" w:rsidR="00626E24" w:rsidRPr="0059772D" w:rsidRDefault="005B3BB1">
            <w:pPr>
              <w:spacing w:after="35" w:line="220" w:lineRule="auto"/>
              <w:rPr>
                <w:rFonts w:ascii="Calibri" w:hAnsi="Calibri" w:cs="Calibri"/>
              </w:rPr>
            </w:pPr>
            <w:r w:rsidRPr="0059772D">
              <w:rPr>
                <w:rFonts w:ascii="Calibri" w:hAnsi="Calibri" w:cs="Calibri"/>
                <w:sz w:val="17"/>
              </w:rPr>
              <w:t>Command and Scripting Interpreter: Windows Command Shell (T1059.003)</w:t>
            </w:r>
          </w:p>
          <w:p w14:paraId="52D2FF4E" w14:textId="77777777" w:rsidR="00626E24" w:rsidRPr="0059772D" w:rsidRDefault="005B3BB1">
            <w:pPr>
              <w:spacing w:after="35" w:line="220" w:lineRule="auto"/>
              <w:rPr>
                <w:rFonts w:ascii="Calibri" w:hAnsi="Calibri" w:cs="Calibri"/>
              </w:rPr>
            </w:pPr>
            <w:r w:rsidRPr="0059772D">
              <w:rPr>
                <w:rFonts w:ascii="Calibri" w:hAnsi="Calibri" w:cs="Calibri"/>
                <w:sz w:val="17"/>
              </w:rPr>
              <w:t>Command and Scripting Interpreter: Unix Shell (T1059.004)</w:t>
            </w:r>
          </w:p>
        </w:tc>
        <w:tc>
          <w:tcPr>
            <w:tcW w:w="2420" w:type="dxa"/>
            <w:vAlign w:val="center"/>
          </w:tcPr>
          <w:p w14:paraId="03993D5D" w14:textId="77777777" w:rsidR="00626E24" w:rsidRPr="0059772D" w:rsidRDefault="005B3BB1">
            <w:pPr>
              <w:spacing w:after="35" w:line="220" w:lineRule="auto"/>
              <w:rPr>
                <w:rFonts w:ascii="Calibri" w:hAnsi="Calibri" w:cs="Calibri"/>
              </w:rPr>
            </w:pPr>
            <w:r w:rsidRPr="0059772D">
              <w:rPr>
                <w:rFonts w:ascii="Calibri" w:hAnsi="Calibri" w:cs="Calibri"/>
                <w:sz w:val="17"/>
              </w:rPr>
              <w:t>The report identifies the public-facing PSEMHUB servlet and Java deserialization exploit. It separately describes fileless command execution and names the Windows and Unix shell children of WebLogic, supporting the platform-specific sub-techniques.</w:t>
            </w:r>
          </w:p>
        </w:tc>
        <w:tc>
          <w:tcPr>
            <w:tcW w:w="2386" w:type="dxa"/>
            <w:vAlign w:val="center"/>
          </w:tcPr>
          <w:p w14:paraId="28D3CD16"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Telemetry: </w:t>
            </w:r>
            <w:r w:rsidRPr="0059772D">
              <w:rPr>
                <w:rFonts w:ascii="Calibri" w:hAnsi="Calibri" w:cs="Calibri"/>
                <w:sz w:val="17"/>
              </w:rPr>
              <w:t>EDR process-creation events, Sysmon Event ID 1, Linux auditd/eBPF, and WebLogic logs.</w:t>
            </w:r>
          </w:p>
          <w:p w14:paraId="606F9696"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1: </w:t>
            </w:r>
            <w:r w:rsidRPr="0059772D">
              <w:rPr>
                <w:rFonts w:ascii="Calibri" w:hAnsi="Calibri" w:cs="Calibri"/>
                <w:sz w:val="17"/>
              </w:rPr>
              <w:t>Triage WebLogic/JVM-to-cmd.exe or /bin/sh parent-child chains, command line, user and timestamp.</w:t>
            </w:r>
          </w:p>
          <w:p w14:paraId="33F0F147"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2: </w:t>
            </w:r>
            <w:r w:rsidRPr="0059772D">
              <w:rPr>
                <w:rFonts w:ascii="Calibri" w:hAnsi="Calibri" w:cs="Calibri"/>
                <w:sz w:val="17"/>
              </w:rPr>
              <w:t>Align process starts with POST /hub requests and responses; reconstruct commands, scope affected nodes and distinguish approved administration.</w:t>
            </w:r>
          </w:p>
        </w:tc>
      </w:tr>
      <w:tr w:rsidR="00626E24" w:rsidRPr="0059772D" w14:paraId="179A4066" w14:textId="77777777" w:rsidTr="005B3BB1">
        <w:trPr>
          <w:cantSplit/>
          <w:jc w:val="center"/>
        </w:trPr>
        <w:tc>
          <w:tcPr>
            <w:tcW w:w="1835" w:type="dxa"/>
            <w:vAlign w:val="center"/>
          </w:tcPr>
          <w:p w14:paraId="67364774" w14:textId="77777777" w:rsidR="00626E24" w:rsidRPr="0059772D" w:rsidRDefault="005B3BB1">
            <w:pPr>
              <w:spacing w:after="35" w:line="220" w:lineRule="auto"/>
              <w:rPr>
                <w:rFonts w:ascii="Calibri" w:hAnsi="Calibri" w:cs="Calibri"/>
              </w:rPr>
            </w:pPr>
            <w:r w:rsidRPr="0059772D">
              <w:rPr>
                <w:rFonts w:ascii="Calibri" w:hAnsi="Calibri" w:cs="Calibri"/>
                <w:sz w:val="17"/>
              </w:rPr>
              <w:t>Unexpected x.jsp and u.jsp web shells are written into the PSEMHUB.war directory.</w:t>
            </w:r>
          </w:p>
        </w:tc>
        <w:tc>
          <w:tcPr>
            <w:tcW w:w="1285" w:type="dxa"/>
            <w:vAlign w:val="center"/>
          </w:tcPr>
          <w:p w14:paraId="28602301" w14:textId="77777777" w:rsidR="00626E24" w:rsidRPr="0059772D" w:rsidRDefault="005B3BB1">
            <w:pPr>
              <w:spacing w:after="35" w:line="220" w:lineRule="auto"/>
              <w:rPr>
                <w:rFonts w:ascii="Calibri" w:hAnsi="Calibri" w:cs="Calibri"/>
              </w:rPr>
            </w:pPr>
            <w:r w:rsidRPr="0059772D">
              <w:rPr>
                <w:rFonts w:ascii="Calibri" w:hAnsi="Calibri" w:cs="Calibri"/>
                <w:sz w:val="17"/>
              </w:rPr>
              <w:t>Persistence</w:t>
            </w:r>
          </w:p>
        </w:tc>
        <w:tc>
          <w:tcPr>
            <w:tcW w:w="1670" w:type="dxa"/>
            <w:vAlign w:val="center"/>
          </w:tcPr>
          <w:p w14:paraId="0B2BAC7E" w14:textId="77777777" w:rsidR="00626E24" w:rsidRPr="0059772D" w:rsidRDefault="005B3BB1">
            <w:pPr>
              <w:spacing w:after="35" w:line="220" w:lineRule="auto"/>
              <w:rPr>
                <w:rFonts w:ascii="Calibri" w:hAnsi="Calibri" w:cs="Calibri"/>
              </w:rPr>
            </w:pPr>
            <w:r w:rsidRPr="0059772D">
              <w:rPr>
                <w:rFonts w:ascii="Calibri" w:hAnsi="Calibri" w:cs="Calibri"/>
                <w:sz w:val="17"/>
              </w:rPr>
              <w:t>Server Software Component: Web Shell (T1505.003)</w:t>
            </w:r>
          </w:p>
        </w:tc>
        <w:tc>
          <w:tcPr>
            <w:tcW w:w="2420" w:type="dxa"/>
            <w:vAlign w:val="center"/>
          </w:tcPr>
          <w:p w14:paraId="25850A0F" w14:textId="77777777" w:rsidR="00626E24" w:rsidRPr="0059772D" w:rsidRDefault="005B3BB1">
            <w:pPr>
              <w:spacing w:after="35" w:line="220" w:lineRule="auto"/>
              <w:rPr>
                <w:rFonts w:ascii="Calibri" w:hAnsi="Calibri" w:cs="Calibri"/>
              </w:rPr>
            </w:pPr>
            <w:r w:rsidRPr="0059772D">
              <w:rPr>
                <w:rFonts w:ascii="Calibri" w:hAnsi="Calibri" w:cs="Calibri"/>
                <w:sz w:val="17"/>
              </w:rPr>
              <w:t>Mandiant names x.jsp and u.jsp as deployed web shells and describes their remote command and file-handling functions. A server-side script placed in an exposed web directory is a direct match; no additional persistence sub-technique is needed.</w:t>
            </w:r>
          </w:p>
        </w:tc>
        <w:tc>
          <w:tcPr>
            <w:tcW w:w="2386" w:type="dxa"/>
            <w:vAlign w:val="center"/>
          </w:tcPr>
          <w:p w14:paraId="7BDFA255"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Telemetry: </w:t>
            </w:r>
            <w:r w:rsidRPr="0059772D">
              <w:rPr>
                <w:rFonts w:ascii="Calibri" w:hAnsi="Calibri" w:cs="Calibri"/>
                <w:sz w:val="17"/>
              </w:rPr>
              <w:t>EDR/file-integrity events and WebLogic access logs.</w:t>
            </w:r>
          </w:p>
          <w:p w14:paraId="4D63A29F"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1: </w:t>
            </w:r>
            <w:r w:rsidRPr="0059772D">
              <w:rPr>
                <w:rFonts w:ascii="Calibri" w:hAnsi="Calibri" w:cs="Calibri"/>
                <w:sz w:val="17"/>
              </w:rPr>
              <w:t>Identify new or modified JSP files, timestamps, hashes and requests to them; compare with the shipped baseline.</w:t>
            </w:r>
          </w:p>
          <w:p w14:paraId="02627E77"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2: </w:t>
            </w:r>
            <w:r w:rsidRPr="0059772D">
              <w:rPr>
                <w:rFonts w:ascii="Calibri" w:hAnsi="Calibri" w:cs="Calibri"/>
                <w:sz w:val="17"/>
              </w:rPr>
              <w:t>Inspect content and writer process/account, correlate with exploit traffic, check every load-balanced node and preserve evidence.</w:t>
            </w:r>
          </w:p>
        </w:tc>
      </w:tr>
      <w:tr w:rsidR="00626E24" w:rsidRPr="0059772D" w14:paraId="2AC18CC7" w14:textId="77777777" w:rsidTr="005B3BB1">
        <w:trPr>
          <w:cantSplit/>
          <w:jc w:val="center"/>
        </w:trPr>
        <w:tc>
          <w:tcPr>
            <w:tcW w:w="1835" w:type="dxa"/>
            <w:vAlign w:val="center"/>
          </w:tcPr>
          <w:p w14:paraId="13A54022" w14:textId="77777777" w:rsidR="00626E24" w:rsidRPr="0059772D" w:rsidRDefault="005B3BB1">
            <w:pPr>
              <w:spacing w:after="35" w:line="220" w:lineRule="auto"/>
              <w:rPr>
                <w:rFonts w:ascii="Calibri" w:hAnsi="Calibri" w:cs="Calibri"/>
              </w:rPr>
            </w:pPr>
            <w:r w:rsidRPr="0059772D">
              <w:rPr>
                <w:rFonts w:ascii="Calibri" w:hAnsi="Calibri" w:cs="Calibri"/>
                <w:sz w:val="17"/>
              </w:rPr>
              <w:lastRenderedPageBreak/>
              <w:t>Post-exploitation commands include hostname, uname -a, whoami/id and tasklist to learn host, user and running-process information.</w:t>
            </w:r>
          </w:p>
        </w:tc>
        <w:tc>
          <w:tcPr>
            <w:tcW w:w="1285" w:type="dxa"/>
            <w:vAlign w:val="center"/>
          </w:tcPr>
          <w:p w14:paraId="459A0FE0" w14:textId="77777777" w:rsidR="00626E24" w:rsidRPr="0059772D" w:rsidRDefault="005B3BB1">
            <w:pPr>
              <w:spacing w:after="35" w:line="220" w:lineRule="auto"/>
              <w:rPr>
                <w:rFonts w:ascii="Calibri" w:hAnsi="Calibri" w:cs="Calibri"/>
              </w:rPr>
            </w:pPr>
            <w:r w:rsidRPr="0059772D">
              <w:rPr>
                <w:rFonts w:ascii="Calibri" w:hAnsi="Calibri" w:cs="Calibri"/>
                <w:sz w:val="17"/>
              </w:rPr>
              <w:t>Discovery</w:t>
            </w:r>
          </w:p>
        </w:tc>
        <w:tc>
          <w:tcPr>
            <w:tcW w:w="1670" w:type="dxa"/>
            <w:vAlign w:val="center"/>
          </w:tcPr>
          <w:p w14:paraId="425FCEB4" w14:textId="77777777" w:rsidR="00626E24" w:rsidRPr="0059772D" w:rsidRDefault="005B3BB1">
            <w:pPr>
              <w:spacing w:after="35" w:line="220" w:lineRule="auto"/>
              <w:rPr>
                <w:rFonts w:ascii="Calibri" w:hAnsi="Calibri" w:cs="Calibri"/>
              </w:rPr>
            </w:pPr>
            <w:r w:rsidRPr="0059772D">
              <w:rPr>
                <w:rFonts w:ascii="Calibri" w:hAnsi="Calibri" w:cs="Calibri"/>
                <w:sz w:val="17"/>
              </w:rPr>
              <w:t>System Information Discovery (T1082)</w:t>
            </w:r>
          </w:p>
          <w:p w14:paraId="7089B06C" w14:textId="77777777" w:rsidR="00626E24" w:rsidRPr="0059772D" w:rsidRDefault="005B3BB1">
            <w:pPr>
              <w:spacing w:after="35" w:line="220" w:lineRule="auto"/>
              <w:rPr>
                <w:rFonts w:ascii="Calibri" w:hAnsi="Calibri" w:cs="Calibri"/>
              </w:rPr>
            </w:pPr>
            <w:r w:rsidRPr="0059772D">
              <w:rPr>
                <w:rFonts w:ascii="Calibri" w:hAnsi="Calibri" w:cs="Calibri"/>
                <w:sz w:val="17"/>
              </w:rPr>
              <w:t>System Owner/User Discovery (T1033)</w:t>
            </w:r>
          </w:p>
          <w:p w14:paraId="6D4201B0" w14:textId="77777777" w:rsidR="00626E24" w:rsidRPr="0059772D" w:rsidRDefault="005B3BB1">
            <w:pPr>
              <w:spacing w:after="35" w:line="220" w:lineRule="auto"/>
              <w:rPr>
                <w:rFonts w:ascii="Calibri" w:hAnsi="Calibri" w:cs="Calibri"/>
              </w:rPr>
            </w:pPr>
            <w:r w:rsidRPr="0059772D">
              <w:rPr>
                <w:rFonts w:ascii="Calibri" w:hAnsi="Calibri" w:cs="Calibri"/>
                <w:sz w:val="17"/>
              </w:rPr>
              <w:t>Process Discovery (T1057)</w:t>
            </w:r>
          </w:p>
        </w:tc>
        <w:tc>
          <w:tcPr>
            <w:tcW w:w="2420" w:type="dxa"/>
            <w:vAlign w:val="center"/>
          </w:tcPr>
          <w:p w14:paraId="1847B0DB" w14:textId="77777777" w:rsidR="00626E24" w:rsidRPr="0059772D" w:rsidRDefault="005B3BB1">
            <w:pPr>
              <w:spacing w:after="35" w:line="220" w:lineRule="auto"/>
              <w:rPr>
                <w:rFonts w:ascii="Calibri" w:hAnsi="Calibri" w:cs="Calibri"/>
              </w:rPr>
            </w:pPr>
            <w:r w:rsidRPr="0059772D">
              <w:rPr>
                <w:rFonts w:ascii="Calibri" w:hAnsi="Calibri" w:cs="Calibri"/>
                <w:sz w:val="17"/>
              </w:rPr>
              <w:t>The article explicitly lists the commands: hostname/uname -a for system details, whoami/id for the active identity, and tasklist to verify running processes. Each ID maps to a reported command category.</w:t>
            </w:r>
          </w:p>
        </w:tc>
        <w:tc>
          <w:tcPr>
            <w:tcW w:w="2386" w:type="dxa"/>
            <w:vAlign w:val="center"/>
          </w:tcPr>
          <w:p w14:paraId="1158750A"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Telemetry: </w:t>
            </w:r>
            <w:r w:rsidRPr="0059772D">
              <w:rPr>
                <w:rFonts w:ascii="Calibri" w:hAnsi="Calibri" w:cs="Calibri"/>
                <w:sz w:val="17"/>
              </w:rPr>
              <w:t>EDR process command lines, Sysmon Event ID 1, Linux auditd and web-shell access logs.</w:t>
            </w:r>
          </w:p>
          <w:p w14:paraId="098EABF2"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1: </w:t>
            </w:r>
            <w:r w:rsidRPr="0059772D">
              <w:rPr>
                <w:rFonts w:ascii="Calibri" w:hAnsi="Calibri" w:cs="Calibri"/>
                <w:sz w:val="17"/>
              </w:rPr>
              <w:t>Flag enumeration commands launched by WebLogic/web-shell processes; record account, host and time.</w:t>
            </w:r>
          </w:p>
          <w:p w14:paraId="416715F1"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2: </w:t>
            </w:r>
            <w:r w:rsidRPr="0059772D">
              <w:rPr>
                <w:rFonts w:ascii="Calibri" w:hAnsi="Calibri" w:cs="Calibri"/>
                <w:sz w:val="17"/>
              </w:rPr>
              <w:t>Correlate with file writes and outbound activity, review root/SYSTEM context and compare with expected admin baselines.</w:t>
            </w:r>
          </w:p>
        </w:tc>
      </w:tr>
      <w:tr w:rsidR="00626E24" w:rsidRPr="0059772D" w14:paraId="665B2FAF" w14:textId="77777777" w:rsidTr="005B3BB1">
        <w:trPr>
          <w:cantSplit/>
          <w:jc w:val="center"/>
        </w:trPr>
        <w:tc>
          <w:tcPr>
            <w:tcW w:w="1835" w:type="dxa"/>
            <w:vAlign w:val="center"/>
          </w:tcPr>
          <w:p w14:paraId="5E427A0B" w14:textId="77777777" w:rsidR="00626E24" w:rsidRPr="0059772D" w:rsidRDefault="005B3BB1">
            <w:pPr>
              <w:spacing w:after="35" w:line="220" w:lineRule="auto"/>
              <w:rPr>
                <w:rFonts w:ascii="Calibri" w:hAnsi="Calibri" w:cs="Calibri"/>
              </w:rPr>
            </w:pPr>
            <w:r w:rsidRPr="0059772D">
              <w:rPr>
                <w:rFonts w:ascii="Calibri" w:hAnsi="Calibri" w:cs="Calibri"/>
                <w:sz w:val="17"/>
              </w:rPr>
              <w:t>Neo-ReGeorg provides SOCKS5 tunneling over HTTP/S through the PeopleSoft host; MeshAgent is deployed for interactive remote management.</w:t>
            </w:r>
          </w:p>
        </w:tc>
        <w:tc>
          <w:tcPr>
            <w:tcW w:w="1285" w:type="dxa"/>
            <w:vAlign w:val="center"/>
          </w:tcPr>
          <w:p w14:paraId="3750EA56" w14:textId="77777777" w:rsidR="00626E24" w:rsidRPr="0059772D" w:rsidRDefault="005B3BB1">
            <w:pPr>
              <w:spacing w:after="35" w:line="220" w:lineRule="auto"/>
              <w:rPr>
                <w:rFonts w:ascii="Calibri" w:hAnsi="Calibri" w:cs="Calibri"/>
              </w:rPr>
            </w:pPr>
            <w:r w:rsidRPr="0059772D">
              <w:rPr>
                <w:rFonts w:ascii="Calibri" w:hAnsi="Calibri" w:cs="Calibri"/>
                <w:sz w:val="17"/>
              </w:rPr>
              <w:t>Command and Control</w:t>
            </w:r>
          </w:p>
        </w:tc>
        <w:tc>
          <w:tcPr>
            <w:tcW w:w="1670" w:type="dxa"/>
            <w:vAlign w:val="center"/>
          </w:tcPr>
          <w:p w14:paraId="363AC620" w14:textId="77777777" w:rsidR="00626E24" w:rsidRPr="0059772D" w:rsidRDefault="005B3BB1">
            <w:pPr>
              <w:spacing w:after="35" w:line="220" w:lineRule="auto"/>
              <w:rPr>
                <w:rFonts w:ascii="Calibri" w:hAnsi="Calibri" w:cs="Calibri"/>
              </w:rPr>
            </w:pPr>
            <w:r w:rsidRPr="0059772D">
              <w:rPr>
                <w:rFonts w:ascii="Calibri" w:hAnsi="Calibri" w:cs="Calibri"/>
                <w:sz w:val="17"/>
              </w:rPr>
              <w:t>Proxy: Internal Proxy (T1090.001)</w:t>
            </w:r>
          </w:p>
          <w:p w14:paraId="07CF8E26" w14:textId="77777777" w:rsidR="00626E24" w:rsidRPr="0059772D" w:rsidRDefault="005B3BB1">
            <w:pPr>
              <w:spacing w:after="35" w:line="220" w:lineRule="auto"/>
              <w:rPr>
                <w:rFonts w:ascii="Calibri" w:hAnsi="Calibri" w:cs="Calibri"/>
              </w:rPr>
            </w:pPr>
            <w:r w:rsidRPr="0059772D">
              <w:rPr>
                <w:rFonts w:ascii="Calibri" w:hAnsi="Calibri" w:cs="Calibri"/>
                <w:sz w:val="17"/>
              </w:rPr>
              <w:t>Remote Access Tools (T1219)</w:t>
            </w:r>
          </w:p>
        </w:tc>
        <w:tc>
          <w:tcPr>
            <w:tcW w:w="2420" w:type="dxa"/>
            <w:vAlign w:val="center"/>
          </w:tcPr>
          <w:p w14:paraId="408CF716" w14:textId="77777777" w:rsidR="00626E24" w:rsidRPr="0059772D" w:rsidRDefault="005B3BB1">
            <w:pPr>
              <w:spacing w:after="35" w:line="220" w:lineRule="auto"/>
              <w:rPr>
                <w:rFonts w:ascii="Calibri" w:hAnsi="Calibri" w:cs="Calibri"/>
              </w:rPr>
            </w:pPr>
            <w:r w:rsidRPr="0059772D">
              <w:rPr>
                <w:rFonts w:ascii="Calibri" w:hAnsi="Calibri" w:cs="Calibri"/>
                <w:sz w:val="17"/>
              </w:rPr>
              <w:t>The report says Neo-ReGeorg routes SOCKS5 traffic through HTTP/S and the compromised web tier for internal discovery/lateral movement, supporting Internal Proxy. It identifies MeshAgent as RMM used to maintain interactive access; the broader T1219 mapping is used without a narrower sub-technique.</w:t>
            </w:r>
          </w:p>
        </w:tc>
        <w:tc>
          <w:tcPr>
            <w:tcW w:w="2386" w:type="dxa"/>
            <w:vAlign w:val="center"/>
          </w:tcPr>
          <w:p w14:paraId="7AEFD211"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Telemetry: </w:t>
            </w:r>
            <w:r w:rsidRPr="0059772D">
              <w:rPr>
                <w:rFonts w:ascii="Calibri" w:hAnsi="Calibri" w:cs="Calibri"/>
                <w:sz w:val="17"/>
              </w:rPr>
              <w:t>Proxy/DNS/firewall/NetFlow and EDR file, process and network events.</w:t>
            </w:r>
          </w:p>
          <w:p w14:paraId="5D5AD687"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1: </w:t>
            </w:r>
            <w:r w:rsidRPr="0059772D">
              <w:rPr>
                <w:rFonts w:ascii="Calibri" w:hAnsi="Calibri" w:cs="Calibri"/>
                <w:sz w:val="17"/>
              </w:rPr>
              <w:t>Check for tunnel JSPs, MeshAgent files/processes and outbound connections to report indicators; record parent process and destinations.</w:t>
            </w:r>
          </w:p>
          <w:p w14:paraId="00E4D8BB" w14:textId="77777777" w:rsidR="00626E24" w:rsidRPr="0059772D" w:rsidRDefault="005B3BB1">
            <w:pPr>
              <w:spacing w:after="35" w:line="220" w:lineRule="auto"/>
              <w:rPr>
                <w:rFonts w:ascii="Calibri" w:hAnsi="Calibri" w:cs="Calibri"/>
              </w:rPr>
            </w:pPr>
            <w:r w:rsidRPr="0059772D">
              <w:rPr>
                <w:rFonts w:ascii="Calibri" w:hAnsi="Calibri" w:cs="Calibri"/>
                <w:b/>
                <w:sz w:val="17"/>
              </w:rPr>
              <w:t xml:space="preserve">Tier 2: </w:t>
            </w:r>
            <w:r w:rsidRPr="0059772D">
              <w:rPr>
                <w:rFonts w:ascii="Calibri" w:hAnsi="Calibri" w:cs="Calibri"/>
                <w:sz w:val="17"/>
              </w:rPr>
              <w:t>Map proxied internal destinations and sessions; investigate MeshCentral/WebSocket traffic and verify whether the RMM use was authorized.</w:t>
            </w:r>
          </w:p>
        </w:tc>
      </w:tr>
    </w:tbl>
    <w:p w14:paraId="53413DCB" w14:textId="77777777" w:rsidR="000205F1" w:rsidRPr="0059772D" w:rsidRDefault="000205F1" w:rsidP="000205F1">
      <w:pPr>
        <w:rPr>
          <w:rFonts w:ascii="Calibri" w:hAnsi="Calibri" w:cs="Calibri"/>
        </w:rPr>
      </w:pPr>
    </w:p>
    <w:sectPr w:rsidR="000205F1" w:rsidRPr="0059772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AB5A6" w14:textId="77777777" w:rsidR="006C3960" w:rsidRDefault="006C3960" w:rsidP="009C759B">
      <w:pPr>
        <w:spacing w:after="0" w:line="240" w:lineRule="auto"/>
      </w:pPr>
      <w:r>
        <w:separator/>
      </w:r>
    </w:p>
  </w:endnote>
  <w:endnote w:type="continuationSeparator" w:id="0">
    <w:p w14:paraId="35DC79D7" w14:textId="77777777" w:rsidR="006C3960" w:rsidRDefault="006C3960" w:rsidP="009C75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2E58B" w14:textId="77777777" w:rsidR="006C3960" w:rsidRDefault="006C3960" w:rsidP="009C759B">
      <w:pPr>
        <w:spacing w:after="0" w:line="240" w:lineRule="auto"/>
      </w:pPr>
      <w:r>
        <w:separator/>
      </w:r>
    </w:p>
  </w:footnote>
  <w:footnote w:type="continuationSeparator" w:id="0">
    <w:p w14:paraId="5B0B5998" w14:textId="77777777" w:rsidR="006C3960" w:rsidRDefault="006C3960" w:rsidP="009C75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06A1"/>
    <w:multiLevelType w:val="multilevel"/>
    <w:tmpl w:val="F37C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126C9"/>
    <w:multiLevelType w:val="multilevel"/>
    <w:tmpl w:val="56DEE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997142">
    <w:abstractNumId w:val="0"/>
  </w:num>
  <w:num w:numId="2" w16cid:durableId="1436973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663"/>
    <w:rsid w:val="000205F1"/>
    <w:rsid w:val="00240275"/>
    <w:rsid w:val="004A1FC0"/>
    <w:rsid w:val="0059772D"/>
    <w:rsid w:val="005B3BB1"/>
    <w:rsid w:val="005D2663"/>
    <w:rsid w:val="00626E24"/>
    <w:rsid w:val="00641E0B"/>
    <w:rsid w:val="006C3960"/>
    <w:rsid w:val="007517D4"/>
    <w:rsid w:val="007F67E6"/>
    <w:rsid w:val="00836921"/>
    <w:rsid w:val="008844A1"/>
    <w:rsid w:val="009C759B"/>
    <w:rsid w:val="00B52E16"/>
    <w:rsid w:val="00C6165B"/>
    <w:rsid w:val="00F2172C"/>
    <w:rsid w:val="00F9252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95F3C"/>
  <w15:chartTrackingRefBased/>
  <w15:docId w15:val="{D718AA8F-D380-470A-9D44-77621244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05F1"/>
  </w:style>
  <w:style w:type="paragraph" w:styleId="2">
    <w:name w:val="heading 2"/>
    <w:basedOn w:val="a"/>
    <w:next w:val="a"/>
    <w:link w:val="20"/>
    <w:uiPriority w:val="9"/>
    <w:semiHidden/>
    <w:unhideWhenUsed/>
    <w:qFormat/>
    <w:rsid w:val="009C75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5">
    <w:name w:val="heading 5"/>
    <w:basedOn w:val="a"/>
    <w:link w:val="50"/>
    <w:uiPriority w:val="9"/>
    <w:qFormat/>
    <w:rsid w:val="008844A1"/>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50">
    <w:name w:val="כותרת 5 תו"/>
    <w:basedOn w:val="a0"/>
    <w:link w:val="5"/>
    <w:uiPriority w:val="9"/>
    <w:rsid w:val="008844A1"/>
    <w:rPr>
      <w:rFonts w:ascii="Times New Roman" w:eastAsia="Times New Roman" w:hAnsi="Times New Roman" w:cs="Times New Roman"/>
      <w:b/>
      <w:bCs/>
      <w:sz w:val="20"/>
      <w:szCs w:val="20"/>
    </w:rPr>
  </w:style>
  <w:style w:type="paragraph" w:customStyle="1" w:styleId="hphpgf">
    <w:name w:val="hphpgf"/>
    <w:basedOn w:val="a"/>
    <w:rsid w:val="008844A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unhideWhenUsed/>
    <w:rsid w:val="008844A1"/>
    <w:rPr>
      <w:color w:val="0563C1" w:themeColor="hyperlink"/>
      <w:u w:val="single"/>
    </w:rPr>
  </w:style>
  <w:style w:type="character" w:customStyle="1" w:styleId="1">
    <w:name w:val="אזכור לא מזוהה1"/>
    <w:basedOn w:val="a0"/>
    <w:uiPriority w:val="99"/>
    <w:semiHidden/>
    <w:unhideWhenUsed/>
    <w:rsid w:val="008844A1"/>
    <w:rPr>
      <w:color w:val="605E5C"/>
      <w:shd w:val="clear" w:color="auto" w:fill="E1DFDD"/>
    </w:rPr>
  </w:style>
  <w:style w:type="paragraph" w:styleId="NormalWeb">
    <w:name w:val="Normal (Web)"/>
    <w:basedOn w:val="a"/>
    <w:uiPriority w:val="99"/>
    <w:unhideWhenUsed/>
    <w:rsid w:val="008844A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a0"/>
    <w:uiPriority w:val="99"/>
    <w:semiHidden/>
    <w:unhideWhenUsed/>
    <w:rsid w:val="008844A1"/>
    <w:rPr>
      <w:rFonts w:ascii="Courier New" w:eastAsia="Times New Roman" w:hAnsi="Courier New" w:cs="Courier New"/>
      <w:sz w:val="20"/>
      <w:szCs w:val="20"/>
    </w:rPr>
  </w:style>
  <w:style w:type="character" w:styleId="a3">
    <w:name w:val="Strong"/>
    <w:basedOn w:val="a0"/>
    <w:uiPriority w:val="22"/>
    <w:qFormat/>
    <w:rsid w:val="000205F1"/>
    <w:rPr>
      <w:b/>
      <w:bCs/>
    </w:rPr>
  </w:style>
  <w:style w:type="paragraph" w:styleId="a4">
    <w:name w:val="header"/>
    <w:basedOn w:val="a"/>
    <w:link w:val="a5"/>
    <w:uiPriority w:val="99"/>
    <w:unhideWhenUsed/>
    <w:rsid w:val="009C759B"/>
    <w:pPr>
      <w:tabs>
        <w:tab w:val="center" w:pos="4513"/>
        <w:tab w:val="right" w:pos="9026"/>
      </w:tabs>
      <w:spacing w:after="0" w:line="240" w:lineRule="auto"/>
    </w:pPr>
  </w:style>
  <w:style w:type="character" w:customStyle="1" w:styleId="a5">
    <w:name w:val="כותרת עליונה תו"/>
    <w:basedOn w:val="a0"/>
    <w:link w:val="a4"/>
    <w:uiPriority w:val="99"/>
    <w:rsid w:val="009C759B"/>
  </w:style>
  <w:style w:type="paragraph" w:styleId="a6">
    <w:name w:val="footer"/>
    <w:basedOn w:val="a"/>
    <w:link w:val="a7"/>
    <w:uiPriority w:val="99"/>
    <w:unhideWhenUsed/>
    <w:rsid w:val="009C759B"/>
    <w:pPr>
      <w:tabs>
        <w:tab w:val="center" w:pos="4513"/>
        <w:tab w:val="right" w:pos="9026"/>
      </w:tabs>
      <w:spacing w:after="0" w:line="240" w:lineRule="auto"/>
    </w:pPr>
  </w:style>
  <w:style w:type="character" w:customStyle="1" w:styleId="a7">
    <w:name w:val="כותרת תחתונה תו"/>
    <w:basedOn w:val="a0"/>
    <w:link w:val="a6"/>
    <w:uiPriority w:val="99"/>
    <w:rsid w:val="009C759B"/>
  </w:style>
  <w:style w:type="character" w:customStyle="1" w:styleId="20">
    <w:name w:val="כותרת 2 תו"/>
    <w:basedOn w:val="a0"/>
    <w:link w:val="2"/>
    <w:uiPriority w:val="9"/>
    <w:semiHidden/>
    <w:rsid w:val="009C759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426797">
      <w:bodyDiv w:val="1"/>
      <w:marLeft w:val="0"/>
      <w:marRight w:val="0"/>
      <w:marTop w:val="0"/>
      <w:marBottom w:val="0"/>
      <w:divBdr>
        <w:top w:val="none" w:sz="0" w:space="0" w:color="auto"/>
        <w:left w:val="none" w:sz="0" w:space="0" w:color="auto"/>
        <w:bottom w:val="none" w:sz="0" w:space="0" w:color="auto"/>
        <w:right w:val="none" w:sz="0" w:space="0" w:color="auto"/>
      </w:divBdr>
    </w:div>
    <w:div w:id="373121717">
      <w:bodyDiv w:val="1"/>
      <w:marLeft w:val="0"/>
      <w:marRight w:val="0"/>
      <w:marTop w:val="0"/>
      <w:marBottom w:val="0"/>
      <w:divBdr>
        <w:top w:val="none" w:sz="0" w:space="0" w:color="auto"/>
        <w:left w:val="none" w:sz="0" w:space="0" w:color="auto"/>
        <w:bottom w:val="none" w:sz="0" w:space="0" w:color="auto"/>
        <w:right w:val="none" w:sz="0" w:space="0" w:color="auto"/>
      </w:divBdr>
    </w:div>
    <w:div w:id="459034453">
      <w:bodyDiv w:val="1"/>
      <w:marLeft w:val="0"/>
      <w:marRight w:val="0"/>
      <w:marTop w:val="0"/>
      <w:marBottom w:val="0"/>
      <w:divBdr>
        <w:top w:val="none" w:sz="0" w:space="0" w:color="auto"/>
        <w:left w:val="none" w:sz="0" w:space="0" w:color="auto"/>
        <w:bottom w:val="none" w:sz="0" w:space="0" w:color="auto"/>
        <w:right w:val="none" w:sz="0" w:space="0" w:color="auto"/>
      </w:divBdr>
    </w:div>
    <w:div w:id="479806975">
      <w:bodyDiv w:val="1"/>
      <w:marLeft w:val="0"/>
      <w:marRight w:val="0"/>
      <w:marTop w:val="0"/>
      <w:marBottom w:val="0"/>
      <w:divBdr>
        <w:top w:val="none" w:sz="0" w:space="0" w:color="auto"/>
        <w:left w:val="none" w:sz="0" w:space="0" w:color="auto"/>
        <w:bottom w:val="none" w:sz="0" w:space="0" w:color="auto"/>
        <w:right w:val="none" w:sz="0" w:space="0" w:color="auto"/>
      </w:divBdr>
      <w:divsChild>
        <w:div w:id="614479973">
          <w:marLeft w:val="0"/>
          <w:marRight w:val="0"/>
          <w:marTop w:val="0"/>
          <w:marBottom w:val="900"/>
          <w:divBdr>
            <w:top w:val="none" w:sz="0" w:space="0" w:color="auto"/>
            <w:left w:val="none" w:sz="0" w:space="0" w:color="auto"/>
            <w:bottom w:val="none" w:sz="0" w:space="0" w:color="auto"/>
            <w:right w:val="none" w:sz="0" w:space="0" w:color="auto"/>
          </w:divBdr>
          <w:divsChild>
            <w:div w:id="437140879">
              <w:marLeft w:val="0"/>
              <w:marRight w:val="0"/>
              <w:marTop w:val="180"/>
              <w:marBottom w:val="0"/>
              <w:divBdr>
                <w:top w:val="none" w:sz="0" w:space="0" w:color="auto"/>
                <w:left w:val="none" w:sz="0" w:space="0" w:color="auto"/>
                <w:bottom w:val="none" w:sz="0" w:space="0" w:color="auto"/>
                <w:right w:val="none" w:sz="0" w:space="0" w:color="auto"/>
              </w:divBdr>
            </w:div>
          </w:divsChild>
        </w:div>
        <w:div w:id="1655450477">
          <w:marLeft w:val="0"/>
          <w:marRight w:val="0"/>
          <w:marTop w:val="0"/>
          <w:marBottom w:val="0"/>
          <w:divBdr>
            <w:top w:val="none" w:sz="0" w:space="0" w:color="auto"/>
            <w:left w:val="none" w:sz="0" w:space="0" w:color="auto"/>
            <w:bottom w:val="none" w:sz="0" w:space="0" w:color="auto"/>
            <w:right w:val="none" w:sz="0" w:space="0" w:color="auto"/>
          </w:divBdr>
          <w:divsChild>
            <w:div w:id="2130466831">
              <w:marLeft w:val="0"/>
              <w:marRight w:val="0"/>
              <w:marTop w:val="0"/>
              <w:marBottom w:val="0"/>
              <w:divBdr>
                <w:top w:val="none" w:sz="0" w:space="0" w:color="auto"/>
                <w:left w:val="none" w:sz="0" w:space="0" w:color="auto"/>
                <w:bottom w:val="none" w:sz="0" w:space="0" w:color="auto"/>
                <w:right w:val="none" w:sz="0" w:space="0" w:color="auto"/>
              </w:divBdr>
              <w:divsChild>
                <w:div w:id="1580795821">
                  <w:marLeft w:val="0"/>
                  <w:marRight w:val="-720"/>
                  <w:marTop w:val="0"/>
                  <w:marBottom w:val="0"/>
                  <w:divBdr>
                    <w:top w:val="none" w:sz="0" w:space="0" w:color="auto"/>
                    <w:left w:val="none" w:sz="0" w:space="0" w:color="auto"/>
                    <w:bottom w:val="none" w:sz="0" w:space="0" w:color="auto"/>
                    <w:right w:val="none" w:sz="0" w:space="0" w:color="auto"/>
                  </w:divBdr>
                  <w:divsChild>
                    <w:div w:id="1646859631">
                      <w:marLeft w:val="0"/>
                      <w:marRight w:val="0"/>
                      <w:marTop w:val="0"/>
                      <w:marBottom w:val="0"/>
                      <w:divBdr>
                        <w:top w:val="none" w:sz="0" w:space="0" w:color="auto"/>
                        <w:left w:val="none" w:sz="0" w:space="0" w:color="auto"/>
                        <w:bottom w:val="none" w:sz="0" w:space="0" w:color="auto"/>
                        <w:right w:val="none" w:sz="0" w:space="0" w:color="auto"/>
                      </w:divBdr>
                      <w:divsChild>
                        <w:div w:id="349458410">
                          <w:marLeft w:val="0"/>
                          <w:marRight w:val="0"/>
                          <w:marTop w:val="0"/>
                          <w:marBottom w:val="0"/>
                          <w:divBdr>
                            <w:top w:val="none" w:sz="0" w:space="0" w:color="auto"/>
                            <w:left w:val="none" w:sz="0" w:space="0" w:color="auto"/>
                            <w:bottom w:val="none" w:sz="0" w:space="0" w:color="auto"/>
                            <w:right w:val="none" w:sz="0" w:space="0" w:color="auto"/>
                          </w:divBdr>
                          <w:divsChild>
                            <w:div w:id="81711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447739">
      <w:bodyDiv w:val="1"/>
      <w:marLeft w:val="0"/>
      <w:marRight w:val="0"/>
      <w:marTop w:val="0"/>
      <w:marBottom w:val="0"/>
      <w:divBdr>
        <w:top w:val="none" w:sz="0" w:space="0" w:color="auto"/>
        <w:left w:val="none" w:sz="0" w:space="0" w:color="auto"/>
        <w:bottom w:val="none" w:sz="0" w:space="0" w:color="auto"/>
        <w:right w:val="none" w:sz="0" w:space="0" w:color="auto"/>
      </w:divBdr>
    </w:div>
    <w:div w:id="1160660375">
      <w:bodyDiv w:val="1"/>
      <w:marLeft w:val="0"/>
      <w:marRight w:val="0"/>
      <w:marTop w:val="0"/>
      <w:marBottom w:val="0"/>
      <w:divBdr>
        <w:top w:val="none" w:sz="0" w:space="0" w:color="auto"/>
        <w:left w:val="none" w:sz="0" w:space="0" w:color="auto"/>
        <w:bottom w:val="none" w:sz="0" w:space="0" w:color="auto"/>
        <w:right w:val="none" w:sz="0" w:space="0" w:color="auto"/>
      </w:divBdr>
    </w:div>
    <w:div w:id="1562906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cloud.google.com/blog/topics/threat-intelligence/shinyhunters-renewed-mass-exploitation-campaign-targeting-oracle-peoplesof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1017</Words>
  <Characters>5802</Characters>
  <Application>Microsoft Office Word</Application>
  <DocSecurity>0</DocSecurity>
  <Lines>48</Lines>
  <Paragraphs>13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hit</Company>
  <LinksUpToDate>false</LinksUpToDate>
  <CharactersWithSpaces>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vlsi@stud-hait.ac.il</dc:creator>
  <cp:keywords/>
  <dc:description/>
  <cp:lastModifiedBy>Golan Katzav</cp:lastModifiedBy>
  <cp:revision>3</cp:revision>
  <dcterms:created xsi:type="dcterms:W3CDTF">2026-10-22T14:29:00Z</dcterms:created>
  <dcterms:modified xsi:type="dcterms:W3CDTF">2026-10-22T15:32:00Z</dcterms:modified>
</cp:coreProperties>
</file>