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2663" w:rsidRDefault="005D2663">
      <w:pPr>
        <w:rPr>
          <w:rFonts w:hint="cs"/>
          <w:rtl/>
        </w:rPr>
      </w:pPr>
    </w:p>
    <w:p w:rsidR="00836921" w:rsidRDefault="005D2663">
      <w:r>
        <w:t xml:space="preserve">Golan </w:t>
      </w:r>
      <w:proofErr w:type="spellStart"/>
      <w:r>
        <w:t>Katzav</w:t>
      </w:r>
      <w:proofErr w:type="spellEnd"/>
      <w:r>
        <w:t xml:space="preserve">, </w:t>
      </w:r>
      <w:proofErr w:type="spellStart"/>
      <w:r>
        <w:t>Lior</w:t>
      </w:r>
      <w:proofErr w:type="spellEnd"/>
      <w:r>
        <w:t xml:space="preserve"> Mashiach</w:t>
      </w:r>
    </w:p>
    <w:p w:rsidR="005D2663" w:rsidRDefault="005D2663"/>
    <w:p w:rsidR="005D2663" w:rsidRDefault="005D2663"/>
    <w:p w:rsidR="005D2663" w:rsidRPr="00641E0B" w:rsidRDefault="00641E0B">
      <w:pPr>
        <w:rPr>
          <w:sz w:val="40"/>
          <w:szCs w:val="40"/>
        </w:rPr>
      </w:pPr>
      <w:proofErr w:type="spellStart"/>
      <w:r w:rsidRPr="00641E0B">
        <w:rPr>
          <w:rFonts w:ascii="Arial" w:hAnsi="Arial" w:cs="Arial"/>
          <w:b/>
          <w:bCs/>
          <w:color w:val="202124"/>
          <w:spacing w:val="-8"/>
          <w:sz w:val="40"/>
          <w:szCs w:val="40"/>
          <w:shd w:val="clear" w:color="auto" w:fill="FFFFFF"/>
        </w:rPr>
        <w:t>ShinyHunters</w:t>
      </w:r>
      <w:proofErr w:type="spellEnd"/>
      <w:r w:rsidRPr="00641E0B">
        <w:rPr>
          <w:rFonts w:ascii="Arial" w:hAnsi="Arial" w:cs="Arial"/>
          <w:b/>
          <w:bCs/>
          <w:color w:val="202124"/>
          <w:spacing w:val="-8"/>
          <w:sz w:val="40"/>
          <w:szCs w:val="40"/>
          <w:shd w:val="clear" w:color="auto" w:fill="FFFFFF"/>
        </w:rPr>
        <w:t xml:space="preserve"> Renewed Mass Exploitation Campaign Targeting Oracle PeopleSoft</w:t>
      </w:r>
    </w:p>
    <w:p w:rsidR="008844A1" w:rsidRPr="008844A1" w:rsidRDefault="008844A1" w:rsidP="008844A1">
      <w:pPr>
        <w:shd w:val="clear" w:color="auto" w:fill="FFFFFF"/>
        <w:spacing w:after="0" w:line="240" w:lineRule="auto"/>
        <w:outlineLvl w:val="4"/>
        <w:rPr>
          <w:rFonts w:ascii="Arial" w:eastAsia="Times New Roman" w:hAnsi="Arial" w:cs="Arial"/>
          <w:b/>
          <w:bCs/>
          <w:color w:val="202124"/>
          <w:sz w:val="20"/>
          <w:szCs w:val="20"/>
        </w:rPr>
      </w:pPr>
      <w:r w:rsidRPr="008844A1">
        <w:rPr>
          <w:rFonts w:ascii="Arial" w:eastAsia="Times New Roman" w:hAnsi="Arial" w:cs="Arial"/>
          <w:b/>
          <w:bCs/>
          <w:color w:val="202124"/>
          <w:sz w:val="20"/>
          <w:szCs w:val="20"/>
        </w:rPr>
        <w:t>Mandiant</w:t>
      </w:r>
    </w:p>
    <w:p w:rsidR="005D2663" w:rsidRDefault="005D2663"/>
    <w:p w:rsidR="008844A1" w:rsidRPr="008844A1" w:rsidRDefault="008844A1" w:rsidP="008844A1">
      <w:pPr>
        <w:spacing w:line="360" w:lineRule="atLeast"/>
        <w:jc w:val="center"/>
        <w:rPr>
          <w:rFonts w:ascii="Times New Roman" w:eastAsia="Times New Roman" w:hAnsi="Times New Roman" w:cs="Times New Roman"/>
          <w:color w:val="5F6368"/>
          <w:sz w:val="21"/>
          <w:szCs w:val="21"/>
        </w:rPr>
      </w:pPr>
      <w:r w:rsidRPr="008844A1">
        <w:rPr>
          <w:rFonts w:ascii="Times New Roman" w:eastAsia="Times New Roman" w:hAnsi="Times New Roman" w:cs="Times New Roman"/>
          <w:color w:val="5F6368"/>
          <w:sz w:val="21"/>
          <w:szCs w:val="21"/>
        </w:rPr>
        <w:t>September 26, 2026</w:t>
      </w:r>
    </w:p>
    <w:p w:rsidR="008844A1" w:rsidRDefault="008844A1" w:rsidP="00C6165B">
      <w:pPr>
        <w:pStyle w:val="NormalWeb"/>
        <w:jc w:val="center"/>
      </w:pPr>
      <w:hyperlink r:id="rId5" w:history="1">
        <w:r w:rsidRPr="008844A1">
          <w:rPr>
            <w:rStyle w:val="Hyperlink"/>
            <w:rFonts w:ascii="Arial" w:hAnsi="Arial" w:cs="Arial"/>
          </w:rPr>
          <w:t>https://cloud.google.com/blog/topics/threat-intelligence/shinyhunters-renewed-mass-exploitation-campaign-targeting-oracle-peoplesoft</w:t>
        </w:r>
      </w:hyperlink>
      <w:r w:rsidR="00C6165B">
        <w:rPr>
          <w:rFonts w:ascii="Arial" w:hAnsi="Arial" w:cs="Arial"/>
          <w:color w:val="202124"/>
        </w:rPr>
        <w:br/>
      </w:r>
      <w:r>
        <w:rPr>
          <w:rFonts w:ascii="Arial" w:hAnsi="Arial" w:cs="Arial"/>
          <w:color w:val="202124"/>
        </w:rPr>
        <w:br/>
      </w:r>
      <w:r w:rsidR="00C6165B">
        <w:t xml:space="preserve"> </w:t>
      </w:r>
      <w:r w:rsidR="00C6165B" w:rsidRPr="00C6165B">
        <w:rPr>
          <w:b/>
          <w:bCs/>
          <w:sz w:val="40"/>
          <w:szCs w:val="40"/>
          <w:u w:val="single"/>
        </w:rPr>
        <w:t>short summary</w:t>
      </w:r>
      <w:r w:rsidR="00C6165B">
        <w:rPr>
          <w:b/>
          <w:bCs/>
          <w:sz w:val="40"/>
          <w:szCs w:val="40"/>
          <w:u w:val="single"/>
        </w:rPr>
        <w:t>:</w:t>
      </w:r>
      <w:r w:rsidR="00C6165B" w:rsidRPr="00C6165B">
        <w:rPr>
          <w:b/>
          <w:bCs/>
          <w:sz w:val="40"/>
          <w:szCs w:val="40"/>
          <w:u w:val="single"/>
        </w:rPr>
        <w:br/>
      </w:r>
      <w:r w:rsidR="00C6165B">
        <w:br/>
      </w:r>
      <w:r>
        <w:t>The renewed UNC6240 (</w:t>
      </w:r>
      <w:proofErr w:type="spellStart"/>
      <w:r>
        <w:t>ShinyHunters</w:t>
      </w:r>
      <w:proofErr w:type="spellEnd"/>
      <w:r>
        <w:t xml:space="preserve">) campaign exploits CVE-2026-35273 to compromise </w:t>
      </w:r>
      <w:r>
        <w:rPr>
          <w:b/>
          <w:bCs/>
        </w:rPr>
        <w:t>Oracle PeopleSoft environments</w:t>
      </w:r>
      <w:r>
        <w:t xml:space="preserve">, specifically targeting the Environment Management Hub (PSEMHUB) endpoint. The </w:t>
      </w:r>
      <w:r>
        <w:rPr>
          <w:b/>
          <w:bCs/>
        </w:rPr>
        <w:t>affected environment</w:t>
      </w:r>
      <w:r>
        <w:t xml:space="preserve"> spans dozens of unpatched, globally distributed systems across the higher education, technology, healthcare, agriculture, transportation, and government sectors.</w:t>
      </w:r>
    </w:p>
    <w:p w:rsidR="008844A1" w:rsidRDefault="008844A1" w:rsidP="008844A1">
      <w:pPr>
        <w:pStyle w:val="NormalWeb"/>
      </w:pPr>
      <w:r>
        <w:t xml:space="preserve">The primary </w:t>
      </w:r>
      <w:r>
        <w:rPr>
          <w:b/>
          <w:bCs/>
        </w:rPr>
        <w:t>attack objective</w:t>
      </w:r>
      <w:r>
        <w:t xml:space="preserve"> is data theft extortion. The threat actor seeks to establish persistent access, steal credentials, and exfiltrate sensitive databases (such as HR, payroll, and student records) to extort organizations under the threat of data leaks.</w:t>
      </w:r>
    </w:p>
    <w:p w:rsidR="008844A1" w:rsidRDefault="008844A1" w:rsidP="008844A1">
      <w:pPr>
        <w:pStyle w:val="NormalWeb"/>
      </w:pPr>
      <w:r>
        <w:t xml:space="preserve">The </w:t>
      </w:r>
      <w:r>
        <w:rPr>
          <w:b/>
          <w:bCs/>
        </w:rPr>
        <w:t>observed sequence</w:t>
      </w:r>
      <w:r>
        <w:t xml:space="preserve"> follows a highly structured lifecycle:</w:t>
      </w:r>
    </w:p>
    <w:p w:rsidR="008844A1" w:rsidRDefault="008844A1" w:rsidP="008844A1">
      <w:pPr>
        <w:pStyle w:val="NormalWeb"/>
        <w:numPr>
          <w:ilvl w:val="0"/>
          <w:numId w:val="2"/>
        </w:numPr>
      </w:pPr>
      <w:r>
        <w:rPr>
          <w:b/>
          <w:bCs/>
        </w:rPr>
        <w:t>Target Verification:</w:t>
      </w:r>
      <w:r>
        <w:t xml:space="preserve"> Attackers send non-disruptive serialized Java objects to quietly confirm if a host is unpatched.</w:t>
      </w:r>
    </w:p>
    <w:p w:rsidR="008844A1" w:rsidRDefault="008844A1" w:rsidP="008844A1">
      <w:pPr>
        <w:pStyle w:val="NormalWeb"/>
        <w:numPr>
          <w:ilvl w:val="0"/>
          <w:numId w:val="2"/>
        </w:numPr>
      </w:pPr>
      <w:r>
        <w:rPr>
          <w:b/>
          <w:bCs/>
        </w:rPr>
        <w:t>WAF Bypass:</w:t>
      </w:r>
      <w:r>
        <w:t xml:space="preserve"> They evade string-based Web Application Firewalls by URL-encoding a single character in the request path (e.g., </w:t>
      </w:r>
      <w:r>
        <w:rPr>
          <w:rStyle w:val="HTMLCode"/>
        </w:rPr>
        <w:t>/%50SEMHUB/</w:t>
      </w:r>
      <w:r>
        <w:t>).</w:t>
      </w:r>
    </w:p>
    <w:p w:rsidR="008844A1" w:rsidRDefault="008844A1" w:rsidP="008844A1">
      <w:pPr>
        <w:pStyle w:val="NormalWeb"/>
        <w:numPr>
          <w:ilvl w:val="0"/>
          <w:numId w:val="2"/>
        </w:numPr>
      </w:pPr>
      <w:r>
        <w:rPr>
          <w:b/>
          <w:bCs/>
        </w:rPr>
        <w:t>Exploitation:</w:t>
      </w:r>
      <w:r>
        <w:t xml:space="preserve"> Abusing Java deserialization, the attackers achieve </w:t>
      </w:r>
      <w:proofErr w:type="spellStart"/>
      <w:r>
        <w:t>fileless</w:t>
      </w:r>
      <w:proofErr w:type="spellEnd"/>
      <w:r>
        <w:t xml:space="preserve"> command execution or deploy dual evasive JSP web shells (</w:t>
      </w:r>
      <w:proofErr w:type="spellStart"/>
      <w:r>
        <w:rPr>
          <w:rStyle w:val="HTMLCode"/>
        </w:rPr>
        <w:t>x.jsp</w:t>
      </w:r>
      <w:proofErr w:type="spellEnd"/>
      <w:r>
        <w:t xml:space="preserve"> and </w:t>
      </w:r>
      <w:proofErr w:type="spellStart"/>
      <w:r>
        <w:rPr>
          <w:rStyle w:val="HTMLCode"/>
        </w:rPr>
        <w:t>u.jsp</w:t>
      </w:r>
      <w:proofErr w:type="spellEnd"/>
      <w:r>
        <w:t>) across load-balanced nodes.</w:t>
      </w:r>
    </w:p>
    <w:p w:rsidR="008844A1" w:rsidRDefault="008844A1" w:rsidP="008844A1">
      <w:pPr>
        <w:pStyle w:val="NormalWeb"/>
        <w:numPr>
          <w:ilvl w:val="0"/>
          <w:numId w:val="2"/>
        </w:numPr>
      </w:pPr>
      <w:r>
        <w:rPr>
          <w:b/>
          <w:bCs/>
        </w:rPr>
        <w:t>Post-Exploitation:</w:t>
      </w:r>
      <w:r>
        <w:t xml:space="preserve"> Attackers upload a </w:t>
      </w:r>
      <w:proofErr w:type="spellStart"/>
      <w:r>
        <w:t>trojanized</w:t>
      </w:r>
      <w:proofErr w:type="spellEnd"/>
      <w:r>
        <w:t xml:space="preserve"> installer (</w:t>
      </w:r>
      <w:r>
        <w:rPr>
          <w:rStyle w:val="HTMLCode"/>
        </w:rPr>
        <w:t>Ple64.exe</w:t>
      </w:r>
      <w:r>
        <w:t>) that deploys the SIDEEYE backdoor for credential theft. They additionally stage Neo-</w:t>
      </w:r>
      <w:proofErr w:type="spellStart"/>
      <w:r>
        <w:t>reGeorg</w:t>
      </w:r>
      <w:proofErr w:type="spellEnd"/>
      <w:r>
        <w:t xml:space="preserve"> for network tunneling and </w:t>
      </w:r>
      <w:proofErr w:type="spellStart"/>
      <w:r>
        <w:t>MeshAgent</w:t>
      </w:r>
      <w:proofErr w:type="spellEnd"/>
      <w:r>
        <w:t xml:space="preserve"> for persistent remote management to facilitate internal discovery and data exfiltration.</w:t>
      </w:r>
    </w:p>
    <w:p w:rsidR="008844A1" w:rsidRPr="008844A1" w:rsidRDefault="008844A1" w:rsidP="008844A1">
      <w:pPr>
        <w:shd w:val="clear" w:color="auto" w:fill="FFFFFF"/>
        <w:spacing w:after="0" w:line="240" w:lineRule="auto"/>
        <w:rPr>
          <w:rFonts w:ascii="Arial" w:eastAsia="Times New Roman" w:hAnsi="Arial" w:cs="Arial"/>
          <w:color w:val="202124"/>
          <w:sz w:val="24"/>
          <w:szCs w:val="24"/>
        </w:rPr>
      </w:pPr>
      <w:bookmarkStart w:id="0" w:name="_GoBack"/>
      <w:bookmarkEnd w:id="0"/>
    </w:p>
    <w:p w:rsidR="005D2663" w:rsidRDefault="005D2663"/>
    <w:p w:rsidR="005D2663" w:rsidRDefault="005D2663"/>
    <w:p w:rsidR="005D2663" w:rsidRDefault="005D2663"/>
    <w:p w:rsidR="005D2663" w:rsidRDefault="005D2663"/>
    <w:p w:rsidR="005D2663" w:rsidRDefault="005D2663"/>
    <w:tbl>
      <w:tblPr>
        <w:tblW w:w="0" w:type="auto"/>
        <w:jc w:val="center"/>
        <w:tblLook w:val="04A0" w:firstRow="1" w:lastRow="0" w:firstColumn="1" w:lastColumn="0" w:noHBand="0" w:noVBand="1"/>
      </w:tblPr>
      <w:tblGrid>
        <w:gridCol w:w="1660"/>
        <w:gridCol w:w="1346"/>
        <w:gridCol w:w="1690"/>
        <w:gridCol w:w="2315"/>
        <w:gridCol w:w="2349"/>
      </w:tblGrid>
      <w:tr w:rsidR="005D2663" w:rsidTr="005D2663">
        <w:trPr>
          <w:jc w:val="center"/>
        </w:trPr>
        <w:tc>
          <w:tcPr>
            <w:tcW w:w="1800" w:type="dxa"/>
            <w:shd w:val="clear" w:color="auto" w:fill="173B60"/>
            <w:hideMark/>
          </w:tcPr>
          <w:p w:rsidR="005D2663" w:rsidRDefault="005D2663">
            <w:pPr>
              <w:spacing w:line="256" w:lineRule="auto"/>
            </w:pPr>
            <w:r>
              <w:rPr>
                <w:b/>
                <w:color w:val="FFFFFF"/>
                <w:sz w:val="18"/>
              </w:rPr>
              <w:t>Observed behavior</w:t>
            </w:r>
          </w:p>
        </w:tc>
        <w:tc>
          <w:tcPr>
            <w:tcW w:w="1440" w:type="dxa"/>
            <w:shd w:val="clear" w:color="auto" w:fill="173B60"/>
            <w:hideMark/>
          </w:tcPr>
          <w:p w:rsidR="005D2663" w:rsidRDefault="005D2663">
            <w:pPr>
              <w:spacing w:line="256" w:lineRule="auto"/>
            </w:pPr>
            <w:r>
              <w:rPr>
                <w:b/>
                <w:color w:val="FFFFFF"/>
                <w:sz w:val="18"/>
              </w:rPr>
              <w:t>ATT&amp;CK tactic</w:t>
            </w:r>
          </w:p>
        </w:tc>
        <w:tc>
          <w:tcPr>
            <w:tcW w:w="1800" w:type="dxa"/>
            <w:shd w:val="clear" w:color="auto" w:fill="173B60"/>
            <w:hideMark/>
          </w:tcPr>
          <w:p w:rsidR="005D2663" w:rsidRDefault="005D2663">
            <w:pPr>
              <w:spacing w:line="256" w:lineRule="auto"/>
            </w:pPr>
            <w:r>
              <w:rPr>
                <w:b/>
                <w:color w:val="FFFFFF"/>
                <w:sz w:val="18"/>
              </w:rPr>
              <w:t>Technique / ID</w:t>
            </w:r>
          </w:p>
        </w:tc>
        <w:tc>
          <w:tcPr>
            <w:tcW w:w="2592" w:type="dxa"/>
            <w:shd w:val="clear" w:color="auto" w:fill="173B60"/>
            <w:hideMark/>
          </w:tcPr>
          <w:p w:rsidR="005D2663" w:rsidRDefault="005D2663">
            <w:pPr>
              <w:spacing w:line="256" w:lineRule="auto"/>
            </w:pPr>
            <w:r>
              <w:rPr>
                <w:b/>
                <w:color w:val="FFFFFF"/>
                <w:sz w:val="18"/>
              </w:rPr>
              <w:t>Evidence and mapping rationale</w:t>
            </w:r>
          </w:p>
        </w:tc>
        <w:tc>
          <w:tcPr>
            <w:tcW w:w="2592" w:type="dxa"/>
            <w:shd w:val="clear" w:color="auto" w:fill="173B60"/>
            <w:hideMark/>
          </w:tcPr>
          <w:p w:rsidR="005D2663" w:rsidRDefault="005D2663">
            <w:pPr>
              <w:spacing w:line="256" w:lineRule="auto"/>
            </w:pPr>
            <w:r>
              <w:rPr>
                <w:b/>
                <w:color w:val="FFFFFF"/>
                <w:sz w:val="18"/>
              </w:rPr>
              <w:t>SOC telemetry / investigation</w:t>
            </w:r>
          </w:p>
        </w:tc>
      </w:tr>
      <w:tr w:rsidR="005D2663" w:rsidTr="005D2663">
        <w:trPr>
          <w:jc w:val="center"/>
        </w:trPr>
        <w:tc>
          <w:tcPr>
            <w:tcW w:w="1800" w:type="dxa"/>
            <w:vAlign w:val="center"/>
            <w:hideMark/>
          </w:tcPr>
          <w:p w:rsidR="005D2663" w:rsidRDefault="005D2663">
            <w:pPr>
              <w:spacing w:after="20" w:line="256" w:lineRule="auto"/>
            </w:pPr>
            <w:r>
              <w:rPr>
                <w:sz w:val="17"/>
              </w:rPr>
              <w:t>PowerShell runs a script</w:t>
            </w:r>
          </w:p>
        </w:tc>
        <w:tc>
          <w:tcPr>
            <w:tcW w:w="1440" w:type="dxa"/>
            <w:vAlign w:val="center"/>
            <w:hideMark/>
          </w:tcPr>
          <w:p w:rsidR="005D2663" w:rsidRDefault="005D2663">
            <w:pPr>
              <w:spacing w:after="20" w:line="256" w:lineRule="auto"/>
            </w:pPr>
            <w:r>
              <w:rPr>
                <w:sz w:val="17"/>
              </w:rPr>
              <w:t>Execution</w:t>
            </w:r>
          </w:p>
        </w:tc>
        <w:tc>
          <w:tcPr>
            <w:tcW w:w="1800" w:type="dxa"/>
            <w:vAlign w:val="center"/>
            <w:hideMark/>
          </w:tcPr>
          <w:p w:rsidR="005D2663" w:rsidRDefault="005D2663">
            <w:pPr>
              <w:spacing w:after="20" w:line="256" w:lineRule="auto"/>
            </w:pPr>
            <w:r>
              <w:rPr>
                <w:sz w:val="17"/>
              </w:rPr>
              <w:t>PowerShell (T1059.001)</w:t>
            </w:r>
          </w:p>
        </w:tc>
        <w:tc>
          <w:tcPr>
            <w:tcW w:w="2592" w:type="dxa"/>
            <w:vAlign w:val="center"/>
            <w:hideMark/>
          </w:tcPr>
          <w:p w:rsidR="005D2663" w:rsidRDefault="005D2663">
            <w:pPr>
              <w:spacing w:after="20" w:line="256" w:lineRule="auto"/>
            </w:pPr>
            <w:r>
              <w:rPr>
                <w:sz w:val="17"/>
              </w:rPr>
              <w:t>Report explicitly describes PowerShell script execution.</w:t>
            </w:r>
          </w:p>
        </w:tc>
        <w:tc>
          <w:tcPr>
            <w:tcW w:w="2592" w:type="dxa"/>
            <w:vAlign w:val="center"/>
            <w:hideMark/>
          </w:tcPr>
          <w:p w:rsidR="005D2663" w:rsidRDefault="005D2663">
            <w:pPr>
              <w:spacing w:after="20" w:line="256" w:lineRule="auto"/>
            </w:pPr>
            <w:r>
              <w:rPr>
                <w:sz w:val="17"/>
              </w:rPr>
              <w:t>Process creation and PowerShell logging; examine command line and parent process.</w:t>
            </w:r>
          </w:p>
        </w:tc>
      </w:tr>
      <w:tr w:rsidR="005D2663" w:rsidTr="005D2663">
        <w:trPr>
          <w:jc w:val="center"/>
        </w:trPr>
        <w:tc>
          <w:tcPr>
            <w:tcW w:w="1800" w:type="dxa"/>
            <w:vAlign w:val="center"/>
            <w:hideMark/>
          </w:tcPr>
          <w:p w:rsidR="005D2663" w:rsidRDefault="005D2663">
            <w:pPr>
              <w:spacing w:after="20" w:line="256" w:lineRule="auto"/>
            </w:pPr>
            <w:r>
              <w:rPr>
                <w:sz w:val="17"/>
              </w:rPr>
              <w:t>Host runs ipconfig /all</w:t>
            </w:r>
          </w:p>
        </w:tc>
        <w:tc>
          <w:tcPr>
            <w:tcW w:w="1440" w:type="dxa"/>
            <w:vAlign w:val="center"/>
            <w:hideMark/>
          </w:tcPr>
          <w:p w:rsidR="005D2663" w:rsidRDefault="005D2663">
            <w:pPr>
              <w:spacing w:after="20" w:line="256" w:lineRule="auto"/>
            </w:pPr>
            <w:r>
              <w:rPr>
                <w:sz w:val="17"/>
              </w:rPr>
              <w:t>Discovery</w:t>
            </w:r>
          </w:p>
        </w:tc>
        <w:tc>
          <w:tcPr>
            <w:tcW w:w="1800" w:type="dxa"/>
            <w:vAlign w:val="center"/>
            <w:hideMark/>
          </w:tcPr>
          <w:p w:rsidR="005D2663" w:rsidRDefault="005D2663">
            <w:pPr>
              <w:spacing w:after="20" w:line="256" w:lineRule="auto"/>
            </w:pPr>
            <w:r>
              <w:rPr>
                <w:sz w:val="17"/>
              </w:rPr>
              <w:t>System Network Configuration Discovery (T1016)</w:t>
            </w:r>
          </w:p>
        </w:tc>
        <w:tc>
          <w:tcPr>
            <w:tcW w:w="2592" w:type="dxa"/>
            <w:vAlign w:val="center"/>
            <w:hideMark/>
          </w:tcPr>
          <w:p w:rsidR="005D2663" w:rsidRDefault="005D2663">
            <w:pPr>
              <w:spacing w:after="20" w:line="256" w:lineRule="auto"/>
            </w:pPr>
            <w:r>
              <w:rPr>
                <w:sz w:val="17"/>
              </w:rPr>
              <w:t>Report shows the command in the attack sequence.</w:t>
            </w:r>
          </w:p>
        </w:tc>
        <w:tc>
          <w:tcPr>
            <w:tcW w:w="2592" w:type="dxa"/>
            <w:vAlign w:val="center"/>
            <w:hideMark/>
          </w:tcPr>
          <w:p w:rsidR="005D2663" w:rsidRDefault="005D2663">
            <w:pPr>
              <w:spacing w:after="20" w:line="256" w:lineRule="auto"/>
            </w:pPr>
            <w:r>
              <w:rPr>
                <w:sz w:val="17"/>
              </w:rPr>
              <w:t>Process telemetry; correlate with preceding suspicious activity.</w:t>
            </w:r>
          </w:p>
        </w:tc>
      </w:tr>
      <w:tr w:rsidR="005D2663" w:rsidTr="005D2663">
        <w:trPr>
          <w:jc w:val="center"/>
        </w:trPr>
        <w:tc>
          <w:tcPr>
            <w:tcW w:w="1800" w:type="dxa"/>
            <w:vAlign w:val="center"/>
            <w:hideMark/>
          </w:tcPr>
          <w:p w:rsidR="005D2663" w:rsidRDefault="005D2663">
            <w:pPr>
              <w:spacing w:after="20" w:line="256" w:lineRule="auto"/>
            </w:pPr>
            <w:r>
              <w:rPr>
                <w:sz w:val="17"/>
              </w:rPr>
              <w:t>[Add report behavior]</w:t>
            </w:r>
          </w:p>
        </w:tc>
        <w:tc>
          <w:tcPr>
            <w:tcW w:w="1440" w:type="dxa"/>
            <w:vAlign w:val="center"/>
            <w:hideMark/>
          </w:tcPr>
          <w:p w:rsidR="005D2663" w:rsidRDefault="005D2663">
            <w:pPr>
              <w:spacing w:after="20" w:line="256" w:lineRule="auto"/>
            </w:pPr>
            <w:r>
              <w:rPr>
                <w:sz w:val="17"/>
              </w:rPr>
              <w:t>[Tactic]</w:t>
            </w:r>
          </w:p>
        </w:tc>
        <w:tc>
          <w:tcPr>
            <w:tcW w:w="1800" w:type="dxa"/>
            <w:vAlign w:val="center"/>
            <w:hideMark/>
          </w:tcPr>
          <w:p w:rsidR="005D2663" w:rsidRDefault="005D2663">
            <w:pPr>
              <w:spacing w:after="20" w:line="256" w:lineRule="auto"/>
            </w:pPr>
            <w:r>
              <w:rPr>
                <w:sz w:val="17"/>
              </w:rPr>
              <w:t>[Technique / ID]</w:t>
            </w:r>
          </w:p>
        </w:tc>
        <w:tc>
          <w:tcPr>
            <w:tcW w:w="2592" w:type="dxa"/>
            <w:vAlign w:val="center"/>
            <w:hideMark/>
          </w:tcPr>
          <w:p w:rsidR="005D2663" w:rsidRDefault="005D2663">
            <w:pPr>
              <w:spacing w:after="20" w:line="256" w:lineRule="auto"/>
            </w:pPr>
            <w:r>
              <w:rPr>
                <w:sz w:val="17"/>
              </w:rPr>
              <w:t>[Source passage + reason]</w:t>
            </w:r>
          </w:p>
        </w:tc>
        <w:tc>
          <w:tcPr>
            <w:tcW w:w="2592" w:type="dxa"/>
            <w:vAlign w:val="center"/>
            <w:hideMark/>
          </w:tcPr>
          <w:p w:rsidR="005D2663" w:rsidRDefault="005D2663">
            <w:pPr>
              <w:spacing w:after="20" w:line="256" w:lineRule="auto"/>
            </w:pPr>
            <w:r>
              <w:rPr>
                <w:sz w:val="17"/>
              </w:rPr>
              <w:t>[Relevant evidence / next step]</w:t>
            </w:r>
          </w:p>
        </w:tc>
      </w:tr>
    </w:tbl>
    <w:p w:rsidR="005D2663" w:rsidRDefault="005D2663"/>
    <w:sectPr w:rsidR="005D26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306A1"/>
    <w:multiLevelType w:val="multilevel"/>
    <w:tmpl w:val="F37C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126C9"/>
    <w:multiLevelType w:val="multilevel"/>
    <w:tmpl w:val="56DEE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663"/>
    <w:rsid w:val="005D2663"/>
    <w:rsid w:val="00641E0B"/>
    <w:rsid w:val="007F67E6"/>
    <w:rsid w:val="00836921"/>
    <w:rsid w:val="008844A1"/>
    <w:rsid w:val="00C6165B"/>
    <w:rsid w:val="00F9252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86F62"/>
  <w15:chartTrackingRefBased/>
  <w15:docId w15:val="{D718AA8F-D380-470A-9D44-77621244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5">
    <w:name w:val="heading 5"/>
    <w:basedOn w:val="Normal"/>
    <w:link w:val="Heading5Char"/>
    <w:uiPriority w:val="9"/>
    <w:qFormat/>
    <w:rsid w:val="008844A1"/>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8844A1"/>
    <w:rPr>
      <w:rFonts w:ascii="Times New Roman" w:eastAsia="Times New Roman" w:hAnsi="Times New Roman" w:cs="Times New Roman"/>
      <w:b/>
      <w:bCs/>
      <w:sz w:val="20"/>
      <w:szCs w:val="20"/>
    </w:rPr>
  </w:style>
  <w:style w:type="paragraph" w:customStyle="1" w:styleId="hphpgf">
    <w:name w:val="hphpgf"/>
    <w:basedOn w:val="Normal"/>
    <w:rsid w:val="008844A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844A1"/>
    <w:rPr>
      <w:color w:val="0563C1" w:themeColor="hyperlink"/>
      <w:u w:val="single"/>
    </w:rPr>
  </w:style>
  <w:style w:type="character" w:styleId="UnresolvedMention">
    <w:name w:val="Unresolved Mention"/>
    <w:basedOn w:val="DefaultParagraphFont"/>
    <w:uiPriority w:val="99"/>
    <w:semiHidden/>
    <w:unhideWhenUsed/>
    <w:rsid w:val="008844A1"/>
    <w:rPr>
      <w:color w:val="605E5C"/>
      <w:shd w:val="clear" w:color="auto" w:fill="E1DFDD"/>
    </w:rPr>
  </w:style>
  <w:style w:type="paragraph" w:styleId="NormalWeb">
    <w:name w:val="Normal (Web)"/>
    <w:basedOn w:val="Normal"/>
    <w:uiPriority w:val="99"/>
    <w:semiHidden/>
    <w:unhideWhenUsed/>
    <w:rsid w:val="008844A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844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426797">
      <w:bodyDiv w:val="1"/>
      <w:marLeft w:val="0"/>
      <w:marRight w:val="0"/>
      <w:marTop w:val="0"/>
      <w:marBottom w:val="0"/>
      <w:divBdr>
        <w:top w:val="none" w:sz="0" w:space="0" w:color="auto"/>
        <w:left w:val="none" w:sz="0" w:space="0" w:color="auto"/>
        <w:bottom w:val="none" w:sz="0" w:space="0" w:color="auto"/>
        <w:right w:val="none" w:sz="0" w:space="0" w:color="auto"/>
      </w:divBdr>
    </w:div>
    <w:div w:id="373121717">
      <w:bodyDiv w:val="1"/>
      <w:marLeft w:val="0"/>
      <w:marRight w:val="0"/>
      <w:marTop w:val="0"/>
      <w:marBottom w:val="0"/>
      <w:divBdr>
        <w:top w:val="none" w:sz="0" w:space="0" w:color="auto"/>
        <w:left w:val="none" w:sz="0" w:space="0" w:color="auto"/>
        <w:bottom w:val="none" w:sz="0" w:space="0" w:color="auto"/>
        <w:right w:val="none" w:sz="0" w:space="0" w:color="auto"/>
      </w:divBdr>
    </w:div>
    <w:div w:id="459034453">
      <w:bodyDiv w:val="1"/>
      <w:marLeft w:val="0"/>
      <w:marRight w:val="0"/>
      <w:marTop w:val="0"/>
      <w:marBottom w:val="0"/>
      <w:divBdr>
        <w:top w:val="none" w:sz="0" w:space="0" w:color="auto"/>
        <w:left w:val="none" w:sz="0" w:space="0" w:color="auto"/>
        <w:bottom w:val="none" w:sz="0" w:space="0" w:color="auto"/>
        <w:right w:val="none" w:sz="0" w:space="0" w:color="auto"/>
      </w:divBdr>
    </w:div>
    <w:div w:id="479806975">
      <w:bodyDiv w:val="1"/>
      <w:marLeft w:val="0"/>
      <w:marRight w:val="0"/>
      <w:marTop w:val="0"/>
      <w:marBottom w:val="0"/>
      <w:divBdr>
        <w:top w:val="none" w:sz="0" w:space="0" w:color="auto"/>
        <w:left w:val="none" w:sz="0" w:space="0" w:color="auto"/>
        <w:bottom w:val="none" w:sz="0" w:space="0" w:color="auto"/>
        <w:right w:val="none" w:sz="0" w:space="0" w:color="auto"/>
      </w:divBdr>
      <w:divsChild>
        <w:div w:id="614479973">
          <w:marLeft w:val="0"/>
          <w:marRight w:val="0"/>
          <w:marTop w:val="0"/>
          <w:marBottom w:val="900"/>
          <w:divBdr>
            <w:top w:val="none" w:sz="0" w:space="0" w:color="auto"/>
            <w:left w:val="none" w:sz="0" w:space="0" w:color="auto"/>
            <w:bottom w:val="none" w:sz="0" w:space="0" w:color="auto"/>
            <w:right w:val="none" w:sz="0" w:space="0" w:color="auto"/>
          </w:divBdr>
          <w:divsChild>
            <w:div w:id="437140879">
              <w:marLeft w:val="0"/>
              <w:marRight w:val="0"/>
              <w:marTop w:val="180"/>
              <w:marBottom w:val="0"/>
              <w:divBdr>
                <w:top w:val="none" w:sz="0" w:space="0" w:color="auto"/>
                <w:left w:val="none" w:sz="0" w:space="0" w:color="auto"/>
                <w:bottom w:val="none" w:sz="0" w:space="0" w:color="auto"/>
                <w:right w:val="none" w:sz="0" w:space="0" w:color="auto"/>
              </w:divBdr>
            </w:div>
          </w:divsChild>
        </w:div>
        <w:div w:id="1655450477">
          <w:marLeft w:val="0"/>
          <w:marRight w:val="0"/>
          <w:marTop w:val="0"/>
          <w:marBottom w:val="0"/>
          <w:divBdr>
            <w:top w:val="none" w:sz="0" w:space="0" w:color="auto"/>
            <w:left w:val="none" w:sz="0" w:space="0" w:color="auto"/>
            <w:bottom w:val="none" w:sz="0" w:space="0" w:color="auto"/>
            <w:right w:val="none" w:sz="0" w:space="0" w:color="auto"/>
          </w:divBdr>
          <w:divsChild>
            <w:div w:id="2130466831">
              <w:marLeft w:val="0"/>
              <w:marRight w:val="0"/>
              <w:marTop w:val="0"/>
              <w:marBottom w:val="0"/>
              <w:divBdr>
                <w:top w:val="none" w:sz="0" w:space="0" w:color="auto"/>
                <w:left w:val="none" w:sz="0" w:space="0" w:color="auto"/>
                <w:bottom w:val="none" w:sz="0" w:space="0" w:color="auto"/>
                <w:right w:val="none" w:sz="0" w:space="0" w:color="auto"/>
              </w:divBdr>
              <w:divsChild>
                <w:div w:id="1580795821">
                  <w:marLeft w:val="0"/>
                  <w:marRight w:val="-720"/>
                  <w:marTop w:val="0"/>
                  <w:marBottom w:val="0"/>
                  <w:divBdr>
                    <w:top w:val="none" w:sz="0" w:space="0" w:color="auto"/>
                    <w:left w:val="none" w:sz="0" w:space="0" w:color="auto"/>
                    <w:bottom w:val="none" w:sz="0" w:space="0" w:color="auto"/>
                    <w:right w:val="none" w:sz="0" w:space="0" w:color="auto"/>
                  </w:divBdr>
                  <w:divsChild>
                    <w:div w:id="1646859631">
                      <w:marLeft w:val="0"/>
                      <w:marRight w:val="0"/>
                      <w:marTop w:val="0"/>
                      <w:marBottom w:val="0"/>
                      <w:divBdr>
                        <w:top w:val="none" w:sz="0" w:space="0" w:color="auto"/>
                        <w:left w:val="none" w:sz="0" w:space="0" w:color="auto"/>
                        <w:bottom w:val="none" w:sz="0" w:space="0" w:color="auto"/>
                        <w:right w:val="none" w:sz="0" w:space="0" w:color="auto"/>
                      </w:divBdr>
                      <w:divsChild>
                        <w:div w:id="349458410">
                          <w:marLeft w:val="0"/>
                          <w:marRight w:val="0"/>
                          <w:marTop w:val="0"/>
                          <w:marBottom w:val="0"/>
                          <w:divBdr>
                            <w:top w:val="none" w:sz="0" w:space="0" w:color="auto"/>
                            <w:left w:val="none" w:sz="0" w:space="0" w:color="auto"/>
                            <w:bottom w:val="none" w:sz="0" w:space="0" w:color="auto"/>
                            <w:right w:val="none" w:sz="0" w:space="0" w:color="auto"/>
                          </w:divBdr>
                          <w:divsChild>
                            <w:div w:id="81711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oud.google.com/blog/topics/threat-intelligence/shinyhunters-renewed-mass-exploitation-campaign-targeting-oracle-peoplesof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hit</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vlsi@stud-hait.ac.il</dc:creator>
  <cp:keywords/>
  <dc:description/>
  <cp:lastModifiedBy>vlsi@stud-hait.ac.il</cp:lastModifiedBy>
  <cp:revision>3</cp:revision>
  <dcterms:created xsi:type="dcterms:W3CDTF">2026-10-18T12:59:00Z</dcterms:created>
  <dcterms:modified xsi:type="dcterms:W3CDTF">2026-10-18T13:57:00Z</dcterms:modified>
</cp:coreProperties>
</file>