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2663" w:rsidRDefault="005D2663"/>
    <w:p w:rsidR="00836921" w:rsidRDefault="005D2663">
      <w:r>
        <w:t xml:space="preserve">Golan </w:t>
      </w:r>
      <w:proofErr w:type="spellStart"/>
      <w:r>
        <w:t>Katzav</w:t>
      </w:r>
      <w:proofErr w:type="spellEnd"/>
      <w:r>
        <w:t xml:space="preserve">, </w:t>
      </w:r>
      <w:proofErr w:type="spellStart"/>
      <w:r>
        <w:t>Lior</w:t>
      </w:r>
      <w:proofErr w:type="spellEnd"/>
      <w:r>
        <w:t xml:space="preserve"> Mashiach</w:t>
      </w:r>
    </w:p>
    <w:p w:rsidR="005D2663" w:rsidRDefault="005D2663"/>
    <w:p w:rsidR="005D2663" w:rsidRDefault="005D2663"/>
    <w:p w:rsidR="005D2663" w:rsidRDefault="005D2663"/>
    <w:p w:rsidR="005D2663" w:rsidRDefault="005D2663"/>
    <w:p w:rsidR="005D2663" w:rsidRDefault="005D2663"/>
    <w:p w:rsidR="005D2663" w:rsidRDefault="005D2663"/>
    <w:p w:rsidR="005D2663" w:rsidRDefault="005D2663"/>
    <w:p w:rsidR="005D2663" w:rsidRDefault="005D2663"/>
    <w:p w:rsidR="005D2663" w:rsidRDefault="005D266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60"/>
        <w:gridCol w:w="1346"/>
        <w:gridCol w:w="1690"/>
        <w:gridCol w:w="2315"/>
        <w:gridCol w:w="2349"/>
      </w:tblGrid>
      <w:tr w:rsidR="005D2663" w:rsidTr="005D2663">
        <w:trPr>
          <w:jc w:val="center"/>
        </w:trPr>
        <w:tc>
          <w:tcPr>
            <w:tcW w:w="1800" w:type="dxa"/>
            <w:shd w:val="clear" w:color="auto" w:fill="173B60"/>
            <w:hideMark/>
          </w:tcPr>
          <w:p w:rsidR="005D2663" w:rsidRDefault="005D2663">
            <w:pPr>
              <w:spacing w:line="256" w:lineRule="auto"/>
            </w:pPr>
            <w:r>
              <w:rPr>
                <w:b/>
                <w:color w:val="FFFFFF"/>
                <w:sz w:val="18"/>
              </w:rPr>
              <w:t>Observed behavior</w:t>
            </w:r>
          </w:p>
        </w:tc>
        <w:tc>
          <w:tcPr>
            <w:tcW w:w="1440" w:type="dxa"/>
            <w:shd w:val="clear" w:color="auto" w:fill="173B60"/>
            <w:hideMark/>
          </w:tcPr>
          <w:p w:rsidR="005D2663" w:rsidRDefault="005D2663">
            <w:pPr>
              <w:spacing w:line="256" w:lineRule="auto"/>
            </w:pPr>
            <w:r>
              <w:rPr>
                <w:b/>
                <w:color w:val="FFFFFF"/>
                <w:sz w:val="18"/>
              </w:rPr>
              <w:t>ATT&amp;CK tactic</w:t>
            </w:r>
          </w:p>
        </w:tc>
        <w:tc>
          <w:tcPr>
            <w:tcW w:w="1800" w:type="dxa"/>
            <w:shd w:val="clear" w:color="auto" w:fill="173B60"/>
            <w:hideMark/>
          </w:tcPr>
          <w:p w:rsidR="005D2663" w:rsidRDefault="005D2663">
            <w:pPr>
              <w:spacing w:line="256" w:lineRule="auto"/>
            </w:pPr>
            <w:r>
              <w:rPr>
                <w:b/>
                <w:color w:val="FFFFFF"/>
                <w:sz w:val="18"/>
              </w:rPr>
              <w:t>Technique / ID</w:t>
            </w:r>
          </w:p>
        </w:tc>
        <w:tc>
          <w:tcPr>
            <w:tcW w:w="2592" w:type="dxa"/>
            <w:shd w:val="clear" w:color="auto" w:fill="173B60"/>
            <w:hideMark/>
          </w:tcPr>
          <w:p w:rsidR="005D2663" w:rsidRDefault="005D2663">
            <w:pPr>
              <w:spacing w:line="256" w:lineRule="auto"/>
            </w:pPr>
            <w:r>
              <w:rPr>
                <w:b/>
                <w:color w:val="FFFFFF"/>
                <w:sz w:val="18"/>
              </w:rPr>
              <w:t>Evidence and mapping rationale</w:t>
            </w:r>
          </w:p>
        </w:tc>
        <w:tc>
          <w:tcPr>
            <w:tcW w:w="2592" w:type="dxa"/>
            <w:shd w:val="clear" w:color="auto" w:fill="173B60"/>
            <w:hideMark/>
          </w:tcPr>
          <w:p w:rsidR="005D2663" w:rsidRDefault="005D2663">
            <w:pPr>
              <w:spacing w:line="256" w:lineRule="auto"/>
            </w:pPr>
            <w:r>
              <w:rPr>
                <w:b/>
                <w:color w:val="FFFFFF"/>
                <w:sz w:val="18"/>
              </w:rPr>
              <w:t>SOC telemetry / investigation</w:t>
            </w:r>
          </w:p>
        </w:tc>
      </w:tr>
      <w:tr w:rsidR="005D2663" w:rsidTr="005D2663">
        <w:trPr>
          <w:jc w:val="center"/>
        </w:trPr>
        <w:tc>
          <w:tcPr>
            <w:tcW w:w="1800" w:type="dxa"/>
            <w:vAlign w:val="center"/>
            <w:hideMark/>
          </w:tcPr>
          <w:p w:rsidR="005D2663" w:rsidRDefault="005D2663">
            <w:pPr>
              <w:spacing w:after="20" w:line="256" w:lineRule="auto"/>
            </w:pPr>
            <w:bookmarkStart w:id="0" w:name="_GoBack" w:colFirst="2" w:colLast="2"/>
            <w:r>
              <w:rPr>
                <w:sz w:val="17"/>
              </w:rPr>
              <w:t>PowerShell runs a script</w:t>
            </w:r>
          </w:p>
        </w:tc>
        <w:tc>
          <w:tcPr>
            <w:tcW w:w="1440" w:type="dxa"/>
            <w:vAlign w:val="center"/>
            <w:hideMark/>
          </w:tcPr>
          <w:p w:rsidR="005D2663" w:rsidRDefault="005D2663">
            <w:pPr>
              <w:spacing w:after="20" w:line="256" w:lineRule="auto"/>
            </w:pPr>
            <w:r>
              <w:rPr>
                <w:sz w:val="17"/>
              </w:rPr>
              <w:t>Execution</w:t>
            </w:r>
          </w:p>
        </w:tc>
        <w:tc>
          <w:tcPr>
            <w:tcW w:w="1800" w:type="dxa"/>
            <w:vAlign w:val="center"/>
            <w:hideMark/>
          </w:tcPr>
          <w:p w:rsidR="005D2663" w:rsidRDefault="005D2663">
            <w:pPr>
              <w:spacing w:after="20" w:line="256" w:lineRule="auto"/>
            </w:pPr>
            <w:r>
              <w:rPr>
                <w:sz w:val="17"/>
              </w:rPr>
              <w:t>PowerShell (T1059.001)</w:t>
            </w:r>
          </w:p>
        </w:tc>
        <w:tc>
          <w:tcPr>
            <w:tcW w:w="2592" w:type="dxa"/>
            <w:vAlign w:val="center"/>
            <w:hideMark/>
          </w:tcPr>
          <w:p w:rsidR="005D2663" w:rsidRDefault="005D2663">
            <w:pPr>
              <w:spacing w:after="20" w:line="256" w:lineRule="auto"/>
            </w:pPr>
            <w:r>
              <w:rPr>
                <w:sz w:val="17"/>
              </w:rPr>
              <w:t>Report explicitly describes PowerShell script execution.</w:t>
            </w:r>
          </w:p>
        </w:tc>
        <w:tc>
          <w:tcPr>
            <w:tcW w:w="2592" w:type="dxa"/>
            <w:vAlign w:val="center"/>
            <w:hideMark/>
          </w:tcPr>
          <w:p w:rsidR="005D2663" w:rsidRDefault="005D2663">
            <w:pPr>
              <w:spacing w:after="20" w:line="256" w:lineRule="auto"/>
            </w:pPr>
            <w:r>
              <w:rPr>
                <w:sz w:val="17"/>
              </w:rPr>
              <w:t>Process creation and PowerShell logging; examine command line and parent process.</w:t>
            </w:r>
          </w:p>
        </w:tc>
      </w:tr>
      <w:bookmarkEnd w:id="0"/>
      <w:tr w:rsidR="005D2663" w:rsidTr="005D2663">
        <w:trPr>
          <w:jc w:val="center"/>
        </w:trPr>
        <w:tc>
          <w:tcPr>
            <w:tcW w:w="1800" w:type="dxa"/>
            <w:vAlign w:val="center"/>
            <w:hideMark/>
          </w:tcPr>
          <w:p w:rsidR="005D2663" w:rsidRDefault="005D2663">
            <w:pPr>
              <w:spacing w:after="20" w:line="256" w:lineRule="auto"/>
            </w:pPr>
            <w:r>
              <w:rPr>
                <w:sz w:val="17"/>
              </w:rPr>
              <w:t>Host runs ipconfig /all</w:t>
            </w:r>
          </w:p>
        </w:tc>
        <w:tc>
          <w:tcPr>
            <w:tcW w:w="1440" w:type="dxa"/>
            <w:vAlign w:val="center"/>
            <w:hideMark/>
          </w:tcPr>
          <w:p w:rsidR="005D2663" w:rsidRDefault="005D2663">
            <w:pPr>
              <w:spacing w:after="20" w:line="256" w:lineRule="auto"/>
            </w:pPr>
            <w:r>
              <w:rPr>
                <w:sz w:val="17"/>
              </w:rPr>
              <w:t>Discovery</w:t>
            </w:r>
          </w:p>
        </w:tc>
        <w:tc>
          <w:tcPr>
            <w:tcW w:w="1800" w:type="dxa"/>
            <w:vAlign w:val="center"/>
            <w:hideMark/>
          </w:tcPr>
          <w:p w:rsidR="005D2663" w:rsidRDefault="005D2663">
            <w:pPr>
              <w:spacing w:after="20" w:line="256" w:lineRule="auto"/>
            </w:pPr>
            <w:r>
              <w:rPr>
                <w:sz w:val="17"/>
              </w:rPr>
              <w:t>System Network Configuration Discovery (T1016)</w:t>
            </w:r>
          </w:p>
        </w:tc>
        <w:tc>
          <w:tcPr>
            <w:tcW w:w="2592" w:type="dxa"/>
            <w:vAlign w:val="center"/>
            <w:hideMark/>
          </w:tcPr>
          <w:p w:rsidR="005D2663" w:rsidRDefault="005D2663">
            <w:pPr>
              <w:spacing w:after="20" w:line="256" w:lineRule="auto"/>
            </w:pPr>
            <w:r>
              <w:rPr>
                <w:sz w:val="17"/>
              </w:rPr>
              <w:t>Report shows the command in the attack sequence.</w:t>
            </w:r>
          </w:p>
        </w:tc>
        <w:tc>
          <w:tcPr>
            <w:tcW w:w="2592" w:type="dxa"/>
            <w:vAlign w:val="center"/>
            <w:hideMark/>
          </w:tcPr>
          <w:p w:rsidR="005D2663" w:rsidRDefault="005D2663">
            <w:pPr>
              <w:spacing w:after="20" w:line="256" w:lineRule="auto"/>
            </w:pPr>
            <w:r>
              <w:rPr>
                <w:sz w:val="17"/>
              </w:rPr>
              <w:t>Process telemetry; correlate with preceding suspicious activity.</w:t>
            </w:r>
          </w:p>
        </w:tc>
      </w:tr>
      <w:tr w:rsidR="005D2663" w:rsidTr="005D2663">
        <w:trPr>
          <w:jc w:val="center"/>
        </w:trPr>
        <w:tc>
          <w:tcPr>
            <w:tcW w:w="1800" w:type="dxa"/>
            <w:vAlign w:val="center"/>
            <w:hideMark/>
          </w:tcPr>
          <w:p w:rsidR="005D2663" w:rsidRDefault="005D2663">
            <w:pPr>
              <w:spacing w:after="20" w:line="256" w:lineRule="auto"/>
            </w:pPr>
            <w:r>
              <w:rPr>
                <w:sz w:val="17"/>
              </w:rPr>
              <w:t>[Add report behavior]</w:t>
            </w:r>
          </w:p>
        </w:tc>
        <w:tc>
          <w:tcPr>
            <w:tcW w:w="1440" w:type="dxa"/>
            <w:vAlign w:val="center"/>
            <w:hideMark/>
          </w:tcPr>
          <w:p w:rsidR="005D2663" w:rsidRDefault="005D2663">
            <w:pPr>
              <w:spacing w:after="20" w:line="256" w:lineRule="auto"/>
            </w:pPr>
            <w:r>
              <w:rPr>
                <w:sz w:val="17"/>
              </w:rPr>
              <w:t>[Tactic]</w:t>
            </w:r>
          </w:p>
        </w:tc>
        <w:tc>
          <w:tcPr>
            <w:tcW w:w="1800" w:type="dxa"/>
            <w:vAlign w:val="center"/>
            <w:hideMark/>
          </w:tcPr>
          <w:p w:rsidR="005D2663" w:rsidRDefault="005D2663">
            <w:pPr>
              <w:spacing w:after="20" w:line="256" w:lineRule="auto"/>
            </w:pPr>
            <w:r>
              <w:rPr>
                <w:sz w:val="17"/>
              </w:rPr>
              <w:t>[Technique / ID]</w:t>
            </w:r>
          </w:p>
        </w:tc>
        <w:tc>
          <w:tcPr>
            <w:tcW w:w="2592" w:type="dxa"/>
            <w:vAlign w:val="center"/>
            <w:hideMark/>
          </w:tcPr>
          <w:p w:rsidR="005D2663" w:rsidRDefault="005D2663">
            <w:pPr>
              <w:spacing w:after="20" w:line="256" w:lineRule="auto"/>
            </w:pPr>
            <w:r>
              <w:rPr>
                <w:sz w:val="17"/>
              </w:rPr>
              <w:t>[Source passage + reason]</w:t>
            </w:r>
          </w:p>
        </w:tc>
        <w:tc>
          <w:tcPr>
            <w:tcW w:w="2592" w:type="dxa"/>
            <w:vAlign w:val="center"/>
            <w:hideMark/>
          </w:tcPr>
          <w:p w:rsidR="005D2663" w:rsidRDefault="005D2663">
            <w:pPr>
              <w:spacing w:after="20" w:line="256" w:lineRule="auto"/>
            </w:pPr>
            <w:r>
              <w:rPr>
                <w:sz w:val="17"/>
              </w:rPr>
              <w:t>[Relevant evidence / next step]</w:t>
            </w:r>
          </w:p>
        </w:tc>
      </w:tr>
    </w:tbl>
    <w:p w:rsidR="005D2663" w:rsidRDefault="005D2663"/>
    <w:sectPr w:rsidR="005D2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663"/>
    <w:rsid w:val="005D2663"/>
    <w:rsid w:val="00836921"/>
    <w:rsid w:val="00F9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AEEE2"/>
  <w15:chartTrackingRefBased/>
  <w15:docId w15:val="{D718AA8F-D380-470A-9D44-776212448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4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hit</Company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vlsi@stud-hait.ac.il</dc:creator>
  <cp:keywords/>
  <dc:description/>
  <cp:lastModifiedBy>vlsi@stud-hait.ac.il</cp:lastModifiedBy>
  <cp:revision>2</cp:revision>
  <dcterms:created xsi:type="dcterms:W3CDTF">2026-10-18T12:59:00Z</dcterms:created>
  <dcterms:modified xsi:type="dcterms:W3CDTF">2026-10-18T12:59:00Z</dcterms:modified>
</cp:coreProperties>
</file>