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08B6C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Experiência Prática 2 – Documento Modelo</w:t>
      </w:r>
    </w:p>
    <w:p w14:paraId="2D273185">
      <w:pPr>
        <w:spacing w:after="0" w:line="360" w:lineRule="auto"/>
        <w:rPr>
          <w:rFonts w:ascii="Arial" w:hAnsi="Arial" w:cs="Arial"/>
        </w:rPr>
      </w:pPr>
    </w:p>
    <w:p w14:paraId="0D51594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14BC8932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285B2D8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1. Identificação do Projeto</w:t>
      </w:r>
    </w:p>
    <w:p w14:paraId="7E4C50F2">
      <w:pPr>
        <w:spacing w:after="0"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ascii="Arial" w:hAnsi="Arial" w:cs="Arial"/>
          <w:b/>
          <w:bCs/>
        </w:rPr>
        <w:t xml:space="preserve">Nome do Projeto: </w:t>
      </w:r>
      <w:r>
        <w:rPr>
          <w:rFonts w:hint="default" w:ascii="Arial" w:hAnsi="Arial" w:eastAsia="SimSun" w:cs="Arial"/>
          <w:sz w:val="24"/>
          <w:szCs w:val="24"/>
        </w:rPr>
        <w:t>Sistema de Gestão para Clínica Veterinária Pet Vida Boa</w:t>
      </w:r>
    </w:p>
    <w:p w14:paraId="583BE3D9">
      <w:pPr>
        <w:spacing w:after="0" w:line="360" w:lineRule="auto"/>
        <w:rPr>
          <w:rFonts w:hint="default" w:ascii="Arial" w:hAnsi="Arial" w:eastAsia="SimSun" w:cs="Arial"/>
          <w:sz w:val="24"/>
          <w:szCs w:val="24"/>
        </w:rPr>
      </w:pPr>
    </w:p>
    <w:p w14:paraId="5BBCA1F1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0D4772C8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47FABFC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7C696E3A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 Descrição do Minimundo</w:t>
      </w:r>
    </w:p>
    <w:p w14:paraId="3E662B9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O Sistema de Gestão para Clínica Veterinária "Pet Vida Boa" é uma solução </w:t>
      </w:r>
    </w:p>
    <w:p w14:paraId="191943C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desenvolvida para organizar e otimizar os processos internos da clínica. </w:t>
      </w:r>
    </w:p>
    <w:p w14:paraId="2857390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O sistema busca reduzir falhas humanas, centralizar informações e agilizar o </w:t>
      </w:r>
    </w:p>
    <w:p w14:paraId="4BEB20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atendimento ao cliente. </w:t>
      </w:r>
    </w:p>
    <w:p w14:paraId="217AFB5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 proposta é oferecer uma plataforma simples, moderna e completa que facilite a </w:t>
      </w:r>
    </w:p>
    <w:p w14:paraId="0FDE93C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rotina dos profissionais da clínica, garantindo um serviço mais rápido, seguro e de </w:t>
      </w:r>
    </w:p>
    <w:p w14:paraId="71B9632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melhor qualidade para os animais e seus tutores.</w:t>
      </w:r>
    </w:p>
    <w:p w14:paraId="0ECCA97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78135E0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2C9457C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21111D2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088FDBE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4EC6417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0FD18E5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4C1E945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3.</w:t>
      </w:r>
      <w:r>
        <w:rPr>
          <w:rFonts w:ascii="Arial" w:hAnsi="Arial" w:cs="Arial"/>
          <w:b/>
          <w:bCs/>
          <w:sz w:val="28"/>
          <w:szCs w:val="28"/>
        </w:rPr>
        <w:t>Entregáveis</w:t>
      </w:r>
    </w:p>
    <w:p w14:paraId="4EF20F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cs="Arial"/>
          <w:b/>
          <w:bCs/>
          <w:sz w:val="28"/>
          <w:szCs w:val="28"/>
          <w:lang w:val="en-US" w:eastAsia="zh-CN"/>
        </w:rPr>
      </w:pPr>
    </w:p>
    <w:p w14:paraId="04729447">
      <w:pPr>
        <w:pStyle w:val="2"/>
        <w:bidi w:val="0"/>
        <w:rPr>
          <w:rFonts w:hint="default"/>
        </w:rPr>
      </w:pPr>
      <w:r>
        <w:rPr>
          <w:rFonts w:hint="default"/>
        </w:rPr>
        <w:t>· Documento do Minimundo</w:t>
      </w:r>
    </w:p>
    <w:p w14:paraId="1A0BB529">
      <w:pPr>
        <w:pStyle w:val="2"/>
        <w:bidi w:val="0"/>
        <w:rPr>
          <w:rFonts w:hint="default"/>
        </w:rPr>
      </w:pPr>
      <w:r>
        <w:rPr>
          <w:rFonts w:hint="default"/>
        </w:rPr>
        <w:t>· Modelo Conceitual (DER/MER)</w:t>
      </w:r>
    </w:p>
    <w:p w14:paraId="4422A0B9">
      <w:pPr>
        <w:pStyle w:val="2"/>
        <w:bidi w:val="0"/>
        <w:rPr>
          <w:rFonts w:hint="default"/>
        </w:rPr>
      </w:pPr>
      <w:r>
        <w:rPr>
          <w:rFonts w:hint="default"/>
        </w:rPr>
        <w:t>· Modelo Lógico</w:t>
      </w:r>
    </w:p>
    <w:p w14:paraId="728024E3">
      <w:pPr>
        <w:rPr>
          <w:rFonts w:hint="default"/>
        </w:rPr>
      </w:pPr>
    </w:p>
    <w:p w14:paraId="37D5CD07">
      <w:pPr>
        <w:suppressAutoHyphens/>
        <w:spacing w:after="0" w:line="360" w:lineRule="auto"/>
        <w:rPr>
          <w:rFonts w:ascii="Arial" w:hAnsi="Arial" w:cs="Arial"/>
          <w:b/>
          <w:bCs/>
        </w:rPr>
      </w:pPr>
    </w:p>
    <w:p w14:paraId="3E59D106">
      <w:pPr>
        <w:suppressAutoHyphens/>
        <w:spacing w:after="0" w:line="360" w:lineRule="auto"/>
        <w:rPr>
          <w:rFonts w:ascii="Arial" w:hAnsi="Arial" w:cs="Arial"/>
          <w:b/>
          <w:bCs/>
        </w:rPr>
      </w:pPr>
    </w:p>
    <w:p w14:paraId="71E17200">
      <w:pPr>
        <w:suppressAutoHyphens/>
        <w:spacing w:after="0" w:line="360" w:lineRule="auto"/>
        <w:rPr>
          <w:rFonts w:ascii="Arial" w:hAnsi="Arial" w:cs="Arial"/>
          <w:b/>
          <w:bCs/>
        </w:rPr>
      </w:pPr>
    </w:p>
    <w:p w14:paraId="2A7FBA28">
      <w:pPr>
        <w:suppressAutoHyphens/>
        <w:spacing w:after="0" w:line="360" w:lineRule="auto"/>
        <w:rPr>
          <w:rFonts w:ascii="Arial" w:hAnsi="Arial" w:cs="Arial"/>
          <w:b/>
          <w:bCs/>
        </w:rPr>
      </w:pPr>
    </w:p>
    <w:p w14:paraId="20EE4C53">
      <w:pPr>
        <w:suppressAutoHyphens/>
        <w:spacing w:after="0" w:line="360" w:lineRule="auto"/>
        <w:rPr>
          <w:rFonts w:ascii="Arial" w:hAnsi="Arial" w:cs="Arial"/>
          <w:b/>
          <w:bCs/>
        </w:rPr>
      </w:pPr>
    </w:p>
    <w:p w14:paraId="2A1A7551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3.1. Diagrama Entidade-Relacionamento (DER)</w:t>
      </w:r>
    </w:p>
    <w:p w14:paraId="0FDD843B">
      <w:pPr>
        <w:rPr>
          <w:rFonts w:hint="default"/>
        </w:rPr>
      </w:pPr>
    </w:p>
    <w:p w14:paraId="7185870F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66690" cy="3511550"/>
            <wp:effectExtent l="0" t="0" r="10160" b="12700"/>
            <wp:docPr id="2" name="Imagem 2" descr="ChatGPT Image 28 de nov. de 2025, 20_44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hatGPT Image 28 de nov. de 2025, 20_44_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16F7">
      <w:pPr>
        <w:rPr>
          <w:rFonts w:hint="default"/>
        </w:rPr>
      </w:pPr>
    </w:p>
    <w:p w14:paraId="5DE6F4E7">
      <w:pPr>
        <w:rPr>
          <w:rFonts w:hint="default"/>
          <w:lang w:val="en-US" w:eastAsia="zh-CN"/>
        </w:rPr>
      </w:pPr>
    </w:p>
    <w:p w14:paraId="04C7D5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3.2. Detalhamento dos Elementos</w:t>
      </w:r>
    </w:p>
    <w:p w14:paraId="1EBE55A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Entidade: Tutor</w:t>
      </w:r>
    </w:p>
    <w:p w14:paraId="1B254E8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_t</w:t>
      </w:r>
      <w:r>
        <w:rPr>
          <w:rFonts w:hint="default" w:ascii="Arial" w:hAnsi="Arial" w:cs="Arial"/>
          <w:sz w:val="24"/>
          <w:szCs w:val="24"/>
        </w:rPr>
        <w:t>utor</w:t>
      </w:r>
    </w:p>
    <w:p w14:paraId="4B43803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nome</w:t>
      </w:r>
    </w:p>
    <w:p w14:paraId="5A11818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endereco</w:t>
      </w:r>
    </w:p>
    <w:p w14:paraId="70A12A3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telefone</w:t>
      </w:r>
    </w:p>
    <w:p w14:paraId="7250726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email </w:t>
      </w:r>
    </w:p>
    <w:p w14:paraId="0D76CE1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607D7C1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71CCE6D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123CB06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Entidade: Animal</w:t>
      </w:r>
    </w:p>
    <w:p w14:paraId="0146A74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_a</w:t>
      </w:r>
      <w:r>
        <w:rPr>
          <w:rFonts w:hint="default" w:ascii="Arial" w:hAnsi="Arial" w:cs="Arial"/>
          <w:sz w:val="24"/>
          <w:szCs w:val="24"/>
        </w:rPr>
        <w:t>nimal</w:t>
      </w:r>
    </w:p>
    <w:p w14:paraId="1AE9574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nome</w:t>
      </w:r>
    </w:p>
    <w:p w14:paraId="5456F2B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especie</w:t>
      </w:r>
    </w:p>
    <w:p w14:paraId="1723E50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raca </w:t>
      </w:r>
    </w:p>
    <w:p w14:paraId="33611FF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dataNascimento </w:t>
      </w:r>
    </w:p>
    <w:p w14:paraId="0CBE33D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</w:t>
      </w:r>
      <w:r>
        <w:rPr>
          <w:rFonts w:hint="default" w:ascii="Arial" w:hAnsi="Arial" w:cs="Arial"/>
          <w:sz w:val="24"/>
          <w:szCs w:val="24"/>
          <w:lang w:val="pt-BR"/>
        </w:rPr>
        <w:t>_t</w:t>
      </w:r>
      <w:r>
        <w:rPr>
          <w:rFonts w:hint="default" w:ascii="Arial" w:hAnsi="Arial" w:cs="Arial"/>
          <w:sz w:val="24"/>
          <w:szCs w:val="24"/>
        </w:rPr>
        <w:t>utor (chave estrangeira)</w:t>
      </w:r>
    </w:p>
    <w:p w14:paraId="6B82F4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9EE919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Entidade: Veterinario</w:t>
      </w:r>
    </w:p>
    <w:p w14:paraId="0F2B823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_v</w:t>
      </w:r>
      <w:r>
        <w:rPr>
          <w:rFonts w:hint="default" w:ascii="Arial" w:hAnsi="Arial" w:cs="Arial"/>
          <w:sz w:val="24"/>
          <w:szCs w:val="24"/>
        </w:rPr>
        <w:t>eterinario</w:t>
      </w:r>
    </w:p>
    <w:p w14:paraId="341EC61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Nome</w:t>
      </w:r>
    </w:p>
    <w:p w14:paraId="127A0DE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crmv</w:t>
      </w:r>
    </w:p>
    <w:p w14:paraId="08A79A1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especialidade </w:t>
      </w:r>
    </w:p>
    <w:p w14:paraId="3E5F021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40E105A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Entidade: Atendimento</w:t>
      </w:r>
    </w:p>
    <w:p w14:paraId="5D8CE9F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_a</w:t>
      </w:r>
      <w:r>
        <w:rPr>
          <w:rFonts w:hint="default" w:ascii="Arial" w:hAnsi="Arial" w:cs="Arial"/>
          <w:sz w:val="24"/>
          <w:szCs w:val="24"/>
        </w:rPr>
        <w:t>tendimento</w:t>
      </w:r>
    </w:p>
    <w:p w14:paraId="73DF147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d</w:t>
      </w:r>
      <w:r>
        <w:rPr>
          <w:rFonts w:hint="default" w:ascii="Arial" w:hAnsi="Arial" w:cs="Arial"/>
          <w:sz w:val="24"/>
          <w:szCs w:val="24"/>
        </w:rPr>
        <w:t>ata</w:t>
      </w:r>
      <w:r>
        <w:rPr>
          <w:rFonts w:hint="default" w:ascii="Arial" w:hAnsi="Arial" w:cs="Arial"/>
          <w:sz w:val="24"/>
          <w:szCs w:val="24"/>
          <w:lang w:val="pt-BR"/>
        </w:rPr>
        <w:t>_</w:t>
      </w:r>
      <w:r>
        <w:rPr>
          <w:rFonts w:hint="default" w:ascii="Arial" w:hAnsi="Arial" w:cs="Arial"/>
          <w:sz w:val="24"/>
          <w:szCs w:val="24"/>
        </w:rPr>
        <w:t>Atendimento</w:t>
      </w:r>
    </w:p>
    <w:p w14:paraId="78560C2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motivo</w:t>
      </w:r>
    </w:p>
    <w:p w14:paraId="5A6414A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_a</w:t>
      </w:r>
      <w:r>
        <w:rPr>
          <w:rFonts w:hint="default" w:ascii="Arial" w:hAnsi="Arial" w:cs="Arial"/>
          <w:sz w:val="24"/>
          <w:szCs w:val="24"/>
        </w:rPr>
        <w:t>nimal (chave estrangeira)</w:t>
      </w:r>
    </w:p>
    <w:p w14:paraId="5218FDD1">
      <w:pPr>
        <w:pStyle w:val="7"/>
        <w:keepNext w:val="0"/>
        <w:keepLines w:val="0"/>
        <w:widowControl/>
        <w:suppressLineNumbers w:val="0"/>
      </w:pPr>
      <w:r>
        <w:rPr>
          <w:rFonts w:hint="default" w:ascii="Arial" w:hAnsi="Arial" w:cs="Arial"/>
          <w:sz w:val="24"/>
          <w:szCs w:val="24"/>
        </w:rPr>
        <w:t>Id</w:t>
      </w:r>
      <w:r>
        <w:rPr>
          <w:rFonts w:hint="default" w:ascii="Arial" w:hAnsi="Arial" w:cs="Arial"/>
          <w:sz w:val="24"/>
          <w:szCs w:val="24"/>
          <w:lang w:val="pt-BR"/>
        </w:rPr>
        <w:t>_v</w:t>
      </w:r>
      <w:r>
        <w:rPr>
          <w:rFonts w:hint="default" w:ascii="Arial" w:hAnsi="Arial" w:cs="Arial"/>
          <w:sz w:val="24"/>
          <w:szCs w:val="24"/>
        </w:rPr>
        <w:t>eterinario (chave estrangeira)</w:t>
      </w:r>
    </w:p>
    <w:p w14:paraId="72F60FC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23C3A69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Entidade: Consulta</w:t>
      </w:r>
    </w:p>
    <w:p w14:paraId="32E2BA0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</w:t>
      </w:r>
      <w:r>
        <w:rPr>
          <w:rFonts w:hint="default" w:ascii="Arial" w:hAnsi="Arial" w:cs="Arial"/>
          <w:sz w:val="24"/>
          <w:szCs w:val="24"/>
        </w:rPr>
        <w:t>onsulta</w:t>
      </w:r>
    </w:p>
    <w:p w14:paraId="4767884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sintomas</w:t>
      </w:r>
    </w:p>
    <w:p w14:paraId="0588BA5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diagnostico</w:t>
      </w:r>
    </w:p>
    <w:p w14:paraId="48ED46F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procedimento</w:t>
      </w:r>
    </w:p>
    <w:p w14:paraId="4B6B2A4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observacoes</w:t>
      </w:r>
    </w:p>
    <w:p w14:paraId="4F6D67B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_a</w:t>
      </w:r>
      <w:r>
        <w:rPr>
          <w:rFonts w:hint="default" w:ascii="Arial" w:hAnsi="Arial" w:cs="Arial"/>
          <w:sz w:val="24"/>
          <w:szCs w:val="24"/>
        </w:rPr>
        <w:t xml:space="preserve">tendimento </w:t>
      </w:r>
    </w:p>
    <w:p w14:paraId="24B549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309AD8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Entidade: Exame</w:t>
      </w:r>
    </w:p>
    <w:p w14:paraId="3F66DF8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_e</w:t>
      </w:r>
      <w:r>
        <w:rPr>
          <w:rFonts w:hint="default" w:ascii="Arial" w:hAnsi="Arial" w:cs="Arial"/>
          <w:sz w:val="24"/>
          <w:szCs w:val="24"/>
        </w:rPr>
        <w:t>xame</w:t>
      </w:r>
    </w:p>
    <w:p w14:paraId="42A9E7D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Tipo</w:t>
      </w:r>
      <w:r>
        <w:rPr>
          <w:rFonts w:hint="default" w:ascii="Arial" w:hAnsi="Arial" w:cs="Arial"/>
          <w:sz w:val="24"/>
          <w:szCs w:val="24"/>
          <w:lang w:val="pt-BR"/>
        </w:rPr>
        <w:t>_</w:t>
      </w:r>
      <w:r>
        <w:rPr>
          <w:rFonts w:hint="default" w:ascii="Arial" w:hAnsi="Arial" w:cs="Arial"/>
          <w:sz w:val="24"/>
          <w:szCs w:val="24"/>
        </w:rPr>
        <w:t>Exame</w:t>
      </w:r>
    </w:p>
    <w:p w14:paraId="293A07D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resultado</w:t>
      </w:r>
    </w:p>
    <w:p w14:paraId="357AC683">
      <w:pPr>
        <w:pStyle w:val="7"/>
        <w:keepNext w:val="0"/>
        <w:keepLines w:val="0"/>
        <w:widowControl/>
        <w:suppressLineNumbers w:val="0"/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</w:t>
      </w:r>
      <w:r>
        <w:rPr>
          <w:rFonts w:hint="default" w:ascii="Arial" w:hAnsi="Arial" w:cs="Arial"/>
          <w:sz w:val="24"/>
          <w:szCs w:val="24"/>
        </w:rPr>
        <w:t>Consulta (chave estrangeira)</w:t>
      </w:r>
    </w:p>
    <w:p w14:paraId="78DE00D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7071AE3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Entidade: Tratamento</w:t>
      </w:r>
    </w:p>
    <w:p w14:paraId="09AFDB9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_t</w:t>
      </w:r>
      <w:r>
        <w:rPr>
          <w:rFonts w:hint="default" w:ascii="Arial" w:hAnsi="Arial" w:cs="Arial"/>
          <w:sz w:val="24"/>
          <w:szCs w:val="24"/>
        </w:rPr>
        <w:t>ratamento</w:t>
      </w:r>
    </w:p>
    <w:p w14:paraId="56CF714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medicamento</w:t>
      </w:r>
    </w:p>
    <w:p w14:paraId="677455F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d</w:t>
      </w:r>
      <w:r>
        <w:rPr>
          <w:rFonts w:hint="default" w:ascii="Arial" w:hAnsi="Arial" w:cs="Arial"/>
          <w:sz w:val="24"/>
          <w:szCs w:val="24"/>
        </w:rPr>
        <w:t>uracao</w:t>
      </w:r>
      <w:r>
        <w:rPr>
          <w:rFonts w:hint="default" w:ascii="Arial" w:hAnsi="Arial" w:cs="Arial"/>
          <w:sz w:val="24"/>
          <w:szCs w:val="24"/>
          <w:lang w:val="pt-BR"/>
        </w:rPr>
        <w:t>_di</w:t>
      </w:r>
      <w:r>
        <w:rPr>
          <w:rFonts w:hint="default" w:ascii="Arial" w:hAnsi="Arial" w:cs="Arial"/>
          <w:sz w:val="24"/>
          <w:szCs w:val="24"/>
        </w:rPr>
        <w:t>as</w:t>
      </w:r>
    </w:p>
    <w:p w14:paraId="55268F9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dosage</w:t>
      </w:r>
      <w:r>
        <w:rPr>
          <w:rFonts w:hint="default" w:ascii="Arial" w:hAnsi="Arial" w:cs="Arial"/>
          <w:sz w:val="24"/>
          <w:szCs w:val="24"/>
          <w:lang w:val="pt-BR"/>
        </w:rPr>
        <w:t>m</w:t>
      </w:r>
    </w:p>
    <w:p w14:paraId="529885C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i</w:t>
      </w:r>
      <w:r>
        <w:rPr>
          <w:rFonts w:hint="default" w:ascii="Arial" w:hAnsi="Arial" w:cs="Arial"/>
          <w:sz w:val="24"/>
          <w:szCs w:val="24"/>
        </w:rPr>
        <w:t>d</w:t>
      </w:r>
      <w:r>
        <w:rPr>
          <w:rFonts w:hint="default" w:ascii="Arial" w:hAnsi="Arial" w:cs="Arial"/>
          <w:sz w:val="24"/>
          <w:szCs w:val="24"/>
          <w:lang w:val="pt-BR"/>
        </w:rPr>
        <w:t>_c</w:t>
      </w:r>
      <w:r>
        <w:rPr>
          <w:rFonts w:hint="default" w:ascii="Arial" w:hAnsi="Arial" w:cs="Arial"/>
          <w:sz w:val="24"/>
          <w:szCs w:val="24"/>
        </w:rPr>
        <w:t>onsulta (chave estrangeira)</w:t>
      </w:r>
    </w:p>
    <w:p w14:paraId="354225A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71235317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Relacionamentos e Cardinalidades</w:t>
      </w:r>
    </w:p>
    <w:p w14:paraId="1E5E0FE0">
      <w:pPr>
        <w:suppressAutoHyphens/>
        <w:spacing w:after="0" w:line="360" w:lineRule="auto"/>
        <w:rPr>
          <w:rFonts w:ascii="Arial" w:hAnsi="Arial" w:cs="Arial"/>
          <w:b/>
          <w:bCs/>
        </w:rPr>
      </w:pPr>
    </w:p>
    <w:p w14:paraId="297257E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Relacionamento: Tutor — Animal</w:t>
      </w:r>
    </w:p>
    <w:p w14:paraId="1E7D18F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Entidades Envolvidas:</w:t>
      </w:r>
      <w:r>
        <w:rPr>
          <w:rFonts w:hint="default" w:ascii="Arial" w:hAnsi="Arial" w:cs="Arial"/>
          <w:sz w:val="24"/>
          <w:szCs w:val="24"/>
        </w:rPr>
        <w:t xml:space="preserve"> Tutor e Animal</w:t>
      </w:r>
    </w:p>
    <w:p w14:paraId="2DB229D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Cardinalidade:</w:t>
      </w:r>
      <w:r>
        <w:rPr>
          <w:rFonts w:hint="default" w:ascii="Arial" w:hAnsi="Arial" w:cs="Arial"/>
          <w:sz w:val="24"/>
          <w:szCs w:val="24"/>
        </w:rPr>
        <w:t xml:space="preserve"> 1 para N — </w:t>
      </w:r>
      <w:r>
        <w:rPr>
          <w:rStyle w:val="6"/>
          <w:rFonts w:hint="default" w:ascii="Arial" w:hAnsi="Arial" w:cs="Arial"/>
          <w:sz w:val="24"/>
          <w:szCs w:val="24"/>
        </w:rPr>
        <w:t>Um tutor pode ter vários animais, mas cada animal pertence a apenas um tutor.</w:t>
      </w:r>
    </w:p>
    <w:p w14:paraId="31F771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4"/>
          <w:szCs w:val="24"/>
        </w:rPr>
      </w:pPr>
    </w:p>
    <w:p w14:paraId="7D7DDE5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Relacionamento: Animal — Atendimento</w:t>
      </w:r>
    </w:p>
    <w:p w14:paraId="4906831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Entidades Envolvidas:</w:t>
      </w:r>
      <w:r>
        <w:rPr>
          <w:rFonts w:hint="default" w:ascii="Arial" w:hAnsi="Arial" w:cs="Arial"/>
          <w:sz w:val="24"/>
          <w:szCs w:val="24"/>
        </w:rPr>
        <w:t xml:space="preserve"> Animal e Atendimento</w:t>
      </w:r>
    </w:p>
    <w:p w14:paraId="7743EAE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Cardinalidade:</w:t>
      </w:r>
      <w:r>
        <w:rPr>
          <w:rFonts w:hint="default" w:ascii="Arial" w:hAnsi="Arial" w:cs="Arial"/>
          <w:sz w:val="24"/>
          <w:szCs w:val="24"/>
        </w:rPr>
        <w:t xml:space="preserve"> 1 para N — </w:t>
      </w:r>
      <w:r>
        <w:rPr>
          <w:rStyle w:val="6"/>
          <w:rFonts w:hint="default" w:ascii="Arial" w:hAnsi="Arial" w:cs="Arial"/>
          <w:sz w:val="24"/>
          <w:szCs w:val="24"/>
        </w:rPr>
        <w:t>Um animal pode ter vários atendimentos, mas cada atendimento está ligado a um único animal.</w:t>
      </w:r>
    </w:p>
    <w:p w14:paraId="4AB8F8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16D84DA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Relacionamento: Veterinario — Atendimento</w:t>
      </w:r>
    </w:p>
    <w:p w14:paraId="2A7E2A5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Entidades Envolvidas:</w:t>
      </w:r>
      <w:r>
        <w:rPr>
          <w:rFonts w:hint="default" w:ascii="Arial" w:hAnsi="Arial" w:cs="Arial"/>
          <w:sz w:val="24"/>
          <w:szCs w:val="24"/>
        </w:rPr>
        <w:t xml:space="preserve"> Veterinario e Atendimento</w:t>
      </w:r>
    </w:p>
    <w:p w14:paraId="624491C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Cardinalidade:</w:t>
      </w:r>
      <w:r>
        <w:rPr>
          <w:rFonts w:hint="default" w:ascii="Arial" w:hAnsi="Arial" w:cs="Arial"/>
          <w:sz w:val="24"/>
          <w:szCs w:val="24"/>
        </w:rPr>
        <w:t xml:space="preserve"> 1 para N — </w:t>
      </w:r>
      <w:r>
        <w:rPr>
          <w:rStyle w:val="6"/>
          <w:rFonts w:hint="default" w:ascii="Arial" w:hAnsi="Arial" w:cs="Arial"/>
          <w:sz w:val="24"/>
          <w:szCs w:val="24"/>
        </w:rPr>
        <w:t>Um veterinário pode realizar vários atendimentos, mas cada atendimento é realizado por um único veterinário.</w:t>
      </w:r>
    </w:p>
    <w:p w14:paraId="04C182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4"/>
          <w:szCs w:val="24"/>
        </w:rPr>
      </w:pPr>
    </w:p>
    <w:p w14:paraId="7D1E817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Relacionamento: Atendimento — Consulta</w:t>
      </w:r>
    </w:p>
    <w:p w14:paraId="1467A8C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Entidades Envolvidas:</w:t>
      </w:r>
      <w:r>
        <w:rPr>
          <w:rFonts w:hint="default" w:ascii="Arial" w:hAnsi="Arial" w:cs="Arial"/>
          <w:sz w:val="24"/>
          <w:szCs w:val="24"/>
        </w:rPr>
        <w:t xml:space="preserve"> Atendimento e Consulta</w:t>
      </w:r>
    </w:p>
    <w:p w14:paraId="4548CEE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Cardinalidade:</w:t>
      </w:r>
      <w:r>
        <w:rPr>
          <w:rFonts w:hint="default" w:ascii="Arial" w:hAnsi="Arial" w:cs="Arial"/>
          <w:sz w:val="24"/>
          <w:szCs w:val="24"/>
        </w:rPr>
        <w:t xml:space="preserve"> 1 para 1 ou 1 para N (dependendo da regra escolhida) — </w:t>
      </w:r>
      <w:r>
        <w:rPr>
          <w:rStyle w:val="6"/>
          <w:rFonts w:hint="default" w:ascii="Arial" w:hAnsi="Arial" w:cs="Arial"/>
          <w:sz w:val="24"/>
          <w:szCs w:val="24"/>
        </w:rPr>
        <w:t>Um atendimento pode resultar em uma ou várias consultas, e cada consulta pertence a um atendimento específico.</w:t>
      </w:r>
    </w:p>
    <w:p w14:paraId="5CD50B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4"/>
          <w:szCs w:val="24"/>
        </w:rPr>
      </w:pPr>
    </w:p>
    <w:p w14:paraId="3A8CD8C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Relacionamento: Consulta — Exame</w:t>
      </w:r>
    </w:p>
    <w:p w14:paraId="271E11C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Entidades Envolvidas:</w:t>
      </w:r>
      <w:r>
        <w:rPr>
          <w:rFonts w:hint="default" w:ascii="Arial" w:hAnsi="Arial" w:cs="Arial"/>
          <w:sz w:val="24"/>
          <w:szCs w:val="24"/>
        </w:rPr>
        <w:t xml:space="preserve"> Consulta e Exame</w:t>
      </w:r>
    </w:p>
    <w:p w14:paraId="5C14197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Cardinalidade:</w:t>
      </w:r>
      <w:r>
        <w:rPr>
          <w:rFonts w:hint="default" w:ascii="Arial" w:hAnsi="Arial" w:cs="Arial"/>
          <w:sz w:val="24"/>
          <w:szCs w:val="24"/>
        </w:rPr>
        <w:t xml:space="preserve"> 1 para N — </w:t>
      </w:r>
      <w:r>
        <w:rPr>
          <w:rStyle w:val="6"/>
          <w:rFonts w:hint="default" w:ascii="Arial" w:hAnsi="Arial" w:cs="Arial"/>
          <w:sz w:val="24"/>
          <w:szCs w:val="24"/>
        </w:rPr>
        <w:t>Uma consulta pode solicitar vários exames, mas cada exame está ligado a uma única consulta.</w:t>
      </w:r>
    </w:p>
    <w:p w14:paraId="5135418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352E415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1C65B91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Relacionamento: Consulta — Tratamento</w:t>
      </w:r>
    </w:p>
    <w:p w14:paraId="0DC4A03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Entidades Envolvidas:</w:t>
      </w:r>
      <w:r>
        <w:rPr>
          <w:rFonts w:hint="default" w:ascii="Arial" w:hAnsi="Arial" w:cs="Arial"/>
          <w:sz w:val="24"/>
          <w:szCs w:val="24"/>
        </w:rPr>
        <w:t xml:space="preserve"> Consulta e Tratamento</w:t>
      </w:r>
    </w:p>
    <w:p w14:paraId="3088B52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Cardinalidade:</w:t>
      </w:r>
      <w:r>
        <w:rPr>
          <w:rFonts w:hint="default" w:ascii="Arial" w:hAnsi="Arial" w:cs="Arial"/>
          <w:sz w:val="24"/>
          <w:szCs w:val="24"/>
        </w:rPr>
        <w:t xml:space="preserve"> 1 para N — </w:t>
      </w:r>
      <w:r>
        <w:rPr>
          <w:rStyle w:val="6"/>
          <w:rFonts w:hint="default" w:ascii="Arial" w:hAnsi="Arial" w:cs="Arial"/>
          <w:sz w:val="24"/>
          <w:szCs w:val="24"/>
        </w:rPr>
        <w:t>Uma consulta pode gerar vários tratamentos, mas cada tratamento pertence a uma única consulta.</w:t>
      </w:r>
    </w:p>
    <w:p w14:paraId="57930FC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21E95E1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72C3D612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07F5D35D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6AFACF9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14638520">
      <w:pPr>
        <w:spacing w:after="0"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4. Considerações</w:t>
      </w:r>
    </w:p>
    <w:p w14:paraId="700564E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</w:rPr>
        <w:t>Desafios</w:t>
      </w:r>
    </w:p>
    <w:p w14:paraId="7F92D957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Houve a necessidade de definir corretamente a cardinalidade entre </w:t>
      </w:r>
      <w:r>
        <w:rPr>
          <w:rStyle w:val="6"/>
          <w:rFonts w:hint="default" w:ascii="Arial" w:hAnsi="Arial" w:cs="Arial"/>
          <w:b w:val="0"/>
          <w:bCs w:val="0"/>
          <w:sz w:val="24"/>
          <w:szCs w:val="24"/>
        </w:rPr>
        <w:t>Atendimento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e </w:t>
      </w:r>
      <w:r>
        <w:rPr>
          <w:rStyle w:val="6"/>
          <w:rFonts w:hint="default" w:ascii="Arial" w:hAnsi="Arial" w:cs="Arial"/>
          <w:b w:val="0"/>
          <w:bCs w:val="0"/>
          <w:sz w:val="24"/>
          <w:szCs w:val="24"/>
        </w:rPr>
        <w:t>Consulta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, já que dependendo do contexto real, um atendimento poderia resultar em uma única consulta ou em várias. Optou-se por permitir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1 para N</w:t>
      </w:r>
      <w:r>
        <w:rPr>
          <w:rFonts w:hint="default" w:ascii="Arial" w:hAnsi="Arial" w:cs="Arial"/>
          <w:b w:val="0"/>
          <w:bCs w:val="0"/>
          <w:sz w:val="24"/>
          <w:szCs w:val="24"/>
        </w:rPr>
        <w:t>, garantindo maior flexibilidade ao sistema.</w:t>
      </w:r>
    </w:p>
    <w:p w14:paraId="5E6BCA8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A separação entre </w:t>
      </w:r>
      <w:r>
        <w:rPr>
          <w:rStyle w:val="6"/>
          <w:rFonts w:hint="default" w:ascii="Arial" w:hAnsi="Arial" w:cs="Arial"/>
          <w:b w:val="0"/>
          <w:bCs w:val="0"/>
          <w:sz w:val="24"/>
          <w:szCs w:val="24"/>
        </w:rPr>
        <w:t>Exame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e </w:t>
      </w:r>
      <w:r>
        <w:rPr>
          <w:rStyle w:val="6"/>
          <w:rFonts w:hint="default" w:ascii="Arial" w:hAnsi="Arial" w:cs="Arial"/>
          <w:b w:val="0"/>
          <w:bCs w:val="0"/>
          <w:sz w:val="24"/>
          <w:szCs w:val="24"/>
        </w:rPr>
        <w:t>Tratamento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como entidades independentes também exigiu análise, pois ambos dependem da </w:t>
      </w:r>
      <w:r>
        <w:rPr>
          <w:rStyle w:val="6"/>
          <w:rFonts w:hint="default" w:ascii="Arial" w:hAnsi="Arial" w:cs="Arial"/>
          <w:b w:val="0"/>
          <w:bCs w:val="0"/>
          <w:sz w:val="24"/>
          <w:szCs w:val="24"/>
        </w:rPr>
        <w:t>Consulta</w:t>
      </w:r>
      <w:r>
        <w:rPr>
          <w:rFonts w:hint="default" w:ascii="Arial" w:hAnsi="Arial" w:cs="Arial"/>
          <w:b w:val="0"/>
          <w:bCs w:val="0"/>
          <w:sz w:val="24"/>
          <w:szCs w:val="24"/>
        </w:rPr>
        <w:t>, mas representam informações distintas e com ciclicidade diferente.</w:t>
      </w:r>
    </w:p>
    <w:p w14:paraId="293C6B37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A definição de quais atributos deveriam ser obrigatórios (NOT NULL) exigiu interpretação do minimundo, principalmente em relação aos dados do tutor e do veterinário.</w:t>
      </w:r>
    </w:p>
    <w:p w14:paraId="4343CA7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</w:rPr>
        <w:t>Suposições</w:t>
      </w:r>
    </w:p>
    <w:p w14:paraId="45E2F502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Assumiu-se que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todo animal deve obrigatoriamente pertencer a um tutor</w:t>
      </w:r>
      <w:r>
        <w:rPr>
          <w:rFonts w:hint="default" w:ascii="Arial" w:hAnsi="Arial" w:cs="Arial"/>
          <w:b w:val="0"/>
          <w:bCs w:val="0"/>
          <w:sz w:val="24"/>
          <w:szCs w:val="24"/>
        </w:rPr>
        <w:t>, tornando o relacionamento obrigatório e garantindo consistência cadastral</w:t>
      </w:r>
    </w:p>
    <w:p w14:paraId="7BAF0587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Foi assumido que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todo atendimento deve estar associado tanto a um animal quanto a um veterinário</w:t>
      </w:r>
      <w:r>
        <w:rPr>
          <w:rFonts w:hint="default" w:ascii="Arial" w:hAnsi="Arial" w:cs="Arial"/>
          <w:b w:val="0"/>
          <w:bCs w:val="0"/>
          <w:sz w:val="24"/>
          <w:szCs w:val="24"/>
        </w:rPr>
        <w:t>, não existindo atendimento sem profissional responsável.</w:t>
      </w:r>
    </w:p>
    <w:p w14:paraId="60B3431C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Também se considerou que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uma consulta sempre ocorre dentro de um atendimento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, justificando a chave estrangeira direta em </w:t>
      </w:r>
      <w:r>
        <w:rPr>
          <w:rStyle w:val="6"/>
          <w:rFonts w:hint="default" w:ascii="Arial" w:hAnsi="Arial" w:cs="Arial"/>
          <w:b w:val="0"/>
          <w:bCs w:val="0"/>
          <w:sz w:val="24"/>
          <w:szCs w:val="24"/>
        </w:rPr>
        <w:t>Consulta</w:t>
      </w:r>
      <w:r>
        <w:rPr>
          <w:rFonts w:hint="default" w:ascii="Arial" w:hAnsi="Arial" w:cs="Arial"/>
          <w:b w:val="0"/>
          <w:bCs w:val="0"/>
          <w:sz w:val="24"/>
          <w:szCs w:val="24"/>
        </w:rPr>
        <w:t>.</w:t>
      </w:r>
    </w:p>
    <w:p w14:paraId="461E5993">
      <w:pPr>
        <w:pStyle w:val="2"/>
        <w:keepNext w:val="0"/>
        <w:keepLines w:val="0"/>
        <w:widowControl/>
        <w:suppressLineNumbers w:val="0"/>
        <w:rPr>
          <w:rStyle w:val="5"/>
          <w:rFonts w:hint="default" w:ascii="Arial" w:hAnsi="Arial" w:cs="Arial"/>
          <w:b/>
          <w:bCs/>
          <w:sz w:val="24"/>
          <w:szCs w:val="24"/>
        </w:rPr>
      </w:pPr>
      <w:r>
        <w:rPr>
          <w:rStyle w:val="5"/>
          <w:rFonts w:hint="default" w:ascii="Arial" w:hAnsi="Arial" w:cs="Arial"/>
          <w:b/>
          <w:bCs/>
          <w:sz w:val="24"/>
          <w:szCs w:val="24"/>
        </w:rPr>
        <w:t>Conclusão</w:t>
      </w:r>
    </w:p>
    <w:p w14:paraId="5BE9934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diagrama conceitual elaborado representa de forma clara e estruturada o funcionamento do sistema veterinário proposto. Ele captura as principais entidades, seus atributos mais relevantes e os relacionamentos essenciais do domínio.</w:t>
      </w:r>
      <w:r>
        <w:rPr>
          <w:rFonts w:hint="default" w:ascii="Arial" w:hAnsi="Arial" w:cs="Arial"/>
          <w:sz w:val="24"/>
          <w:szCs w:val="24"/>
        </w:rPr>
        <w:br w:type="textWrapping"/>
      </w:r>
      <w:bookmarkStart w:id="0" w:name="_GoBack"/>
      <w:bookmarkEnd w:id="0"/>
    </w:p>
    <w:p w14:paraId="7705920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60CA4C8A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278E737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56CDB114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717EA37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24"/>
          <w:szCs w:val="24"/>
        </w:rPr>
      </w:pPr>
    </w:p>
    <w:p w14:paraId="4CC42FEC">
      <w:pPr>
        <w:suppressAutoHyphens/>
        <w:spacing w:after="0" w:line="360" w:lineRule="auto"/>
        <w:rPr>
          <w:rFonts w:ascii="Arial" w:hAnsi="Arial" w:cs="Arial"/>
          <w:b/>
          <w:bCs/>
        </w:rPr>
      </w:pPr>
    </w:p>
    <w:p w14:paraId="3FBBA65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7E41D24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5D176AD">
      <w:pPr>
        <w:bidi w:val="0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2EEBBF"/>
    <w:multiLevelType w:val="multilevel"/>
    <w:tmpl w:val="B92EE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CC4FC4"/>
    <w:rsid w:val="2DCC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character" w:styleId="6">
    <w:name w:val="Emphasis"/>
    <w:basedOn w:val="3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2025-11-28T22:28:00Z</dcterms:created>
  <dc:creator>lipee</dc:creator>
  <cp:lastModifiedBy>lipee</cp:lastModifiedBy>
  <dcterms:modified xsi:type="dcterms:W3CDTF">2025-11-28T23:51:00Z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02AA67B575B249CFA6BB974C0C85038A_11</vt:lpwstr>
  </property>
</Properties>
</file>