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Customer wants to hide some categories from the pdf catalog, please add a tick box option in the admin area for categories called “Hide from catalogue”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If a category is ticked then please hide it from the pdf catalogue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mc:AlternateContent>
          <mc:Choice Requires="wpg">
            <w:drawing>
              <wp:inline distB="114300" distT="114300" distL="114300" distR="114300">
                <wp:extent cx="2105025" cy="1971675"/>
                <wp:effectExtent b="0" l="0" r="0" t="0"/>
                <wp:docPr id="3" name=""/>
                <a:graphic>
                  <a:graphicData uri="http://schemas.microsoft.com/office/word/2010/wordprocessingGroup">
                    <wpg:wgp>
                      <wpg:cNvGrpSpPr/>
                      <wpg:grpSpPr>
                        <a:xfrm>
                          <a:off x="3067050" y="219075"/>
                          <a:ext cx="2105025" cy="1971675"/>
                          <a:chOff x="3067050" y="219075"/>
                          <a:chExt cx="2085900" cy="1952550"/>
                        </a:xfrm>
                      </wpg:grpSpPr>
                      <wps:wsp>
                        <wps:cNvSpPr/>
                        <wps:cNvPr id="2" name="Shape 2"/>
                        <wps:spPr>
                          <a:xfrm>
                            <a:off x="3067050" y="219075"/>
                            <a:ext cx="20859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 Home</w:t>
                              </w:r>
                            </w:p>
                          </w:txbxContent>
                        </wps:txbx>
                        <wps:bodyPr anchorCtr="0" anchor="ctr" bIns="91425" lIns="91425" rIns="91425" tIns="91425"/>
                      </wps:wsp>
                      <wps:wsp>
                        <wps:cNvSpPr/>
                        <wps:cNvPr id="3" name="Shape 3"/>
                        <wps:spPr>
                          <a:xfrm>
                            <a:off x="3067050" y="971550"/>
                            <a:ext cx="20859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Category Manager</w:t>
                              </w:r>
                            </w:p>
                          </w:txbxContent>
                        </wps:txbx>
                        <wps:bodyPr anchorCtr="0" anchor="ctr" bIns="91425" lIns="91425" rIns="91425" tIns="91425"/>
                      </wps:wsp>
                      <wps:wsp>
                        <wps:cNvSpPr/>
                        <wps:cNvPr id="4" name="Shape 4"/>
                        <wps:spPr>
                          <a:xfrm>
                            <a:off x="3067050" y="1724025"/>
                            <a:ext cx="20859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 Category</w:t>
                              </w:r>
                            </w:p>
                          </w:txbxContent>
                        </wps:txbx>
                        <wps:bodyPr anchorCtr="0" anchor="ctr" bIns="91425" lIns="91425" rIns="91425" tIns="91425"/>
                      </wps:wsp>
                      <wps:wsp>
                        <wps:cNvCnPr/>
                        <wps:spPr>
                          <a:xfrm>
                            <a:off x="4110000" y="666675"/>
                            <a:ext cx="0" cy="30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110000" y="1419150"/>
                            <a:ext cx="0" cy="30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105025" cy="1971675"/>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10502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909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In Pdf catalogue, if tick option is true then skip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Add field to the category table “isHiddenInPdf” default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18"/>
          <w:szCs w:val="18"/>
          <w:rtl w:val="0"/>
        </w:rPr>
        <w:t xml:space="preserve">ALTER TABLE `category` ADD COLUMN `isHiddenInPdf` BOOLEAN NOT NULL DEFAULT 0 AFTER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PDF add option to hide product from the catalog</w:t>
          </w:r>
          <w:r w:rsidDel="00000000" w:rsidR="00000000" w:rsidRPr="00000000">
            <w:rPr>
              <w:sz w:val="18"/>
              <w:szCs w:val="18"/>
              <w:rtl w:val="0"/>
            </w:rPr>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