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3FCC5" w14:textId="77777777" w:rsidR="006F727B" w:rsidRDefault="006F727B" w:rsidP="008D01F2">
      <w:pPr>
        <w:spacing w:after="0" w:line="276" w:lineRule="auto"/>
        <w:rPr>
          <w:rFonts w:ascii="Times New Roman" w:hAnsi="Times New Roman" w:cs="Times New Roman"/>
          <w:i/>
          <w:iCs/>
          <w:sz w:val="24"/>
          <w:szCs w:val="24"/>
        </w:rPr>
      </w:pPr>
    </w:p>
    <w:p w14:paraId="6542B528" w14:textId="405F7A4F" w:rsidR="007D53F9" w:rsidRDefault="007D53F9" w:rsidP="008D01F2">
      <w:pPr>
        <w:spacing w:after="0" w:line="276" w:lineRule="auto"/>
        <w:rPr>
          <w:rFonts w:ascii="Times New Roman" w:hAnsi="Times New Roman" w:cs="Times New Roman"/>
          <w:sz w:val="24"/>
          <w:szCs w:val="24"/>
        </w:rPr>
      </w:pPr>
      <w:r w:rsidRPr="007D53F9">
        <w:rPr>
          <w:rFonts w:ascii="Times New Roman" w:hAnsi="Times New Roman" w:cs="Times New Roman"/>
          <w:i/>
          <w:iCs/>
          <w:sz w:val="24"/>
          <w:szCs w:val="24"/>
        </w:rPr>
        <w:t>Demographic Research</w:t>
      </w:r>
      <w:r>
        <w:rPr>
          <w:rFonts w:ascii="Times New Roman" w:hAnsi="Times New Roman" w:cs="Times New Roman"/>
          <w:sz w:val="24"/>
          <w:szCs w:val="24"/>
        </w:rPr>
        <w:t xml:space="preserve"> #5265</w:t>
      </w:r>
    </w:p>
    <w:p w14:paraId="09D6BFB1" w14:textId="6119FDBE" w:rsidR="007D53F9" w:rsidRDefault="007D53F9" w:rsidP="008D01F2">
      <w:pPr>
        <w:spacing w:after="0" w:line="276" w:lineRule="auto"/>
        <w:rPr>
          <w:rFonts w:ascii="Times New Roman" w:hAnsi="Times New Roman" w:cs="Times New Roman"/>
          <w:sz w:val="24"/>
          <w:szCs w:val="24"/>
        </w:rPr>
      </w:pPr>
      <w:r>
        <w:rPr>
          <w:rFonts w:ascii="Times New Roman" w:hAnsi="Times New Roman" w:cs="Times New Roman"/>
          <w:sz w:val="24"/>
          <w:szCs w:val="24"/>
        </w:rPr>
        <w:t>Food Insecurity among Homeless and Precariously Housed Children in the United States:</w:t>
      </w:r>
    </w:p>
    <w:p w14:paraId="31461221" w14:textId="087AD28E" w:rsidR="007D53F9" w:rsidRDefault="007D53F9" w:rsidP="008D01F2">
      <w:pPr>
        <w:spacing w:after="0" w:line="276" w:lineRule="auto"/>
        <w:rPr>
          <w:rFonts w:ascii="Times New Roman" w:hAnsi="Times New Roman" w:cs="Times New Roman"/>
          <w:sz w:val="24"/>
          <w:szCs w:val="24"/>
        </w:rPr>
      </w:pPr>
      <w:r>
        <w:rPr>
          <w:rFonts w:ascii="Times New Roman" w:hAnsi="Times New Roman" w:cs="Times New Roman"/>
          <w:sz w:val="24"/>
          <w:szCs w:val="24"/>
        </w:rPr>
        <w:t>Lessons from the Past</w:t>
      </w:r>
    </w:p>
    <w:p w14:paraId="6AEC3C98" w14:textId="724369FA" w:rsidR="007D53F9" w:rsidRDefault="007D53F9" w:rsidP="008D01F2">
      <w:pPr>
        <w:spacing w:line="480" w:lineRule="auto"/>
        <w:rPr>
          <w:rFonts w:ascii="Times New Roman" w:hAnsi="Times New Roman" w:cs="Times New Roman"/>
          <w:sz w:val="24"/>
          <w:szCs w:val="24"/>
        </w:rPr>
      </w:pPr>
      <w:r>
        <w:rPr>
          <w:rFonts w:ascii="Times New Roman" w:hAnsi="Times New Roman" w:cs="Times New Roman"/>
          <w:sz w:val="24"/>
          <w:szCs w:val="24"/>
        </w:rPr>
        <w:t>Barrett A. Lee and Adam M. Lippert</w:t>
      </w:r>
    </w:p>
    <w:p w14:paraId="48F6D891" w14:textId="2E880B8C" w:rsidR="007D53F9" w:rsidRDefault="007D53F9" w:rsidP="006F727B">
      <w:pPr>
        <w:spacing w:after="0" w:line="360" w:lineRule="auto"/>
        <w:rPr>
          <w:rFonts w:ascii="Times New Roman" w:hAnsi="Times New Roman" w:cs="Times New Roman"/>
          <w:b/>
          <w:bCs/>
          <w:sz w:val="24"/>
          <w:szCs w:val="24"/>
        </w:rPr>
      </w:pPr>
      <w:r w:rsidRPr="007D53F9">
        <w:rPr>
          <w:rFonts w:ascii="Times New Roman" w:hAnsi="Times New Roman" w:cs="Times New Roman"/>
          <w:b/>
          <w:bCs/>
          <w:sz w:val="24"/>
          <w:szCs w:val="24"/>
        </w:rPr>
        <w:t>Notes on Measurement</w:t>
      </w:r>
    </w:p>
    <w:p w14:paraId="20431AE9" w14:textId="39436464" w:rsidR="007D53F9" w:rsidRDefault="007D53F9" w:rsidP="006F727B">
      <w:pPr>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In this </w:t>
      </w:r>
      <w:r w:rsidR="0057136A">
        <w:rPr>
          <w:rFonts w:ascii="Times New Roman" w:hAnsi="Times New Roman" w:cs="Times New Roman"/>
          <w:sz w:val="24"/>
          <w:szCs w:val="24"/>
        </w:rPr>
        <w:t>document</w:t>
      </w:r>
      <w:r>
        <w:rPr>
          <w:rFonts w:ascii="Times New Roman" w:hAnsi="Times New Roman" w:cs="Times New Roman"/>
          <w:sz w:val="24"/>
          <w:szCs w:val="24"/>
        </w:rPr>
        <w:t xml:space="preserve"> we provide additional details about the measures used in our analysis that</w:t>
      </w:r>
      <w:r w:rsidR="001E5328">
        <w:rPr>
          <w:rFonts w:ascii="Times New Roman" w:hAnsi="Times New Roman" w:cs="Times New Roman"/>
          <w:sz w:val="24"/>
          <w:szCs w:val="24"/>
        </w:rPr>
        <w:t>, due to space constraints, could not be included in the published version of the article.</w:t>
      </w:r>
    </w:p>
    <w:p w14:paraId="4C252AEA" w14:textId="77777777" w:rsidR="001E5328" w:rsidRDefault="001E5328" w:rsidP="006F727B">
      <w:pPr>
        <w:spacing w:before="240" w:after="0" w:line="360" w:lineRule="auto"/>
        <w:rPr>
          <w:rFonts w:ascii="Times New Roman" w:hAnsi="Times New Roman" w:cs="Times New Roman"/>
          <w:sz w:val="24"/>
          <w:szCs w:val="24"/>
          <w:u w:val="single"/>
        </w:rPr>
      </w:pPr>
      <w:r w:rsidRPr="001E5328">
        <w:rPr>
          <w:rFonts w:ascii="Times New Roman" w:hAnsi="Times New Roman" w:cs="Times New Roman"/>
          <w:sz w:val="24"/>
          <w:szCs w:val="24"/>
          <w:u w:val="single"/>
        </w:rPr>
        <w:t>Dependent variables: Child and parent food insecurity</w:t>
      </w:r>
    </w:p>
    <w:p w14:paraId="501C5876" w14:textId="185F2007" w:rsidR="00B92583" w:rsidRPr="003B3C70" w:rsidRDefault="001E5328" w:rsidP="006F727B">
      <w:pPr>
        <w:spacing w:before="240" w:line="360" w:lineRule="auto"/>
        <w:rPr>
          <w:rFonts w:ascii="Times New Roman" w:eastAsia="Calibri" w:hAnsi="Times New Roman" w:cs="Times New Roman"/>
          <w:sz w:val="24"/>
          <w:szCs w:val="24"/>
        </w:rPr>
      </w:pPr>
      <w:r w:rsidRPr="001E5328">
        <w:rPr>
          <w:rFonts w:ascii="Times New Roman" w:eastAsia="Calibri" w:hAnsi="Times New Roman" w:cs="Times New Roman"/>
          <w:sz w:val="24"/>
          <w:szCs w:val="24"/>
        </w:rPr>
        <w:t>**</w:t>
      </w:r>
      <w:r>
        <w:rPr>
          <w:rFonts w:ascii="Times New Roman" w:eastAsia="Calibri" w:hAnsi="Times New Roman" w:cs="Times New Roman"/>
          <w:sz w:val="24"/>
          <w:szCs w:val="24"/>
        </w:rPr>
        <w:t xml:space="preserve"> NSHAPC’s reliance</w:t>
      </w:r>
      <w:r w:rsidR="003B3C70" w:rsidRPr="003B3C70">
        <w:rPr>
          <w:rFonts w:ascii="Times New Roman" w:eastAsia="Calibri" w:hAnsi="Times New Roman" w:cs="Times New Roman"/>
          <w:sz w:val="24"/>
          <w:szCs w:val="24"/>
        </w:rPr>
        <w:t xml:space="preserve"> on parents for assessments of their children’s food situation, although common practice, is less than ideal (</w:t>
      </w:r>
      <w:proofErr w:type="spellStart"/>
      <w:r w:rsidR="003B3C70" w:rsidRPr="003B3C70">
        <w:rPr>
          <w:rFonts w:ascii="Times New Roman" w:eastAsia="Calibri" w:hAnsi="Times New Roman" w:cs="Times New Roman"/>
          <w:sz w:val="24"/>
          <w:szCs w:val="24"/>
        </w:rPr>
        <w:t>Fram</w:t>
      </w:r>
      <w:proofErr w:type="spellEnd"/>
      <w:r w:rsidR="003B3C70" w:rsidRPr="003B3C70">
        <w:rPr>
          <w:rFonts w:ascii="Times New Roman" w:eastAsia="Calibri" w:hAnsi="Times New Roman" w:cs="Times New Roman"/>
          <w:sz w:val="24"/>
          <w:szCs w:val="24"/>
        </w:rPr>
        <w:t xml:space="preserve"> et al. 2011; Nord </w:t>
      </w:r>
      <w:r w:rsidR="006F727B">
        <w:rPr>
          <w:rFonts w:ascii="Times New Roman" w:eastAsia="Calibri" w:hAnsi="Times New Roman" w:cs="Times New Roman"/>
          <w:sz w:val="24"/>
          <w:szCs w:val="24"/>
        </w:rPr>
        <w:t>and</w:t>
      </w:r>
      <w:r w:rsidR="003B3C70" w:rsidRPr="003B3C70">
        <w:rPr>
          <w:rFonts w:ascii="Times New Roman" w:eastAsia="Calibri" w:hAnsi="Times New Roman" w:cs="Times New Roman"/>
          <w:sz w:val="24"/>
          <w:szCs w:val="24"/>
        </w:rPr>
        <w:t xml:space="preserve"> Hopwood 2007). This may be especially true for older children (e.g., teenagers) who are not subject to continuous and direct supervision or whose food insecurity is more difficult for parents to detect. Of the children in the NSHAPC families, 17.4% fell in the 13-18 age range, with the remainder 6-12 years old (41.1%) or five and under (41.5%).</w:t>
      </w:r>
    </w:p>
    <w:p w14:paraId="157FA80D" w14:textId="7A1B7C6F" w:rsidR="003B3C70" w:rsidRPr="003B3C70" w:rsidRDefault="001E5328" w:rsidP="006F727B">
      <w:pPr>
        <w:pStyle w:val="FootnoteText"/>
        <w:spacing w:before="240" w:after="240" w:line="360" w:lineRule="auto"/>
        <w:rPr>
          <w:rFonts w:ascii="Times New Roman" w:hAnsi="Times New Roman" w:cs="Times New Roman"/>
          <w:sz w:val="24"/>
          <w:szCs w:val="24"/>
        </w:rPr>
      </w:pPr>
      <w:r>
        <w:rPr>
          <w:rStyle w:val="Hyperlink"/>
          <w:rFonts w:ascii="Times New Roman" w:eastAsia="Calibri" w:hAnsi="Times New Roman" w:cs="Times New Roman"/>
          <w:color w:val="auto"/>
          <w:sz w:val="24"/>
          <w:szCs w:val="24"/>
          <w:u w:val="none"/>
        </w:rPr>
        <w:t>**</w:t>
      </w:r>
      <w:r w:rsidR="003B3C70">
        <w:rPr>
          <w:rStyle w:val="Hyperlink"/>
          <w:rFonts w:ascii="Times New Roman" w:eastAsia="Calibri" w:hAnsi="Times New Roman" w:cs="Times New Roman"/>
          <w:color w:val="auto"/>
          <w:sz w:val="24"/>
          <w:szCs w:val="24"/>
          <w:u w:val="none"/>
        </w:rPr>
        <w:t xml:space="preserve"> </w:t>
      </w:r>
      <w:r w:rsidR="00E419BC">
        <w:rPr>
          <w:rStyle w:val="Hyperlink"/>
          <w:rFonts w:ascii="Times New Roman" w:eastAsia="Calibri" w:hAnsi="Times New Roman" w:cs="Times New Roman"/>
          <w:color w:val="auto"/>
          <w:sz w:val="24"/>
          <w:szCs w:val="24"/>
          <w:u w:val="none"/>
        </w:rPr>
        <w:t>Regarding the question about the daily number of meals eaten by NSHAPC parents, we assume that these</w:t>
      </w:r>
      <w:r w:rsidR="003B3C70" w:rsidRPr="003B3C70">
        <w:rPr>
          <w:rStyle w:val="Hyperlink"/>
          <w:rFonts w:ascii="Times New Roman" w:eastAsia="Calibri" w:hAnsi="Times New Roman" w:cs="Times New Roman"/>
          <w:color w:val="auto"/>
          <w:sz w:val="24"/>
          <w:szCs w:val="24"/>
          <w:u w:val="none"/>
        </w:rPr>
        <w:t xml:space="preserve"> parents were more likely than non-poor, stably housed Americans to miss a meal involuntarily because of resource constraints, broadly construed. However, the data do not rule out intentional weight loss efforts, a busy schedule, or other reasons.</w:t>
      </w:r>
    </w:p>
    <w:p w14:paraId="0F8BACF3" w14:textId="05163174" w:rsidR="00E419BC" w:rsidRPr="00E419BC" w:rsidRDefault="00E419BC" w:rsidP="006F727B">
      <w:pPr>
        <w:spacing w:before="240" w:line="360" w:lineRule="auto"/>
        <w:rPr>
          <w:rFonts w:ascii="Times New Roman" w:hAnsi="Times New Roman" w:cs="Times New Roman"/>
          <w:sz w:val="24"/>
          <w:szCs w:val="24"/>
          <w:u w:val="single"/>
        </w:rPr>
      </w:pPr>
      <w:r w:rsidRPr="00E419BC">
        <w:rPr>
          <w:rFonts w:ascii="Times New Roman" w:hAnsi="Times New Roman" w:cs="Times New Roman"/>
          <w:sz w:val="24"/>
          <w:szCs w:val="24"/>
          <w:u w:val="single"/>
        </w:rPr>
        <w:t>Correspondence between NSHAPC and CPS food insecurity measures</w:t>
      </w:r>
    </w:p>
    <w:p w14:paraId="71FA6AA7" w14:textId="5A23193A" w:rsidR="003B3C70" w:rsidRDefault="00E419BC" w:rsidP="006F727B">
      <w:pPr>
        <w:spacing w:before="240" w:line="360" w:lineRule="auto"/>
        <w:rPr>
          <w:rFonts w:ascii="Times New Roman" w:hAnsi="Times New Roman" w:cs="Times New Roman"/>
          <w:sz w:val="24"/>
          <w:szCs w:val="24"/>
        </w:rPr>
      </w:pPr>
      <w:r>
        <w:rPr>
          <w:rFonts w:ascii="Times New Roman" w:hAnsi="Times New Roman" w:cs="Times New Roman"/>
          <w:sz w:val="24"/>
          <w:szCs w:val="24"/>
        </w:rPr>
        <w:t>**</w:t>
      </w:r>
      <w:r w:rsidR="003B3C70">
        <w:rPr>
          <w:rFonts w:ascii="Times New Roman" w:hAnsi="Times New Roman" w:cs="Times New Roman"/>
          <w:sz w:val="24"/>
          <w:szCs w:val="24"/>
        </w:rPr>
        <w:t xml:space="preserve"> </w:t>
      </w:r>
      <w:r w:rsidR="003B3C70" w:rsidRPr="003B3C70">
        <w:rPr>
          <w:rFonts w:ascii="Times New Roman" w:hAnsi="Times New Roman" w:cs="Times New Roman"/>
          <w:sz w:val="24"/>
          <w:szCs w:val="24"/>
        </w:rPr>
        <w:t>Employing the 1996 CPS data on family households, we compared the ability of our six NSHAPC child and parent food insecurity measures to predict broad categorical memberships based on the full 18-item USDA household food security scale. Among those families meeting the USDA criteria for food insecurity with hunger, 70% were correctly identified as such with the NSHAPC measures. Among those meeting the criteria for food security or food insecurity without hunger, 97% were correctly identified.</w:t>
      </w:r>
    </w:p>
    <w:p w14:paraId="635148B7" w14:textId="77777777" w:rsidR="006F727B" w:rsidRDefault="006F727B" w:rsidP="006F727B">
      <w:pPr>
        <w:pStyle w:val="FootnoteText"/>
        <w:spacing w:before="240" w:after="240" w:line="360" w:lineRule="auto"/>
        <w:rPr>
          <w:rFonts w:ascii="Times New Roman" w:hAnsi="Times New Roman" w:cs="Times New Roman"/>
          <w:sz w:val="24"/>
          <w:szCs w:val="24"/>
          <w:u w:val="single"/>
        </w:rPr>
      </w:pPr>
    </w:p>
    <w:p w14:paraId="244BD539" w14:textId="4327A77D" w:rsidR="009F5565" w:rsidRPr="009F5565" w:rsidRDefault="009F5565" w:rsidP="006F727B">
      <w:pPr>
        <w:pStyle w:val="FootnoteText"/>
        <w:spacing w:before="240" w:after="240" w:line="360" w:lineRule="auto"/>
        <w:rPr>
          <w:rFonts w:ascii="Times New Roman" w:hAnsi="Times New Roman" w:cs="Times New Roman"/>
          <w:sz w:val="24"/>
          <w:szCs w:val="24"/>
          <w:u w:val="single"/>
        </w:rPr>
      </w:pPr>
      <w:r w:rsidRPr="009F5565">
        <w:rPr>
          <w:rFonts w:ascii="Times New Roman" w:hAnsi="Times New Roman" w:cs="Times New Roman"/>
          <w:sz w:val="24"/>
          <w:szCs w:val="24"/>
          <w:u w:val="single"/>
        </w:rPr>
        <w:lastRenderedPageBreak/>
        <w:t>Independent variables: Risk and protective factors</w:t>
      </w:r>
    </w:p>
    <w:p w14:paraId="730CDDAD" w14:textId="274147ED" w:rsidR="00081B11" w:rsidRDefault="009F5565" w:rsidP="006F727B">
      <w:pPr>
        <w:pStyle w:val="FootnoteText"/>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E190C">
        <w:rPr>
          <w:rFonts w:ascii="Times New Roman" w:hAnsi="Times New Roman" w:cs="Times New Roman"/>
          <w:sz w:val="24"/>
          <w:szCs w:val="24"/>
        </w:rPr>
        <w:t xml:space="preserve">We </w:t>
      </w:r>
      <w:r w:rsidR="008E6BC3">
        <w:rPr>
          <w:rFonts w:ascii="Times New Roman" w:hAnsi="Times New Roman" w:cs="Times New Roman"/>
          <w:sz w:val="24"/>
          <w:szCs w:val="24"/>
        </w:rPr>
        <w:t>initially recoded</w:t>
      </w:r>
      <w:r w:rsidR="00AE190C">
        <w:rPr>
          <w:rFonts w:ascii="Times New Roman" w:hAnsi="Times New Roman" w:cs="Times New Roman"/>
          <w:sz w:val="24"/>
          <w:szCs w:val="24"/>
        </w:rPr>
        <w:t xml:space="preserve"> </w:t>
      </w:r>
      <w:r w:rsidR="008F1B2B">
        <w:rPr>
          <w:rFonts w:ascii="Times New Roman" w:hAnsi="Times New Roman" w:cs="Times New Roman"/>
          <w:sz w:val="24"/>
          <w:szCs w:val="24"/>
        </w:rPr>
        <w:t xml:space="preserve">each child </w:t>
      </w:r>
      <w:r w:rsidR="00AE190C">
        <w:rPr>
          <w:rFonts w:ascii="Times New Roman" w:hAnsi="Times New Roman" w:cs="Times New Roman"/>
          <w:sz w:val="24"/>
          <w:szCs w:val="24"/>
        </w:rPr>
        <w:t>under 18</w:t>
      </w:r>
      <w:r w:rsidR="00081B11" w:rsidRPr="00081B11">
        <w:rPr>
          <w:rFonts w:ascii="Times New Roman" w:hAnsi="Times New Roman" w:cs="Times New Roman"/>
          <w:sz w:val="24"/>
          <w:szCs w:val="24"/>
        </w:rPr>
        <w:t xml:space="preserve"> </w:t>
      </w:r>
      <w:r>
        <w:rPr>
          <w:rFonts w:ascii="Times New Roman" w:hAnsi="Times New Roman" w:cs="Times New Roman"/>
          <w:sz w:val="24"/>
          <w:szCs w:val="24"/>
        </w:rPr>
        <w:t xml:space="preserve">in the NSHAPC families </w:t>
      </w:r>
      <w:r w:rsidR="00081B11" w:rsidRPr="00081B11">
        <w:rPr>
          <w:rFonts w:ascii="Times New Roman" w:hAnsi="Times New Roman" w:cs="Times New Roman"/>
          <w:sz w:val="24"/>
          <w:szCs w:val="24"/>
        </w:rPr>
        <w:t xml:space="preserve">as </w:t>
      </w:r>
      <w:r w:rsidR="004B667A">
        <w:rPr>
          <w:rFonts w:ascii="Times New Roman" w:hAnsi="Times New Roman" w:cs="Times New Roman"/>
          <w:sz w:val="24"/>
          <w:szCs w:val="24"/>
        </w:rPr>
        <w:t xml:space="preserve">either </w:t>
      </w:r>
      <w:r w:rsidR="00081B11" w:rsidRPr="00081B11">
        <w:rPr>
          <w:rFonts w:ascii="Times New Roman" w:hAnsi="Times New Roman" w:cs="Times New Roman"/>
          <w:sz w:val="24"/>
          <w:szCs w:val="24"/>
        </w:rPr>
        <w:t>five years of age and younger or six and older. This cut point</w:t>
      </w:r>
      <w:r w:rsidR="00AE190C">
        <w:rPr>
          <w:rFonts w:ascii="Times New Roman" w:hAnsi="Times New Roman" w:cs="Times New Roman"/>
          <w:sz w:val="24"/>
          <w:szCs w:val="24"/>
        </w:rPr>
        <w:t xml:space="preserve"> enabled us to </w:t>
      </w:r>
      <w:r w:rsidR="008E6BC3">
        <w:rPr>
          <w:rFonts w:ascii="Times New Roman" w:hAnsi="Times New Roman" w:cs="Times New Roman"/>
          <w:sz w:val="24"/>
          <w:szCs w:val="24"/>
        </w:rPr>
        <w:t>identify families</w:t>
      </w:r>
      <w:r w:rsidR="004B667A">
        <w:rPr>
          <w:rFonts w:ascii="Times New Roman" w:hAnsi="Times New Roman" w:cs="Times New Roman"/>
          <w:sz w:val="24"/>
          <w:szCs w:val="24"/>
        </w:rPr>
        <w:t xml:space="preserve"> who only had younger</w:t>
      </w:r>
      <w:r w:rsidR="008F1B2B">
        <w:rPr>
          <w:rFonts w:ascii="Times New Roman" w:hAnsi="Times New Roman" w:cs="Times New Roman"/>
          <w:sz w:val="24"/>
          <w:szCs w:val="24"/>
        </w:rPr>
        <w:t xml:space="preserve"> </w:t>
      </w:r>
      <w:r w:rsidR="004B667A">
        <w:rPr>
          <w:rFonts w:ascii="Times New Roman" w:hAnsi="Times New Roman" w:cs="Times New Roman"/>
          <w:sz w:val="24"/>
          <w:szCs w:val="24"/>
        </w:rPr>
        <w:t>children</w:t>
      </w:r>
      <w:r w:rsidR="001C5DDC">
        <w:rPr>
          <w:rFonts w:ascii="Times New Roman" w:hAnsi="Times New Roman" w:cs="Times New Roman"/>
          <w:sz w:val="24"/>
          <w:szCs w:val="24"/>
        </w:rPr>
        <w:t xml:space="preserve"> (&lt;/= 5)</w:t>
      </w:r>
      <w:r w:rsidR="004B667A">
        <w:rPr>
          <w:rFonts w:ascii="Times New Roman" w:hAnsi="Times New Roman" w:cs="Times New Roman"/>
          <w:sz w:val="24"/>
          <w:szCs w:val="24"/>
        </w:rPr>
        <w:t xml:space="preserve"> present, only older children</w:t>
      </w:r>
      <w:r w:rsidR="001C5DDC">
        <w:rPr>
          <w:rFonts w:ascii="Times New Roman" w:hAnsi="Times New Roman" w:cs="Times New Roman"/>
          <w:sz w:val="24"/>
          <w:szCs w:val="24"/>
        </w:rPr>
        <w:t xml:space="preserve"> (6+)</w:t>
      </w:r>
      <w:r w:rsidR="004B667A">
        <w:rPr>
          <w:rFonts w:ascii="Times New Roman" w:hAnsi="Times New Roman" w:cs="Times New Roman"/>
          <w:sz w:val="24"/>
          <w:szCs w:val="24"/>
        </w:rPr>
        <w:t xml:space="preserve">, or a mix of the two age groups. The cut point </w:t>
      </w:r>
      <w:r w:rsidR="00081B11" w:rsidRPr="00081B11">
        <w:rPr>
          <w:rFonts w:ascii="Times New Roman" w:hAnsi="Times New Roman" w:cs="Times New Roman"/>
          <w:sz w:val="24"/>
          <w:szCs w:val="24"/>
        </w:rPr>
        <w:t xml:space="preserve">aligns with the beginning of mandatory school attendance, which often entails health monitoring and the availability of free or low-cost meals. Once in school, children may also be exposed to adults other than their parents who are concerned about their well-being. </w:t>
      </w:r>
      <w:r w:rsidR="001C5DDC">
        <w:rPr>
          <w:rFonts w:ascii="Times New Roman" w:hAnsi="Times New Roman" w:cs="Times New Roman"/>
          <w:sz w:val="24"/>
          <w:szCs w:val="24"/>
        </w:rPr>
        <w:t>Alternatively</w:t>
      </w:r>
      <w:r w:rsidR="00081B11" w:rsidRPr="00081B11">
        <w:rPr>
          <w:rFonts w:ascii="Times New Roman" w:hAnsi="Times New Roman" w:cs="Times New Roman"/>
          <w:sz w:val="24"/>
          <w:szCs w:val="24"/>
        </w:rPr>
        <w:t>, such food security-enhancing influences could diminish as adolescence approaches and children experience greater freedom and are increasingly expected to fend for themselves.</w:t>
      </w:r>
    </w:p>
    <w:p w14:paraId="4FA11AED" w14:textId="6ACCCB94" w:rsidR="00081B11" w:rsidRDefault="008F1B2B" w:rsidP="006F727B">
      <w:pPr>
        <w:pStyle w:val="FootnoteText"/>
        <w:spacing w:before="240" w:after="240" w:line="360" w:lineRule="auto"/>
        <w:rPr>
          <w:rFonts w:ascii="Times New Roman" w:eastAsia="Calibri" w:hAnsi="Times New Roman" w:cs="Times New Roman"/>
          <w:sz w:val="24"/>
          <w:szCs w:val="24"/>
        </w:rPr>
      </w:pPr>
      <w:r>
        <w:rPr>
          <w:rFonts w:ascii="Times New Roman" w:hAnsi="Times New Roman" w:cs="Times New Roman"/>
          <w:sz w:val="24"/>
          <w:szCs w:val="24"/>
        </w:rPr>
        <w:t>**</w:t>
      </w:r>
      <w:r w:rsidR="00081B11" w:rsidRPr="00081B11">
        <w:rPr>
          <w:rFonts w:ascii="Times New Roman" w:hAnsi="Times New Roman" w:cs="Times New Roman"/>
          <w:sz w:val="24"/>
          <w:szCs w:val="24"/>
        </w:rPr>
        <w:t xml:space="preserve"> </w:t>
      </w:r>
      <w:r>
        <w:rPr>
          <w:rFonts w:ascii="Times New Roman" w:hAnsi="Times New Roman" w:cs="Times New Roman"/>
          <w:sz w:val="24"/>
          <w:szCs w:val="24"/>
        </w:rPr>
        <w:t>With respect to parental capital, a</w:t>
      </w:r>
      <w:r w:rsidR="00081B11" w:rsidRPr="00081B11">
        <w:rPr>
          <w:rFonts w:ascii="Times New Roman" w:eastAsia="Calibri" w:hAnsi="Times New Roman" w:cs="Times New Roman"/>
          <w:sz w:val="24"/>
          <w:szCs w:val="24"/>
        </w:rPr>
        <w:t>n income variable is available in the NSHAPC client survey</w:t>
      </w:r>
      <w:r>
        <w:rPr>
          <w:rFonts w:ascii="Times New Roman" w:eastAsia="Calibri" w:hAnsi="Times New Roman" w:cs="Times New Roman"/>
          <w:sz w:val="24"/>
          <w:szCs w:val="24"/>
        </w:rPr>
        <w:t>. However</w:t>
      </w:r>
      <w:r w:rsidR="00081B11" w:rsidRPr="00081B11">
        <w:rPr>
          <w:rFonts w:ascii="Times New Roman" w:eastAsia="Calibri" w:hAnsi="Times New Roman" w:cs="Times New Roman"/>
          <w:sz w:val="24"/>
          <w:szCs w:val="24"/>
        </w:rPr>
        <w:t>, preliminary analysis revealed that it had no association with CFI and was irrelevant to the overall pattern of results. For the sake of statistical power, we omitted it (and several other potential predictors) from the final logistic regression models.</w:t>
      </w:r>
    </w:p>
    <w:p w14:paraId="0FD82B96" w14:textId="5D807075" w:rsidR="00081B11" w:rsidRDefault="008F1B2B" w:rsidP="006F727B">
      <w:pPr>
        <w:spacing w:before="240" w:line="360" w:lineRule="auto"/>
        <w:rPr>
          <w:rFonts w:ascii="Times New Roman" w:eastAsia="Calibri" w:hAnsi="Times New Roman" w:cs="Times New Roman"/>
          <w:sz w:val="24"/>
          <w:szCs w:val="24"/>
        </w:rPr>
      </w:pPr>
      <w:r>
        <w:rPr>
          <w:rFonts w:ascii="Times New Roman" w:hAnsi="Times New Roman" w:cs="Times New Roman"/>
          <w:sz w:val="24"/>
          <w:szCs w:val="24"/>
        </w:rPr>
        <w:t>**</w:t>
      </w:r>
      <w:r w:rsidR="00081B11" w:rsidRPr="00081B11">
        <w:rPr>
          <w:rFonts w:ascii="Times New Roman" w:hAnsi="Times New Roman" w:cs="Times New Roman"/>
          <w:sz w:val="24"/>
          <w:szCs w:val="24"/>
        </w:rPr>
        <w:t xml:space="preserve"> </w:t>
      </w:r>
      <w:r w:rsidR="00081B11" w:rsidRPr="00081B11">
        <w:rPr>
          <w:rFonts w:ascii="Times New Roman" w:eastAsia="Calibri" w:hAnsi="Times New Roman" w:cs="Times New Roman"/>
          <w:sz w:val="24"/>
          <w:szCs w:val="24"/>
        </w:rPr>
        <w:t>Besides capturing the extent of labor force experience (as distinct from current employment status), the percentage of a parent’s lifetime spent working may be related to the development of skills and the receipt of benefits such as health insurance. It could also reflect personal organization, dependability, and other traits conducive to successful parenting.</w:t>
      </w:r>
    </w:p>
    <w:p w14:paraId="68A88C54" w14:textId="6C9D5F39" w:rsidR="005B2A80" w:rsidRDefault="001C5DDC" w:rsidP="006F727B">
      <w:pPr>
        <w:spacing w:before="24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5B2A80" w:rsidRPr="0019186F">
        <w:rPr>
          <w:rFonts w:ascii="Times New Roman" w:eastAsia="Calibri" w:hAnsi="Times New Roman" w:cs="Times New Roman"/>
          <w:sz w:val="24"/>
          <w:szCs w:val="24"/>
        </w:rPr>
        <w:t>Adult mental health problems are assessed with a multi-item scale combining responses to questions about the recent occurrence of depression, anxiety, psychosis, trouble understanding/concentrating/remembering, violent behavior, suicidal ideation, and use of prescription medications for psychological or emotional problems. The scores of NSHAPC parents reporting current active mental health problems range from 0 to 1 on the scale, with higher values indicating more comorbidity. The alcohol/drug problem index incorporates two separate sets of measures pertaining to alcohol and drug use disorders. Following prior work (e.g., Alterman et al. 2007; Burt</w:t>
      </w:r>
      <w:r w:rsidR="006F727B">
        <w:rPr>
          <w:rFonts w:ascii="Times New Roman" w:eastAsia="Calibri" w:hAnsi="Times New Roman" w:cs="Times New Roman"/>
          <w:sz w:val="24"/>
          <w:szCs w:val="24"/>
        </w:rPr>
        <w:t>, Aron, and Lee</w:t>
      </w:r>
      <w:r w:rsidR="005B2A80" w:rsidRPr="0019186F">
        <w:rPr>
          <w:rFonts w:ascii="Times New Roman" w:eastAsia="Calibri" w:hAnsi="Times New Roman" w:cs="Times New Roman"/>
          <w:sz w:val="24"/>
          <w:szCs w:val="24"/>
        </w:rPr>
        <w:t xml:space="preserve"> 2001; </w:t>
      </w:r>
      <w:proofErr w:type="spellStart"/>
      <w:r w:rsidR="005B2A80" w:rsidRPr="0019186F">
        <w:rPr>
          <w:rFonts w:ascii="Times New Roman" w:eastAsia="Calibri" w:hAnsi="Times New Roman" w:cs="Times New Roman"/>
          <w:sz w:val="24"/>
          <w:szCs w:val="24"/>
        </w:rPr>
        <w:t>Rikoon</w:t>
      </w:r>
      <w:proofErr w:type="spellEnd"/>
      <w:r w:rsidR="005B2A80" w:rsidRPr="0019186F">
        <w:rPr>
          <w:rFonts w:ascii="Times New Roman" w:eastAsia="Calibri" w:hAnsi="Times New Roman" w:cs="Times New Roman"/>
          <w:sz w:val="24"/>
          <w:szCs w:val="24"/>
        </w:rPr>
        <w:t xml:space="preserve"> et al. 2006), we combine</w:t>
      </w:r>
      <w:r w:rsidR="0057136A">
        <w:rPr>
          <w:rFonts w:ascii="Times New Roman" w:eastAsia="Calibri" w:hAnsi="Times New Roman" w:cs="Times New Roman"/>
          <w:sz w:val="24"/>
          <w:szCs w:val="24"/>
        </w:rPr>
        <w:t>d</w:t>
      </w:r>
      <w:r w:rsidR="005B2A80" w:rsidRPr="0019186F">
        <w:rPr>
          <w:rFonts w:ascii="Times New Roman" w:eastAsia="Calibri" w:hAnsi="Times New Roman" w:cs="Times New Roman"/>
          <w:sz w:val="24"/>
          <w:szCs w:val="24"/>
        </w:rPr>
        <w:t xml:space="preserve"> alcohol disorder indicators into a binary measure equal to 1 for respondents with any of the following: (1) scored .17 or higher on the alcohol Addiction Severity Index (ASI); (2) reported drinking to get drunk three or more times a week in the past month; (3) reported alcohol abuse treatment in </w:t>
      </w:r>
      <w:r w:rsidR="005B2A80" w:rsidRPr="0019186F">
        <w:rPr>
          <w:rFonts w:ascii="Times New Roman" w:eastAsia="Calibri" w:hAnsi="Times New Roman" w:cs="Times New Roman"/>
          <w:sz w:val="24"/>
          <w:szCs w:val="24"/>
        </w:rPr>
        <w:lastRenderedPageBreak/>
        <w:t xml:space="preserve">the past month; or (4) reported drinking three or more times a week in the past month. Respondents </w:t>
      </w:r>
      <w:r w:rsidR="0057136A">
        <w:rPr>
          <w:rFonts w:ascii="Times New Roman" w:eastAsia="Calibri" w:hAnsi="Times New Roman" w:cs="Times New Roman"/>
          <w:sz w:val="24"/>
          <w:szCs w:val="24"/>
        </w:rPr>
        <w:t>were</w:t>
      </w:r>
      <w:r w:rsidR="005B2A80" w:rsidRPr="0019186F">
        <w:rPr>
          <w:rFonts w:ascii="Times New Roman" w:eastAsia="Calibri" w:hAnsi="Times New Roman" w:cs="Times New Roman"/>
          <w:sz w:val="24"/>
          <w:szCs w:val="24"/>
        </w:rPr>
        <w:t xml:space="preserve"> classified as having a drug use disorder if they (1) scored .10 or higher on the drug ASI; (2) reported being treated for drug abuse in the past month; (3) reported using drugs intravenously in the past month; or (4) reported using any of a variety of specific drugs three or more times a week in the past month. The alcohol/drug problem index employed in our analysis equals 1 if respondents qualified for either an alcohol or other drug use disorder.</w:t>
      </w:r>
      <w:r w:rsidR="005B2A80">
        <w:rPr>
          <w:rFonts w:ascii="Times New Roman" w:eastAsia="Calibri" w:hAnsi="Times New Roman" w:cs="Times New Roman"/>
          <w:sz w:val="24"/>
          <w:szCs w:val="24"/>
        </w:rPr>
        <w:t xml:space="preserve"> </w:t>
      </w:r>
    </w:p>
    <w:p w14:paraId="3F178C31" w14:textId="76ADC8D2" w:rsidR="001C5DDC" w:rsidRDefault="001C5DDC" w:rsidP="00D83CB8">
      <w:pPr>
        <w:spacing w:before="240" w:line="480" w:lineRule="auto"/>
        <w:rPr>
          <w:rFonts w:ascii="Times New Roman" w:eastAsia="Calibri" w:hAnsi="Times New Roman" w:cs="Times New Roman"/>
          <w:b/>
          <w:bCs/>
          <w:sz w:val="24"/>
          <w:szCs w:val="24"/>
        </w:rPr>
      </w:pPr>
      <w:r w:rsidRPr="00FF1796">
        <w:rPr>
          <w:rFonts w:ascii="Times New Roman" w:eastAsia="Calibri" w:hAnsi="Times New Roman" w:cs="Times New Roman"/>
          <w:b/>
          <w:bCs/>
          <w:sz w:val="24"/>
          <w:szCs w:val="24"/>
        </w:rPr>
        <w:t>References</w:t>
      </w:r>
    </w:p>
    <w:p w14:paraId="5F65756E" w14:textId="77777777" w:rsidR="00FF1796" w:rsidRDefault="00FF1796" w:rsidP="00D83CB8">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Alterman, A.I., Cacciola, J.S., </w:t>
      </w:r>
      <w:proofErr w:type="spellStart"/>
      <w:r>
        <w:rPr>
          <w:rFonts w:ascii="Times New Roman" w:eastAsia="Calibri" w:hAnsi="Times New Roman" w:cs="Times New Roman"/>
          <w:sz w:val="24"/>
          <w:szCs w:val="24"/>
        </w:rPr>
        <w:t>Habing</w:t>
      </w:r>
      <w:proofErr w:type="spellEnd"/>
      <w:r>
        <w:rPr>
          <w:rFonts w:ascii="Times New Roman" w:eastAsia="Calibri" w:hAnsi="Times New Roman" w:cs="Times New Roman"/>
          <w:sz w:val="24"/>
          <w:szCs w:val="24"/>
        </w:rPr>
        <w:t xml:space="preserve">, B., and Lynch, K.G. (2007). Addiction severity index: Recent and lifetime summary indexes based on nonparametric item response theory methods. </w:t>
      </w:r>
      <w:r w:rsidRPr="008D01F2">
        <w:rPr>
          <w:rFonts w:ascii="Times New Roman" w:eastAsia="Calibri" w:hAnsi="Times New Roman" w:cs="Times New Roman"/>
          <w:i/>
          <w:iCs/>
          <w:sz w:val="24"/>
          <w:szCs w:val="24"/>
        </w:rPr>
        <w:t>Psychological Assessment</w:t>
      </w:r>
      <w:r>
        <w:rPr>
          <w:rFonts w:ascii="Times New Roman" w:eastAsia="Calibri" w:hAnsi="Times New Roman" w:cs="Times New Roman"/>
          <w:sz w:val="24"/>
          <w:szCs w:val="24"/>
        </w:rPr>
        <w:t xml:space="preserve"> 19(1):119-132.</w:t>
      </w:r>
    </w:p>
    <w:p w14:paraId="7860E724" w14:textId="77777777" w:rsidR="00FF1796" w:rsidRDefault="00FF1796" w:rsidP="008D01F2">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Burt, M.R., Aron, L.Y., and Lee, E. (2001</w:t>
      </w:r>
      <w:r w:rsidRPr="008D01F2">
        <w:rPr>
          <w:rFonts w:ascii="Times New Roman" w:eastAsia="Calibri" w:hAnsi="Times New Roman" w:cs="Times New Roman"/>
          <w:i/>
          <w:iCs/>
          <w:sz w:val="24"/>
          <w:szCs w:val="24"/>
        </w:rPr>
        <w:t>). Helping America’s homeless: Emergency shelter or affordable housing?</w:t>
      </w:r>
      <w:r>
        <w:rPr>
          <w:rFonts w:ascii="Times New Roman" w:eastAsia="Calibri" w:hAnsi="Times New Roman" w:cs="Times New Roman"/>
          <w:sz w:val="24"/>
          <w:szCs w:val="24"/>
        </w:rPr>
        <w:t xml:space="preserve"> Washington, DC: Urban Institute Press.</w:t>
      </w:r>
    </w:p>
    <w:p w14:paraId="71B08588" w14:textId="77777777" w:rsidR="008D01F2" w:rsidRDefault="00FF1796" w:rsidP="008D01F2">
      <w:pPr>
        <w:spacing w:before="240" w:after="0" w:line="24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Fram</w:t>
      </w:r>
      <w:proofErr w:type="spellEnd"/>
      <w:r>
        <w:rPr>
          <w:rFonts w:ascii="Times New Roman" w:eastAsia="Calibri" w:hAnsi="Times New Roman" w:cs="Times New Roman"/>
          <w:sz w:val="24"/>
          <w:szCs w:val="24"/>
        </w:rPr>
        <w:t xml:space="preserve">, M.S., Frongillo, E.A., Draper, C.L., and Fishbein, E.M. (2013). Development and validation of a child report assessment of child food insecurity and comparison to parent report assessment. </w:t>
      </w:r>
      <w:r w:rsidRPr="008D01F2">
        <w:rPr>
          <w:rFonts w:ascii="Times New Roman" w:eastAsia="Calibri" w:hAnsi="Times New Roman" w:cs="Times New Roman"/>
          <w:i/>
          <w:iCs/>
          <w:sz w:val="24"/>
          <w:szCs w:val="24"/>
        </w:rPr>
        <w:t>Journal of Hunger &amp; Environmental Nutrition</w:t>
      </w:r>
      <w:r w:rsidR="008D01F2">
        <w:rPr>
          <w:rFonts w:ascii="Times New Roman" w:eastAsia="Calibri" w:hAnsi="Times New Roman" w:cs="Times New Roman"/>
          <w:sz w:val="24"/>
          <w:szCs w:val="24"/>
        </w:rPr>
        <w:t xml:space="preserve"> 8(2):128-145.</w:t>
      </w:r>
    </w:p>
    <w:p w14:paraId="1E3A509D" w14:textId="77777777" w:rsidR="008D01F2" w:rsidRDefault="008D01F2" w:rsidP="008D01F2">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Nord, M. and Hopwood, H. (2007). Recent advances provide improved tools for measuring children’s food insecurity. </w:t>
      </w:r>
      <w:r w:rsidRPr="008D01F2">
        <w:rPr>
          <w:rFonts w:ascii="Times New Roman" w:eastAsia="Calibri" w:hAnsi="Times New Roman" w:cs="Times New Roman"/>
          <w:i/>
          <w:iCs/>
          <w:sz w:val="24"/>
          <w:szCs w:val="24"/>
        </w:rPr>
        <w:t>Journal of Nutrition</w:t>
      </w:r>
      <w:r>
        <w:rPr>
          <w:rFonts w:ascii="Times New Roman" w:eastAsia="Calibri" w:hAnsi="Times New Roman" w:cs="Times New Roman"/>
          <w:sz w:val="24"/>
          <w:szCs w:val="24"/>
        </w:rPr>
        <w:t xml:space="preserve"> 137(3):533-536.</w:t>
      </w:r>
    </w:p>
    <w:p w14:paraId="49F43056" w14:textId="57B9969F" w:rsidR="005B2A80" w:rsidRPr="00081B11" w:rsidRDefault="008D01F2" w:rsidP="008D01F2">
      <w:pPr>
        <w:spacing w:before="240" w:after="0" w:line="240" w:lineRule="auto"/>
        <w:rPr>
          <w:rFonts w:ascii="Times New Roman" w:hAnsi="Times New Roman" w:cs="Times New Roman"/>
          <w:sz w:val="24"/>
          <w:szCs w:val="24"/>
        </w:rPr>
      </w:pPr>
      <w:proofErr w:type="spellStart"/>
      <w:r>
        <w:rPr>
          <w:rFonts w:ascii="Times New Roman" w:eastAsia="Calibri" w:hAnsi="Times New Roman" w:cs="Times New Roman"/>
          <w:sz w:val="24"/>
          <w:szCs w:val="24"/>
        </w:rPr>
        <w:t>Rikoon</w:t>
      </w:r>
      <w:proofErr w:type="spellEnd"/>
      <w:r>
        <w:rPr>
          <w:rFonts w:ascii="Times New Roman" w:eastAsia="Calibri" w:hAnsi="Times New Roman" w:cs="Times New Roman"/>
          <w:sz w:val="24"/>
          <w:szCs w:val="24"/>
        </w:rPr>
        <w:t xml:space="preserve">, S.H., Cacciola, J.S., Carise, D., Alterman, A.I., and McLellan, T. (2006). Predicting DSM-IV dependence diagnoses from addiction severity index composite scores. </w:t>
      </w:r>
      <w:r w:rsidRPr="008D01F2">
        <w:rPr>
          <w:rFonts w:ascii="Times New Roman" w:eastAsia="Calibri" w:hAnsi="Times New Roman" w:cs="Times New Roman"/>
          <w:i/>
          <w:iCs/>
          <w:sz w:val="24"/>
          <w:szCs w:val="24"/>
        </w:rPr>
        <w:t>Journal of Substance Abuse Treatment</w:t>
      </w:r>
      <w:r>
        <w:rPr>
          <w:rFonts w:ascii="Times New Roman" w:eastAsia="Calibri" w:hAnsi="Times New Roman" w:cs="Times New Roman"/>
          <w:sz w:val="24"/>
          <w:szCs w:val="24"/>
        </w:rPr>
        <w:t xml:space="preserve"> 31(1):17-24.</w:t>
      </w:r>
    </w:p>
    <w:sectPr w:rsidR="005B2A80" w:rsidRPr="00081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70"/>
    <w:rsid w:val="00081B11"/>
    <w:rsid w:val="001B0C15"/>
    <w:rsid w:val="001C5DDC"/>
    <w:rsid w:val="001E5328"/>
    <w:rsid w:val="003B3C70"/>
    <w:rsid w:val="004B667A"/>
    <w:rsid w:val="0057136A"/>
    <w:rsid w:val="005B2A80"/>
    <w:rsid w:val="006F727B"/>
    <w:rsid w:val="00723446"/>
    <w:rsid w:val="007D53F9"/>
    <w:rsid w:val="008D01F2"/>
    <w:rsid w:val="008E6BC3"/>
    <w:rsid w:val="008F1B2B"/>
    <w:rsid w:val="009F5565"/>
    <w:rsid w:val="00A310DB"/>
    <w:rsid w:val="00AE190C"/>
    <w:rsid w:val="00B2082E"/>
    <w:rsid w:val="00B92583"/>
    <w:rsid w:val="00C074B3"/>
    <w:rsid w:val="00D63126"/>
    <w:rsid w:val="00D83CB8"/>
    <w:rsid w:val="00E419BC"/>
    <w:rsid w:val="00FF1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5474"/>
  <w15:chartTrackingRefBased/>
  <w15:docId w15:val="{28F75F4A-461C-40DF-93A7-C0EC2C96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C70"/>
    <w:rPr>
      <w:color w:val="0563C1" w:themeColor="hyperlink"/>
      <w:u w:val="single"/>
    </w:rPr>
  </w:style>
  <w:style w:type="paragraph" w:styleId="FootnoteText">
    <w:name w:val="footnote text"/>
    <w:basedOn w:val="Normal"/>
    <w:link w:val="FootnoteTextChar"/>
    <w:uiPriority w:val="99"/>
    <w:semiHidden/>
    <w:unhideWhenUsed/>
    <w:rsid w:val="003B3C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3C70"/>
    <w:rPr>
      <w:sz w:val="20"/>
      <w:szCs w:val="20"/>
    </w:rPr>
  </w:style>
  <w:style w:type="character" w:styleId="FootnoteReference">
    <w:name w:val="footnote reference"/>
    <w:basedOn w:val="DefaultParagraphFont"/>
    <w:uiPriority w:val="99"/>
    <w:semiHidden/>
    <w:unhideWhenUsed/>
    <w:rsid w:val="003B3C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Lippert, Adam</dc:creator>
  <cp:keywords/>
  <dc:description/>
  <cp:lastModifiedBy>Lippert, Adam</cp:lastModifiedBy>
  <cp:revision>2</cp:revision>
  <dcterms:created xsi:type="dcterms:W3CDTF">2021-10-06T20:32:00Z</dcterms:created>
  <dcterms:modified xsi:type="dcterms:W3CDTF">2021-10-06T20:32:00Z</dcterms:modified>
</cp:coreProperties>
</file>