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360" w:lineRule="exact"/>
      </w:pPr>
      <w:r>
        <w:rPr>
          <w:rFonts w:ascii="Times New Roman" w:hAnsi="Times New Roman"/>
          <w:b w:val="0"/>
          <w:i w:val="0"/>
          <w:sz w:val="24"/>
        </w:rPr>
        <w:t xml:space="preserve">To the Editors, </w:t>
      </w:r>
      <w:r>
        <w:rPr>
          <w:rFonts w:ascii="Times New Roman" w:hAnsi="Times New Roman"/>
          <w:i/>
          <w:sz w:val="24"/>
        </w:rPr>
        <w:t>BMC Medical Informatics and Decision Making</w:t>
      </w:r>
    </w:p>
    <w:p>
      <w:pPr>
        <w:spacing w:before="80" w:after="200" w:line="360" w:lineRule="exact"/>
      </w:pPr>
      <w:r>
        <w:rPr>
          <w:rFonts w:ascii="Times New Roman" w:hAnsi="Times New Roman"/>
          <w:b/>
          <w:sz w:val="24"/>
        </w:rPr>
        <w:t>Re: "A live agent benchmark of independent action authorization for healthcare AI agents"</w:t>
      </w:r>
    </w:p>
    <w:p>
      <w:pPr>
        <w:spacing w:before="0" w:after="200" w:line="360" w:lineRule="exact"/>
      </w:pPr>
      <w:r>
        <w:rPr>
          <w:rFonts w:ascii="Times New Roman" w:hAnsi="Times New Roman"/>
          <w:b w:val="0"/>
          <w:i w:val="0"/>
          <w:sz w:val="24"/>
        </w:rPr>
        <w:t>Dear Editors,</w:t>
      </w:r>
    </w:p>
    <w:p>
      <w:pPr>
        <w:spacing w:before="0" w:after="200" w:line="360" w:lineRule="exact"/>
      </w:pPr>
      <w:r>
        <w:rPr>
          <w:rFonts w:ascii="Times New Roman" w:hAnsi="Times New Roman"/>
          <w:b w:val="0"/>
          <w:i w:val="0"/>
          <w:sz w:val="24"/>
        </w:rPr>
        <w:t>I am submitting the above manuscript for consideration as an Article.</w:t>
      </w:r>
    </w:p>
    <w:p>
      <w:pPr>
        <w:spacing w:before="0" w:after="200" w:line="360" w:lineRule="exact"/>
      </w:pPr>
      <w:r>
        <w:rPr>
          <w:rFonts w:ascii="Times New Roman" w:hAnsi="Times New Roman"/>
          <w:b w:val="0"/>
          <w:i w:val="0"/>
          <w:sz w:val="24"/>
        </w:rPr>
        <w:t xml:space="preserve">Healthcare agent benchmarks measure capability. MedAgentBench asks what an agent can accomplish in a FHIR-compliant record environment; AgentClinic asks how capability survives sequential, multimodal encounters; and Liu et al. showed that two deployed agent architectures deliver only modest accuracy gains at more than ten times the token cost, with hallucinations persisting despite in-agent safeguards filtering 89.9% of them. None of these measures </w:t>
      </w:r>
      <w:r>
        <w:rPr>
          <w:rFonts w:ascii="Times New Roman" w:hAnsi="Times New Roman"/>
          <w:i/>
          <w:sz w:val="24"/>
        </w:rPr>
        <w:t>authorization</w:t>
      </w:r>
      <w:r>
        <w:rPr>
          <w:rFonts w:ascii="Times New Roman" w:hAnsi="Times New Roman"/>
          <w:b w:val="0"/>
          <w:i w:val="0"/>
          <w:sz w:val="24"/>
        </w:rPr>
        <w:t>: which actions an agent may execute, under what preconditions, and for how long. That question is currently settled by engineering defaults, and the observation that an agent's own safeguards leave a substantial residue of failure is precisely the argument for enforcing authorization outside the agent.</w:t>
      </w:r>
    </w:p>
    <w:p>
      <w:pPr>
        <w:spacing w:before="0" w:after="200" w:line="360" w:lineRule="exact"/>
      </w:pPr>
      <w:r>
        <w:rPr>
          <w:rFonts w:ascii="Times New Roman" w:hAnsi="Times New Roman"/>
          <w:b w:val="0"/>
          <w:i w:val="0"/>
          <w:sz w:val="24"/>
        </w:rPr>
        <w:t>This study isolates that variable. Four arms run on an identical frozen set of 576 synthetic care-coordination episodes with the same model, prompt, tool schemas and replicate index; the only difference is whether an Action Safety Gateway, and separately a Dynamic Autonomy Controller, is interposed between a proposed action and its execution. The design was registered on OSF before any agent was run (https://osf.io/3wc9s), and the episode set, adjudication policy, gateway, controller and prompt were content-hashed at registration, so every reported figure can be verified against the registered materials.</w:t>
      </w:r>
    </w:p>
    <w:p>
      <w:pPr>
        <w:spacing w:before="0" w:after="200" w:line="360" w:lineRule="exact"/>
      </w:pPr>
      <w:r>
        <w:rPr>
          <w:rFonts w:ascii="Times New Roman" w:hAnsi="Times New Roman"/>
          <w:b/>
          <w:sz w:val="24"/>
        </w:rPr>
        <w:t>The result is a null finding, and I want that stated plainly rather than discovered in review.</w:t>
      </w:r>
      <w:r>
        <w:rPr>
          <w:rFonts w:ascii="Times New Roman" w:hAnsi="Times New Roman"/>
          <w:b w:val="0"/>
          <w:i w:val="0"/>
          <w:sz w:val="24"/>
        </w:rPr>
        <w:t xml:space="preserve"> The primary hypothesis — that governance reduces the unsafe-action rate — was not supported: the governed arm's rate (0.69%) was numerically higher, not lower, than the unconstrained arm's (0.35%), and the paired difference was not statistically significant (P = 0.6875, 95% CI −0.52 to +1.22 points). Neither the gateway alone nor adding the controller produced a significant change. The most parsimonious explanation is a floor effect: the prespecified model (gpt-4.1-mini) never once attempted the explicitly prohibited action across 576 episodes even without a gateway, leaving little room for an external layer to demonstrate a benefit. Governance was not free — task success, escalation accuracy, and calibration were each significantly worse under full governance, and time-to-action, human effort, and cost were each significantly higher — so the manuscript reports a real, measured cost without a measured safety benefit for this model.</w:t>
      </w:r>
    </w:p>
    <w:p>
      <w:pPr>
        <w:spacing w:before="0" w:after="200" w:line="360" w:lineRule="exact"/>
      </w:pPr>
      <w:r>
        <w:rPr>
          <w:rFonts w:ascii="Times New Roman" w:hAnsi="Times New Roman"/>
          <w:b w:val="0"/>
          <w:i w:val="0"/>
          <w:sz w:val="24"/>
        </w:rPr>
        <w:t>I believe this is still a genuine contribution, for two reasons. First, the property that makes the comparison falsifiable is orthogonal to which way the result came out: each episode carries hidden ground truth and a deliberately lossy observable projection, so the gateway could have wrongly authorized an unsafe action or wrongly blocked a correct one, and a continuous-integration test fails the build if the gateway ever becomes error-free with respect to adjudicated truth. A gateway given access to ground truth would be an oracle, and a primary endpoint computed against it would measure nothing; this design avoids that failure mode regardless of outcome. Second, the null result is itself informative: it identifies a boundary condition under which an authorization layer's value is not guaranteed — a sufficiently well-aligned model can leave the layer nothing to correct while it still imposes cost — which is directly relevant to any organisation deciding whether such a layer is worth its overhead for a given model.</w:t>
      </w:r>
    </w:p>
    <w:p>
      <w:pPr>
        <w:spacing w:before="0" w:after="200" w:line="360" w:lineRule="exact"/>
      </w:pPr>
      <w:r>
        <w:rPr>
          <w:rFonts w:ascii="Times New Roman" w:hAnsi="Times New Roman"/>
          <w:b w:val="0"/>
          <w:i w:val="0"/>
          <w:sz w:val="24"/>
        </w:rPr>
        <w:t>I want to be equally direct about what the study does not support, since these limits are structural rather than incidental. The episodes are synthetic, so no reported rate estimates a real-world rate. Adjudication is rule-based and blinded to arm by construction, but no clinician reviewed these episodes, and I make no claim of clinical adjudication. There is no human-workflow comparator, because measuring one requires participants who were not recruited and simulating one would reintroduce assumed effect sizes. One model was prespecified, so this null result should not be read as evidence that authorization layers are never useful — only that their value depends on the underlying agent's propensity to propose unsafe actions, which this design did not vary. Accordingly the manuscript makes no clinical effectiveness claim.</w:t>
      </w:r>
    </w:p>
    <w:p>
      <w:pPr>
        <w:spacing w:before="0" w:after="200" w:line="360" w:lineRule="exact"/>
      </w:pPr>
      <w:r>
        <w:rPr>
          <w:rFonts w:ascii="Times New Roman" w:hAnsi="Times New Roman"/>
          <w:b w:val="0"/>
          <w:i w:val="0"/>
          <w:sz w:val="24"/>
        </w:rPr>
        <w:t xml:space="preserve">I believe the work is nonetheless a fit for </w:t>
      </w:r>
      <w:r>
        <w:rPr>
          <w:rFonts w:ascii="Times New Roman" w:hAnsi="Times New Roman"/>
          <w:i/>
          <w:sz w:val="24"/>
        </w:rPr>
        <w:t>BMC Medical Informatics and Decision Making</w:t>
      </w:r>
      <w:r>
        <w:rPr>
          <w:rFonts w:ascii="Times New Roman" w:hAnsi="Times New Roman"/>
          <w:b w:val="0"/>
          <w:i w:val="0"/>
          <w:sz w:val="24"/>
        </w:rPr>
        <w:t>. The authorization question is a practical one facing any organisation deciding how much independence to grant a deployed clinical agent, and a rigorously falsifiable null result — reported as such rather than reframed — is a useful and underrepresented complement to the positive-result literature on agent safeguards.</w:t>
      </w:r>
    </w:p>
    <w:p>
      <w:pPr>
        <w:spacing w:before="0" w:after="200" w:line="360" w:lineRule="exact"/>
      </w:pPr>
      <w:r>
        <w:rPr>
          <w:rFonts w:ascii="Times New Roman" w:hAnsi="Times New Roman"/>
          <w:b w:val="0"/>
          <w:i w:val="0"/>
          <w:sz w:val="24"/>
        </w:rPr>
        <w:t>The manuscript is original, is not under consideration elsewhere, and has no overlapping submissions. It involved no human participants, no animal subjects, no patient data and no identifiable personal information, so institutional review board approval was not applicable. Code and all episode-level outputs are archived under an MIT licence at https://doi.org/10.5281/zenodo.22851264, and the preregistration is included as supplementary material. I am the sole author and accept responsibility for the integrity of the work. I declare no competing interests beyond my employment at DaVita Inc., which had no role in the design, conduct, analysis or reporting of this study, provided no data, systems, or funding, and whose publication clearance process was determined not to apply to this independent, non-company work.</w:t>
      </w:r>
    </w:p>
    <w:p>
      <w:pPr>
        <w:spacing w:before="0" w:after="200" w:line="360" w:lineRule="exact"/>
      </w:pPr>
      <w:r>
        <w:rPr>
          <w:rFonts w:ascii="Times New Roman" w:hAnsi="Times New Roman"/>
          <w:b w:val="0"/>
          <w:i w:val="0"/>
          <w:sz w:val="24"/>
        </w:rPr>
        <w:t>Thank you for considering this submission.</w:t>
      </w:r>
    </w:p>
    <w:p>
      <w:pPr>
        <w:spacing w:before="0" w:after="200" w:line="360" w:lineRule="exact"/>
      </w:pPr>
      <w:r>
        <w:rPr>
          <w:rFonts w:ascii="Times New Roman" w:hAnsi="Times New Roman"/>
          <w:b w:val="0"/>
          <w:i w:val="0"/>
          <w:sz w:val="24"/>
        </w:rPr>
        <w:t>Yours sincerely,</w:t>
      </w:r>
    </w:p>
    <w:p>
      <w:pPr>
        <w:spacing w:before="0" w:after="200" w:line="360" w:lineRule="exact"/>
      </w:pPr>
      <w:r>
        <w:rPr>
          <w:rFonts w:ascii="Times New Roman" w:hAnsi="Times New Roman"/>
          <w:b w:val="0"/>
          <w:i w:val="0"/>
          <w:sz w:val="24"/>
        </w:rPr>
        <w:t>Lipsa Senapati AI Strategy and Execution, DaVita Inc., Denver, Colorado, USA ORCID 0009-0009-4780-6953 lipsa.email@gmail.com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