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工作目录（ECHO-GZML)</w:t>
      </w:r>
    </w:p>
    <w:p>
      <w:r>
        <w:t>工作目录是用户设计数据交换任务所需资源的组织结构，每个工作目录下都会包含设计器，KJB/KTR作业导入，工作流管理，工作流实例管理，作业管理子模块，在不同的子模块，工作区对应展示不同的内容。用户可以针对不同的业务需求，建立不同的工作目录，并可以对该工作目录及其下的子模块的资源进行维护。</w:t>
      </w:r>
    </w:p>
    <w:p>
      <w:pPr>
        <w:pStyle w:val="Heading3"/>
      </w:pPr>
      <w:r>
        <w:t>工作目录管理（ECHO-GZML-GZMLGL）</w:t>
      </w:r>
    </w:p>
    <w:p>
      <w:r>
        <w:t>工作目录管理是对用户所属的工作目录进行添加、删除、修改、查看等操作，其中非管理员用户和管理员均可以对自己的工作目录进行操作，管理员还可以查看其他用户的工作目录。</w:t>
      </w:r>
    </w:p>
    <w:p>
      <w:pPr>
        <w:pStyle w:val="Heading4"/>
      </w:pPr>
      <w:r>
        <w:t xml:space="preserve">工作目录添加(ECHO-GZML-GZMLGL-GZMLTJ-TC)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工作目录添加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ECHO-GZML-GZMLGL-GZMLTJ-TC</w:t>
            </w:r>
          </w:p>
        </w:tc>
      </w:tr>
      <w:tr>
        <w:tc>
          <w:tcPr>
            <w:tcW w:type="dxa" w:w="1728"/>
          </w:tcPr>
          <w:p>
            <w:r>
              <w:t>测试追踪</w:t>
            </w:r>
          </w:p>
        </w:tc>
        <w:tc>
          <w:tcPr>
            <w:tcW w:type="dxa" w:w="6912"/>
            <w:gridSpan w:val="4"/>
          </w:tcPr>
          <w:p>
            <w:r>
              <w:t>见需求追踪表</w:t>
            </w:r>
          </w:p>
        </w:tc>
      </w:tr>
      <w:tr>
        <w:tc>
          <w:tcPr>
            <w:tcW w:type="dxa" w:w="1728"/>
          </w:tcPr>
          <w:p>
            <w:r>
              <w:t>测试说明</w:t>
            </w:r>
          </w:p>
        </w:tc>
        <w:tc>
          <w:tcPr>
            <w:tcW w:type="dxa" w:w="6912"/>
            <w:gridSpan w:val="4"/>
          </w:tcPr>
          <w:p>
            <w:r>
              <w:t>测试登录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硬件配置</w:t>
              <w:br/>
              <w:t>无</w:t>
              <w:br/>
              <w:t>软件配置</w:t>
              <w:br/>
              <w:t>软件安装部署正确</w:t>
              <w:br/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前提约束</w:t>
            </w:r>
          </w:p>
        </w:tc>
        <w:tc>
          <w:tcPr>
            <w:tcW w:type="dxa" w:w="6912"/>
            <w:gridSpan w:val="4"/>
          </w:tcPr>
          <w:p>
            <w:r>
              <w:t>已登录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不要出错1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不要出错2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雪月1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</w:tbl>
    <w:p>
      <w:pPr>
        <w:pStyle w:val="Heading4"/>
      </w:pPr>
      <w:r>
        <w:t xml:space="preserve">工作目录修改(ECHO-GZML-GZMLGL-GZMLXG-TC)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工作目录修改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ECHO-GZML-GZMLGL-GZMLXG-TC</w:t>
            </w:r>
          </w:p>
        </w:tc>
      </w:tr>
      <w:tr>
        <w:tc>
          <w:tcPr>
            <w:tcW w:type="dxa" w:w="1728"/>
          </w:tcPr>
          <w:p>
            <w:r>
              <w:t>测试追踪</w:t>
            </w:r>
          </w:p>
        </w:tc>
        <w:tc>
          <w:tcPr>
            <w:tcW w:type="dxa" w:w="6912"/>
            <w:gridSpan w:val="4"/>
          </w:tcPr>
          <w:p>
            <w:r>
              <w:t>见需求追踪表</w:t>
            </w:r>
          </w:p>
        </w:tc>
      </w:tr>
      <w:tr>
        <w:tc>
          <w:tcPr>
            <w:tcW w:type="dxa" w:w="1728"/>
          </w:tcPr>
          <w:p>
            <w:r>
              <w:t>测试说明</w:t>
            </w:r>
          </w:p>
        </w:tc>
        <w:tc>
          <w:tcPr>
            <w:tcW w:type="dxa" w:w="6912"/>
            <w:gridSpan w:val="4"/>
          </w:tcPr>
          <w:p>
            <w:r>
              <w:t>测试首页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硬件配置</w:t>
              <w:br/>
              <w:t>无</w:t>
              <w:br/>
              <w:t>软件配置</w:t>
              <w:br/>
              <w:t>软件安装部署正确</w:t>
              <w:br/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前提约束</w:t>
            </w:r>
          </w:p>
        </w:tc>
        <w:tc>
          <w:tcPr>
            <w:tcW w:type="dxa" w:w="6912"/>
            <w:gridSpan w:val="4"/>
          </w:tcPr>
          <w:p>
            <w:r>
              <w:t>已登录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1、进入在线测试页面</w:t>
              <w:br/>
              <w:t>2、点击授权管理</w:t>
              <w:br/>
              <w:t>3、查看是否有数据库权限</w:t>
            </w:r>
          </w:p>
        </w:tc>
        <w:tc>
          <w:tcPr>
            <w:tcW w:type="dxa" w:w="1728"/>
          </w:tcPr>
          <w:p>
            <w:r>
              <w:t>首页显示3个版面</w:t>
            </w:r>
          </w:p>
        </w:tc>
        <w:tc>
          <w:tcPr>
            <w:tcW w:type="dxa" w:w="1728"/>
          </w:tcPr>
          <w:p>
            <w:r>
              <w:t>不要出错4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</w:tbl>
    <w:p>
      <w:pPr>
        <w:pStyle w:val="Heading3"/>
      </w:pPr>
      <w:r>
        <w:t>工作流设计器（ECHO-GZML-GZLSJQ）</w:t>
      </w:r>
    </w:p>
    <w:p>
      <w:r>
        <w:t>工作流设计器采用前端绘图框架展现，通过鼠标拖拽方式，根据业务规则设计出工作流，一个工作流可以包含开始、组件（脚本等）、作业、工作集、结束等节点，在设计器界面支持对各节点属性进行配置，也支持保存、发布、校验、试运行等功能。</w:t>
      </w:r>
    </w:p>
    <w:p>
      <w:pPr>
        <w:pStyle w:val="Heading4"/>
      </w:pPr>
      <w:r>
        <w:t xml:space="preserve">作业列表查看(ECHO-GZML-GZLSJQ-ZYLBCK-TC)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作业列表查看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ECHO-GZML-GZLSJQ-ZYLBCK-TC</w:t>
            </w:r>
          </w:p>
        </w:tc>
      </w:tr>
      <w:tr>
        <w:tc>
          <w:tcPr>
            <w:tcW w:type="dxa" w:w="1728"/>
          </w:tcPr>
          <w:p>
            <w:r>
              <w:t>测试追踪</w:t>
            </w:r>
          </w:p>
        </w:tc>
        <w:tc>
          <w:tcPr>
            <w:tcW w:type="dxa" w:w="6912"/>
            <w:gridSpan w:val="4"/>
          </w:tcPr>
          <w:p>
            <w:r>
              <w:t>见需求追踪表</w:t>
            </w:r>
          </w:p>
        </w:tc>
      </w:tr>
      <w:tr>
        <w:tc>
          <w:tcPr>
            <w:tcW w:type="dxa" w:w="1728"/>
          </w:tcPr>
          <w:p>
            <w:r>
              <w:t>测试说明</w:t>
            </w:r>
          </w:p>
        </w:tc>
        <w:tc>
          <w:tcPr>
            <w:tcW w:type="dxa" w:w="6912"/>
            <w:gridSpan w:val="4"/>
          </w:tcPr>
          <w:p>
            <w:r>
              <w:t>在线测试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硬件配置</w:t>
              <w:br/>
              <w:t>无</w:t>
              <w:br/>
              <w:t>软件配置</w:t>
              <w:br/>
              <w:t>软件安装部署正确</w:t>
              <w:br/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前提约束</w:t>
            </w:r>
          </w:p>
        </w:tc>
        <w:tc>
          <w:tcPr>
            <w:tcW w:type="dxa" w:w="6912"/>
            <w:gridSpan w:val="4"/>
          </w:tcPr>
          <w:p>
            <w:r>
              <w:t>已登录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不要出错5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异常报错</w:t>
            </w:r>
          </w:p>
        </w:tc>
        <w:tc>
          <w:tcPr>
            <w:tcW w:type="dxa" w:w="1728"/>
          </w:tcPr>
          <w:p>
            <w:r>
              <w:t>不要出错6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按钮能够点击</w:t>
            </w:r>
          </w:p>
        </w:tc>
        <w:tc>
          <w:tcPr>
            <w:tcW w:type="dxa" w:w="1728"/>
          </w:tcPr>
          <w:p>
            <w:r>
              <w:t>不要出错7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雪月3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</w:tbl>
    <w:p>
      <w:pPr>
        <w:pStyle w:val="Heading2"/>
      </w:pPr>
      <w:r>
        <w:t>资源管理（ECHO-ZYGL)</w:t>
      </w:r>
    </w:p>
    <w:p>
      <w:r>
        <w:t>资源管理模块是对交换系统集成的各类资源的统一管理，包含数据源管理、应用管理、脚本管理、算法管理等功能。管理员及操作员均可对资源管理进行增删改查等操作。其中应用是指使用交换平台进行数据交换涉及到的应用系统，脚本是指一些通用或实现特定功能的可执行程序，数据源管理是对所有通过交换平台进行数据交换的数据源进行管理，它包括文件数据源和数据库数据源等，算法管理集成和内置了一些加解密和压缩/解压缩算法，以及第三方算法和自定义算法等的管理维护。</w:t>
      </w:r>
    </w:p>
    <w:p>
      <w:pPr>
        <w:pStyle w:val="Heading3"/>
      </w:pPr>
      <w:r>
        <w:t>脚本管理（ECHO-ZYGL-JBGL）</w:t>
      </w:r>
    </w:p>
    <w:p>
      <w:r>
        <w:t>脚本管理是对系统中脚本的统一管理， 脚本管理包括脚本添加、脚本修改、脚本删除、脚本查询、脚本高级配置等功能。脚本的信息包括脚本名称、脚本内容、备注、高级配置等信息。</w:t>
      </w:r>
    </w:p>
    <w:p>
      <w:pPr>
        <w:pStyle w:val="Heading4"/>
      </w:pPr>
      <w:r>
        <w:t xml:space="preserve">脚本添加(ECHO-ZYGL-JBGL-JBTJ-TC)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用例名称</w:t>
            </w:r>
          </w:p>
        </w:tc>
        <w:tc>
          <w:tcPr>
            <w:tcW w:type="dxa" w:w="1728"/>
          </w:tcPr>
          <w:p>
            <w:r>
              <w:t>脚本添加</w:t>
            </w:r>
          </w:p>
        </w:tc>
        <w:tc>
          <w:tcPr>
            <w:tcW w:type="dxa" w:w="1728"/>
          </w:tcPr>
          <w:p>
            <w:r>
              <w:t>用例标识</w:t>
            </w:r>
          </w:p>
        </w:tc>
        <w:tc>
          <w:tcPr>
            <w:tcW w:type="dxa" w:w="3456"/>
            <w:gridSpan w:val="2"/>
          </w:tcPr>
          <w:p>
            <w:r>
              <w:t>ECHO-ZYGL-JBGL-JBTJ-TC</w:t>
            </w:r>
          </w:p>
        </w:tc>
      </w:tr>
      <w:tr>
        <w:tc>
          <w:tcPr>
            <w:tcW w:type="dxa" w:w="1728"/>
          </w:tcPr>
          <w:p>
            <w:r>
              <w:t>测试追踪</w:t>
            </w:r>
          </w:p>
        </w:tc>
        <w:tc>
          <w:tcPr>
            <w:tcW w:type="dxa" w:w="6912"/>
            <w:gridSpan w:val="4"/>
          </w:tcPr>
          <w:p>
            <w:r>
              <w:t>见需求追踪表</w:t>
            </w:r>
          </w:p>
        </w:tc>
      </w:tr>
      <w:tr>
        <w:tc>
          <w:tcPr>
            <w:tcW w:type="dxa" w:w="1728"/>
          </w:tcPr>
          <w:p>
            <w:r>
              <w:t>测试说明</w:t>
            </w:r>
          </w:p>
        </w:tc>
        <w:tc>
          <w:tcPr>
            <w:tcW w:type="dxa" w:w="6912"/>
            <w:gridSpan w:val="4"/>
          </w:tcPr>
          <w:p>
            <w:r>
              <w:t>在线测试</w:t>
            </w:r>
          </w:p>
        </w:tc>
      </w:tr>
      <w:tr>
        <w:tc>
          <w:tcPr>
            <w:tcW w:type="dxa" w:w="1728"/>
          </w:tcPr>
          <w:p>
            <w:r>
              <w:t>用例初始化</w:t>
            </w:r>
          </w:p>
        </w:tc>
        <w:tc>
          <w:tcPr>
            <w:tcW w:type="dxa" w:w="6912"/>
            <w:gridSpan w:val="4"/>
          </w:tcPr>
          <w:p>
            <w:r>
              <w:t>硬件配置</w:t>
              <w:br/>
              <w:t>无</w:t>
              <w:br/>
              <w:t>软件配置</w:t>
              <w:br/>
              <w:t>软件安装部署正确</w:t>
              <w:br/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t>测试过程</w:t>
            </w:r>
          </w:p>
        </w:tc>
      </w:tr>
      <w:tr>
        <w:tc>
          <w:tcPr>
            <w:tcW w:type="dxa" w:w="1728"/>
          </w:tcPr>
          <w:p>
            <w:r>
              <w:t>前提约束</w:t>
            </w:r>
          </w:p>
        </w:tc>
        <w:tc>
          <w:tcPr>
            <w:tcW w:type="dxa" w:w="6912"/>
            <w:gridSpan w:val="4"/>
          </w:tcPr>
          <w:p>
            <w:r>
              <w:t>已登录</w:t>
            </w:r>
          </w:p>
        </w:tc>
      </w:tr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输入及操作说明</w:t>
            </w:r>
          </w:p>
        </w:tc>
        <w:tc>
          <w:tcPr>
            <w:tcW w:type="dxa" w:w="1728"/>
          </w:tcPr>
          <w:p>
            <w:r>
              <w:t>期望</w:t>
            </w:r>
          </w:p>
        </w:tc>
        <w:tc>
          <w:tcPr>
            <w:tcW w:type="dxa" w:w="1728"/>
          </w:tcPr>
          <w:p>
            <w:r>
              <w:t>评估标准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1、点击添加按钮</w:t>
              <w:br/>
              <w:t>2、输入用户信息</w:t>
              <w:br/>
              <w:t>3、点击确认按钮</w:t>
            </w:r>
          </w:p>
        </w:tc>
        <w:tc>
          <w:tcPr>
            <w:tcW w:type="dxa" w:w="1728"/>
          </w:tcPr>
          <w:p>
            <w:r>
              <w:t>账号无误</w:t>
            </w:r>
          </w:p>
        </w:tc>
        <w:tc>
          <w:tcPr>
            <w:tcW w:type="dxa" w:w="1728"/>
          </w:tcPr>
          <w:p>
            <w:r>
              <w:t>不要出错5</w:t>
            </w:r>
          </w:p>
        </w:tc>
        <w:tc>
          <w:tcPr>
            <w:tcW w:type="dxa" w:w="1728"/>
          </w:tcPr>
          <w:p>
            <w:r>
              <w:t>口 通过</w:t>
              <w:br/>
              <w:t>口 不通过</w:t>
              <w:br/>
            </w:r>
          </w:p>
        </w:tc>
      </w:tr>
      <w:tr>
        <w:tc>
          <w:tcPr>
            <w:tcW w:type="dxa" w:w="1728"/>
          </w:tcPr>
          <w:p>
            <w:r>
              <w:t>测试终止条件</w:t>
            </w:r>
          </w:p>
        </w:tc>
        <w:tc>
          <w:tcPr>
            <w:tcW w:type="dxa" w:w="6912"/>
            <w:gridSpan w:val="4"/>
          </w:tcPr>
          <w:p>
            <w:r>
              <w:t>测试结果符合预期后，测试终止</w:t>
            </w:r>
          </w:p>
        </w:tc>
      </w:tr>
      <w:tr>
        <w:tc>
          <w:tcPr>
            <w:tcW w:type="dxa" w:w="1728"/>
          </w:tcPr>
          <w:p>
            <w:r>
              <w:t>测试结果</w:t>
            </w:r>
          </w:p>
        </w:tc>
        <w:tc>
          <w:tcPr>
            <w:tcW w:type="dxa" w:w="6912"/>
            <w:gridSpan w:val="4"/>
          </w:tcPr>
          <w:p>
            <w:r>
              <w:t>□通过  □未通过但可作优化或修改  □未通过且无法修改</w:t>
            </w:r>
          </w:p>
        </w:tc>
      </w:tr>
      <w:tr>
        <w:tc>
          <w:tcPr>
            <w:tcW w:type="dxa" w:w="1728"/>
          </w:tcPr>
          <w:p>
            <w:r>
              <w:t>设计人员</w:t>
            </w:r>
          </w:p>
        </w:tc>
        <w:tc>
          <w:tcPr>
            <w:tcW w:type="dxa" w:w="1728"/>
          </w:tcPr>
          <w:p>
            <w:r>
              <w:t>雪月3</w:t>
            </w:r>
          </w:p>
        </w:tc>
        <w:tc>
          <w:tcPr>
            <w:tcW w:type="dxa" w:w="1728"/>
          </w:tcPr>
          <w:p>
            <w:r>
              <w:t>设计日期</w:t>
            </w:r>
          </w:p>
        </w:tc>
        <w:tc>
          <w:tcPr>
            <w:tcW w:type="dxa" w:w="3456"/>
            <w:gridSpan w:val="2"/>
          </w:tcPr>
          <w:p>
            <w:r>
              <w:t>2010年2月28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