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Modbus入门教程</w:t>
      </w:r>
    </w:p>
    <w:p>
      <w:pPr>
        <w:bidi w:val="0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2024-2-19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7" w:lineRule="atLeast"/>
        <w:ind w:left="0" w:right="0" w:firstLine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上位机通讯协议指的是用于上位机与外围设备（如传感器、执行器等）之间进行通讯的协议。常见的上位机通讯协议有以下几种：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Modbus协议：Modbus是一种通用的串行通信协议，适用于不同厂家的设备间的通讯，支持RTU/ASCII/TCP三种传输模式。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PROFIBUS协议：PROFIBUS是一种用于工业自动化领域的串行总线通信协议，支持不同速率和传输模式。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CAN协议：CAN（Controller Area Network）是一种广泛应用于汽车电子和工业领域的串行通信协议，具有快速、可靠和抗干扰等特点。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Ethernet协议：Ethernet是一种基于TCP/IP协议的局域网通信协议，常用于局域网中设备间的通讯。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OPC协议：OPC（OLE for Process Control）是一种用于工控领域的通用数据接口标准，允许不同厂家的设备与上位机进行通信。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RS-232/485协议：RS-232和RS-485是一种用于串行通信的标准，常用于上位机与外围设备之间的短距离通讯。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Modbus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认识:标准开放、支持多种接口、不同厂家设备、格式简单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主从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仿真软件安装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Modbus协议分类:串口(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RTU、ASCII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)、网口(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TCP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、UDP) 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核心相同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解析与组装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协议代码实战(SerialPort通信组件)，报文组装与请求响应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ModBus原理</w:t>
      </w:r>
    </w:p>
    <w:p>
      <w:pPr>
        <w:jc w:val="center"/>
      </w:pPr>
      <w:r>
        <w:drawing>
          <wp:inline distT="0" distB="0" distL="114300" distR="114300">
            <wp:extent cx="3699510" cy="3123565"/>
            <wp:effectExtent l="0" t="0" r="1524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关键概念</w:t>
      </w:r>
    </w:p>
    <w:p>
      <w:pPr>
        <w:numPr>
          <w:ilvl w:val="0"/>
          <w:numId w:val="4"/>
        </w:num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线圈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寄存器 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(可读可写)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DO（Digital Output数字输出）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。可读可写</w:t>
      </w:r>
    </w:p>
    <w:p>
      <w:pPr>
        <w:numPr>
          <w:ilvl w:val="0"/>
          <w:numId w:val="4"/>
        </w:numP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离散输入寄存器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(只读)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读取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（Digital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utput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数字输入)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。只读</w:t>
      </w:r>
    </w:p>
    <w:p>
      <w:pPr>
        <w:numPr>
          <w:ilvl w:val="0"/>
          <w:numId w:val="4"/>
        </w:numP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保持寄存器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(可读可写)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数据一旦被写入，就会保存在寄存器中，即使PLC重新启动或断电，这些数据也不会丢失。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适用于需要长期存储且不经常更新的数据，例如记录产品经过的工序和相应的时间等信息。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可以一次性写入多个保持寄存器，以便于对多台设备进行远程监控和调节。</w:t>
      </w:r>
    </w:p>
    <w:p>
      <w:pPr>
        <w:numPr>
          <w:ilvl w:val="0"/>
          <w:numId w:val="4"/>
        </w:numP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输入寄存器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(只读)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数据是实时更新的，这意味着每当有新的输入值时，PLC都会更新这些寄存器中的数据。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适用于需要实时监测并作出相应调整的数据，例如温度控制系统中实时监测的温度变化。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只能单个地读取或写入输入寄存器。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常用功能码</w:t>
      </w:r>
    </w:p>
    <w:p>
      <w:pPr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功能代码为10进制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48405" cy="2433320"/>
            <wp:effectExtent l="0" t="0" r="4445" b="50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Modbus RTU报文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RTU:远程终端单元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参考文档:</w:t>
      </w:r>
      <w:r>
        <w:rPr>
          <w:rFonts w:hint="default"/>
          <w:lang w:val="en-US" w:eastAsia="zh-CN"/>
        </w:rPr>
        <w:t>ModbusRtu报文.xlsx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联系方式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VX:bzxx6888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890905" cy="88900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EFA66"/>
    <w:multiLevelType w:val="singleLevel"/>
    <w:tmpl w:val="97AEFA6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6F13C6"/>
    <w:multiLevelType w:val="singleLevel"/>
    <w:tmpl w:val="B16F13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5E4236"/>
    <w:multiLevelType w:val="singleLevel"/>
    <w:tmpl w:val="CF5E42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21A8E2F"/>
    <w:multiLevelType w:val="singleLevel"/>
    <w:tmpl w:val="E21A8E2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84EC20"/>
    <w:multiLevelType w:val="singleLevel"/>
    <w:tmpl w:val="F184EC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3C8FDB0C"/>
    <w:multiLevelType w:val="singleLevel"/>
    <w:tmpl w:val="3C8FDB0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DgyZmQ2OTYwMDU0ZjUxMTdiMDBiMGViNDAyYzkifQ=="/>
  </w:docVars>
  <w:rsids>
    <w:rsidRoot w:val="00000000"/>
    <w:rsid w:val="01F66ABD"/>
    <w:rsid w:val="04EA66E0"/>
    <w:rsid w:val="051C683A"/>
    <w:rsid w:val="068F332E"/>
    <w:rsid w:val="09E96D66"/>
    <w:rsid w:val="0A171CC6"/>
    <w:rsid w:val="0A6975F8"/>
    <w:rsid w:val="0A9E4AAA"/>
    <w:rsid w:val="0B37452E"/>
    <w:rsid w:val="0C3D1EB8"/>
    <w:rsid w:val="0DBF064A"/>
    <w:rsid w:val="0FD03043"/>
    <w:rsid w:val="114F1D45"/>
    <w:rsid w:val="12641821"/>
    <w:rsid w:val="13295EA9"/>
    <w:rsid w:val="16C50B80"/>
    <w:rsid w:val="19105774"/>
    <w:rsid w:val="1A4F1BAA"/>
    <w:rsid w:val="1A571259"/>
    <w:rsid w:val="1CC47332"/>
    <w:rsid w:val="1CD32386"/>
    <w:rsid w:val="1CDD25EC"/>
    <w:rsid w:val="1E5578C2"/>
    <w:rsid w:val="1FF63638"/>
    <w:rsid w:val="20B6543E"/>
    <w:rsid w:val="226F1DBC"/>
    <w:rsid w:val="22BC1FFA"/>
    <w:rsid w:val="241C1930"/>
    <w:rsid w:val="2610789E"/>
    <w:rsid w:val="26B648E9"/>
    <w:rsid w:val="271629D9"/>
    <w:rsid w:val="2A737F27"/>
    <w:rsid w:val="2AB4113F"/>
    <w:rsid w:val="2B5E5693"/>
    <w:rsid w:val="2CEB6008"/>
    <w:rsid w:val="2D7B5F44"/>
    <w:rsid w:val="2EF75A9F"/>
    <w:rsid w:val="30872E52"/>
    <w:rsid w:val="314D7BF8"/>
    <w:rsid w:val="34262BBD"/>
    <w:rsid w:val="34727975"/>
    <w:rsid w:val="361433DA"/>
    <w:rsid w:val="37386C54"/>
    <w:rsid w:val="39F057E5"/>
    <w:rsid w:val="3A6D2A97"/>
    <w:rsid w:val="3CBE1141"/>
    <w:rsid w:val="3CC254F7"/>
    <w:rsid w:val="3CE729FB"/>
    <w:rsid w:val="3D962926"/>
    <w:rsid w:val="3F275B60"/>
    <w:rsid w:val="40384169"/>
    <w:rsid w:val="40C477AB"/>
    <w:rsid w:val="41322A5E"/>
    <w:rsid w:val="42056DA0"/>
    <w:rsid w:val="42D27F5D"/>
    <w:rsid w:val="42F333A8"/>
    <w:rsid w:val="446628C3"/>
    <w:rsid w:val="476339D5"/>
    <w:rsid w:val="479334FB"/>
    <w:rsid w:val="4905004E"/>
    <w:rsid w:val="491A08B0"/>
    <w:rsid w:val="49B77EAC"/>
    <w:rsid w:val="49D96075"/>
    <w:rsid w:val="4A601AED"/>
    <w:rsid w:val="4BFA5E86"/>
    <w:rsid w:val="4CD356E0"/>
    <w:rsid w:val="4CD46FC7"/>
    <w:rsid w:val="4E3708CE"/>
    <w:rsid w:val="4E49189F"/>
    <w:rsid w:val="4E6136F4"/>
    <w:rsid w:val="53294185"/>
    <w:rsid w:val="536C32AD"/>
    <w:rsid w:val="53707DF7"/>
    <w:rsid w:val="5705120B"/>
    <w:rsid w:val="5822218A"/>
    <w:rsid w:val="58F76D46"/>
    <w:rsid w:val="595E0345"/>
    <w:rsid w:val="59C11E47"/>
    <w:rsid w:val="5A037476"/>
    <w:rsid w:val="5BCB6A2E"/>
    <w:rsid w:val="5BF9540B"/>
    <w:rsid w:val="60B46A9C"/>
    <w:rsid w:val="60C279B1"/>
    <w:rsid w:val="61FF34EE"/>
    <w:rsid w:val="62733B62"/>
    <w:rsid w:val="62B9483E"/>
    <w:rsid w:val="632A2022"/>
    <w:rsid w:val="64E41B57"/>
    <w:rsid w:val="65755F29"/>
    <w:rsid w:val="65A028A8"/>
    <w:rsid w:val="66E8749F"/>
    <w:rsid w:val="68160FE6"/>
    <w:rsid w:val="68766D54"/>
    <w:rsid w:val="68BB0EDC"/>
    <w:rsid w:val="68F640F6"/>
    <w:rsid w:val="6A3F00B4"/>
    <w:rsid w:val="6A9E25DE"/>
    <w:rsid w:val="6B421874"/>
    <w:rsid w:val="6BF3491C"/>
    <w:rsid w:val="6C4B4758"/>
    <w:rsid w:val="6CC34B2C"/>
    <w:rsid w:val="6CF0043E"/>
    <w:rsid w:val="6D9B2527"/>
    <w:rsid w:val="6ECE5D3B"/>
    <w:rsid w:val="6EDF562C"/>
    <w:rsid w:val="6F305E87"/>
    <w:rsid w:val="6FB62831"/>
    <w:rsid w:val="6FE6088E"/>
    <w:rsid w:val="6FF60E7F"/>
    <w:rsid w:val="700A66D9"/>
    <w:rsid w:val="704A749C"/>
    <w:rsid w:val="70926C90"/>
    <w:rsid w:val="72454D3E"/>
    <w:rsid w:val="7257309B"/>
    <w:rsid w:val="726A16B0"/>
    <w:rsid w:val="735A34D3"/>
    <w:rsid w:val="73E12E5D"/>
    <w:rsid w:val="742F454E"/>
    <w:rsid w:val="76E77245"/>
    <w:rsid w:val="77195532"/>
    <w:rsid w:val="778D031B"/>
    <w:rsid w:val="77BC650A"/>
    <w:rsid w:val="7A8B6668"/>
    <w:rsid w:val="7AD976E9"/>
    <w:rsid w:val="7B0B6E5C"/>
    <w:rsid w:val="7C5230C7"/>
    <w:rsid w:val="7CC172DB"/>
    <w:rsid w:val="7D7A385A"/>
    <w:rsid w:val="7DD65E4C"/>
    <w:rsid w:val="7E4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2024-02-07T00:51:00Z</dcterms:created>
  <dc:creator>LiQiang</dc:creator>
  <cp:lastModifiedBy>李强</cp:lastModifiedBy>
  <dcterms:modified xsi:type="dcterms:W3CDTF">2024-02-20T05:11:48Z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CF498AA751AD4E9FAA1E3467F4883EE5_12</vt:lpwstr>
  </property>
</Properties>
</file>