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before="200" w:after="120"/>
        <w:jc w:val="left"/>
      </w:pPr>
      <w:bookmarkStart w:id="21" w:name="renault-car-sequencing-milp-建模说明"/>
      <w:bookmarkEnd w:id="21"/>
      <w:r>
        <w:rPr>
          <w:rFonts w:ascii="Calibri" w:hAnsi="Calibri" w:eastAsia="Microsoft YaHei"/>
          <w:b/>
          <w:color w:val="1F4D78"/>
          <w:sz w:val="48"/>
        </w:rPr>
        <w:t xml:space="preserve">Renault Car Sequencing MILP 建模说明</w:t>
      </w:r>
    </w:p>
    <w:p>
      <w:pPr>
        <w:pStyle w:val="Heading2"/>
        <w:widowControl/>
      </w:pPr>
      <w:bookmarkStart w:id="22" w:name="建模目的与问题边界"/>
      <w:bookmarkEnd w:id="22"/>
      <w:r>
        <w:t xml:space="preserve">1. 建模目的与问题边界</w:t>
      </w:r>
    </w:p>
    <w:p>
      <w:pPr>
        <w:pStyle w:val="FirstParagraph"/>
        <w:widowControl/>
      </w:pPr>
      <w:r>
        <w:t xml:space="preserve">给定 Renault 工厂生产日 D 的全部车辆，需要确定一条车辆生产序列，同时考虑：</w:t>
      </w:r>
    </w:p>
    <w:p>
      <w:pPr>
        <w:pStyle w:val="Compact"/>
        <w:widowControl/>
        <w:numPr>
          <w:numId w:val="1001"/>
          <w:ilvl w:val="0"/>
        </w:numPr>
      </w:pPr>
      <w:r>
        <w:t xml:space="preserve">每辆 D 日车辆必须且只能安排一次；</w:t>
      </w:r>
    </w:p>
    <w:p>
      <w:pPr>
        <w:pStyle w:val="Compact"/>
        <w:widowControl/>
        <w:numPr>
          <w:numId w:val="1001"/>
          <w:ilvl w:val="0"/>
        </w:numPr>
      </w:pPr>
      <w:r>
        <w:t xml:space="preserve">连续同色车辆数不能超过涂装批次上限；</w:t>
      </w:r>
    </w:p>
    <w:p>
      <w:pPr>
        <w:pStyle w:val="Compact"/>
        <w:widowControl/>
        <w:numPr>
          <w:numId w:val="1001"/>
          <w:ilvl w:val="0"/>
        </w:numPr>
      </w:pPr>
      <w:r>
        <w:t xml:space="preserve">尽量减少颜色切换次数；</w:t>
      </w:r>
    </w:p>
    <w:p>
      <w:pPr>
        <w:pStyle w:val="Compact"/>
        <w:widowControl/>
        <w:numPr>
          <w:numId w:val="1001"/>
          <w:ilvl w:val="0"/>
        </w:numPr>
      </w:pPr>
      <w:r>
        <w:t xml:space="preserve">尽量减少高优先级比例约束（HPRC）违反；</w:t>
      </w:r>
    </w:p>
    <w:p>
      <w:pPr>
        <w:pStyle w:val="Compact"/>
        <w:widowControl/>
        <w:numPr>
          <w:numId w:val="1001"/>
          <w:ilvl w:val="0"/>
        </w:numPr>
      </w:pPr>
      <w:r>
        <w:t xml:space="preserve">尽量减少低优先级比例约束（LPRC）违反；</w:t>
      </w:r>
    </w:p>
    <w:p>
      <w:pPr>
        <w:pStyle w:val="Compact"/>
        <w:widowControl/>
        <w:numPr>
          <w:numId w:val="1001"/>
          <w:ilvl w:val="0"/>
        </w:numPr>
      </w:pPr>
      <w:r>
        <w:t xml:space="preserve">目标优先顺序由每个 instance 的</w:t>
      </w:r>
      <w:r>
        <w:t xml:space="preserve"> </w:t>
      </w:r>
      <w:r>
        <w:rPr>
          <w:rStyle w:val="VerbatimChar"/>
        </w:rPr>
        <w:t xml:space="preserve">optimization_objectives.txt</w:t>
      </w:r>
      <w:r>
        <w:t xml:space="preserve"> </w:t>
      </w:r>
      <w:r>
        <w:t xml:space="preserve">决定。</w:t>
      </w:r>
    </w:p>
    <w:p>
      <w:pPr>
        <w:pStyle w:val="FirstParagraph"/>
        <w:widowControl/>
      </w:pPr>
      <w:r>
        <w:t xml:space="preserve">D-1 的车辆序列已经确定，不参与重新排序，但会影响：</w:t>
      </w:r>
    </w:p>
    <w:p>
      <w:pPr>
        <w:pStyle w:val="Compact"/>
        <w:widowControl/>
        <w:numPr>
          <w:numId w:val="1002"/>
          <w:ilvl w:val="0"/>
        </w:numPr>
      </w:pPr>
      <w:r>
        <w:t xml:space="preserve">D-1 最后一辆车到 D 第一辆车的颜色切换；</w:t>
      </w:r>
    </w:p>
    <w:p>
      <w:pPr>
        <w:pStyle w:val="Compact"/>
        <w:widowControl/>
        <w:numPr>
          <w:numId w:val="1002"/>
          <w:ilvl w:val="0"/>
        </w:numPr>
      </w:pPr>
      <w:r>
        <w:t xml:space="preserve">跨越 D-1 与 D 的比例约束窗口。</w:t>
      </w:r>
    </w:p>
    <w:p>
      <w:pPr>
        <w:pStyle w:val="FirstParagraph"/>
        <w:widowControl/>
      </w:pPr>
      <w:r>
        <w:t xml:space="preserve">D+1 的车辆信息未知，因此不参与模型。按照官方 Checker 规则，D 日末尾仍需评估逐渐缩短的比例约束窗口。</w:t>
      </w:r>
    </w:p>
    <w:p>
      <w:pPr>
        <w:widowControl/>
      </w:pPr>
      <w:r>
        <w:rPr>
          <w:rFonts w:ascii="Calibri" w:hAnsi="Calibri" w:eastAsia="Microsoft YaHei"/>
          <w:sz w:val="21"/>
        </w:rPr>
        <w:pict>
          <v:rect style="width:0;height:1.5pt" o:hralign="center" o:hrstd="t" o:hr="t"/>
        </w:pict>
      </w:r>
    </w:p>
    <w:p>
      <w:pPr>
        <w:pStyle w:val="Heading2"/>
        <w:widowControl/>
      </w:pPr>
      <w:bookmarkStart w:id="23" w:name="车辆类型聚合"/>
      <w:bookmarkEnd w:id="23"/>
      <w:r>
        <w:t xml:space="preserve">2. 车辆类型聚合</w:t>
      </w:r>
    </w:p>
    <w:p>
      <w:pPr>
        <w:pStyle w:val="FirstParagraph"/>
        <w:widowControl/>
        <w:spacing w:before="100" w:after="140"/>
        <w:jc w:val="left"/>
      </w:pPr>
      <w:r>
        <w:t xml:space="preserve">直接对每辆车和每个位置建立二进制变量，会产生约</w:t>
      </w:r>
      <w:r>
        <w:t xml:space="preserve"> </w:t>
      </w:r>
      <m:oMath>
        <m:sSup>
          <m:e>
            <m:r>
              <m:t>n</m:t>
            </m:r>
          </m:e>
          <m:sup>
            <m:r>
              <m:t>2</m:t>
            </m:r>
          </m:sup>
        </m:sSup>
      </m:oMath>
      <w:r>
        <w:t xml:space="preserve"> </w:t>
      </w:r>
      <w:r>
        <w:t xml:space="preserve">个核心变量。对于上千辆车的实例，模型规模较大。</w:t>
      </w:r>
    </w:p>
    <w:p>
      <w:pPr>
        <w:pStyle w:val="BodyText"/>
        <w:widowControl/>
      </w:pPr>
      <w:r>
        <w:t xml:space="preserve">赛题目标与约束只使用以下车辆属性：</w:t>
      </w:r>
    </w:p>
    <w:p>
      <w:pPr>
        <w:pStyle w:val="Compact"/>
        <w:widowControl/>
        <w:numPr>
          <w:numId w:val="1003"/>
          <w:ilvl w:val="0"/>
        </w:numPr>
      </w:pPr>
      <w:r>
        <w:rPr>
          <w:rStyle w:val="VerbatimChar"/>
        </w:rPr>
        <w:t xml:space="preserve">Paint Color</w:t>
      </w:r>
      <w:r>
        <w:t xml:space="preserve">；</w:t>
      </w:r>
    </w:p>
    <w:p>
      <w:pPr>
        <w:pStyle w:val="Compact"/>
        <w:widowControl/>
        <w:numPr>
          <w:numId w:val="1003"/>
          <w:ilvl w:val="0"/>
        </w:numPr>
      </w:pPr>
      <w:r>
        <w:t xml:space="preserve">全部 HPRC/LPRC 选装件标志。</w:t>
      </w:r>
    </w:p>
    <w:p>
      <w:pPr>
        <w:pStyle w:val="FirstParagraph"/>
        <w:widowControl/>
        <w:spacing w:before="100" w:after="140"/>
        <w:jc w:val="left"/>
      </w:pPr>
      <w:r>
        <w:t xml:space="preserve">车辆</w:t>
      </w:r>
      <w:r>
        <w:t xml:space="preserve"> </w:t>
      </w:r>
      <w:r>
        <w:rPr>
          <w:rStyle w:val="VerbatimChar"/>
        </w:rPr>
        <w:t xml:space="preserve">Ident</w:t>
      </w:r>
      <w:r>
        <w:t xml:space="preserve"> </w:t>
      </w:r>
      <w:r>
        <w:t xml:space="preserve">和</w:t>
      </w:r>
      <w:r>
        <w:t xml:space="preserve"> </w:t>
      </w:r>
      <w:r>
        <w:rPr>
          <w:rStyle w:val="VerbatimChar"/>
        </w:rPr>
        <w:t xml:space="preserve">SeqRank</w:t>
      </w:r>
      <w:r>
        <w:t xml:space="preserve"> </w:t>
      </w:r>
      <w:r>
        <w:t xml:space="preserve">不直接影响目标。因此，将颜色和全部选装件标志相同的车辆聚合为一个车辆类型</w:t>
      </w:r>
      <w:r>
        <w:t xml:space="preserve"> </w:t>
      </w:r>
      <m:oMath>
        <m:r>
          <m:t>g</m:t>
        </m:r>
      </m:oMath>
      <w:r>
        <w:t xml:space="preserve">：</w:t>
      </w:r>
    </w:p>
    <w:p>
      <w:pPr>
        <w:pStyle w:val="BodyText"/>
        <w:widowControl/>
        <w:spacing w:before="100" w:after="140"/>
        <w:jc w:val="center"/>
      </w:pPr>
      <m:oMathPara>
        <m:oMathParaPr>
          <m:jc m:val="center"/>
        </m:oMathParaPr>
        <m:oMath>
          <m:r>
            <m:t>g</m:t>
          </m:r>
          <m:r>
            <m:t>=</m:t>
          </m:r>
          <m:r>
            <m:t>(</m:t>
          </m:r>
          <m:r>
            <m:t>c</m:t>
          </m:r>
          <m:r>
            <m:t>o</m:t>
          </m:r>
          <m:r>
            <m:t>l</m:t>
          </m:r>
          <m:r>
            <m:t>o</m:t>
          </m:r>
          <m:sSub>
            <m:e>
              <m:r>
                <m:t>r</m:t>
              </m:r>
            </m:e>
            <m:sub>
              <m:r>
                <m:t>g</m:t>
              </m:r>
            </m:sub>
          </m:sSub>
          <m:r>
            <m:t>,</m:t>
          </m:r>
          <m:sSub>
            <m:e>
              <m:r>
                <m:t>q</m:t>
              </m:r>
            </m:e>
            <m:sub>
              <m:r>
                <m:t>1</m:t>
              </m:r>
              <m:r>
                <m:t>g</m:t>
              </m:r>
            </m:sub>
          </m:sSub>
          <m:r>
            <m:t>,</m:t>
          </m:r>
          <m:sSub>
            <m:e>
              <m:r>
                <m:t>q</m:t>
              </m:r>
            </m:e>
            <m:sub>
              <m:r>
                <m:t>2</m:t>
              </m:r>
              <m:r>
                <m:t>g</m:t>
              </m:r>
            </m:sub>
          </m:sSub>
          <m:r>
            <m:t>,</m:t>
          </m:r>
          <m:r>
            <m:t>…</m:t>
          </m:r>
          <m:r>
            <m:t>,</m:t>
          </m:r>
          <m:sSub>
            <m:e>
              <m:r>
                <m:t>q</m:t>
              </m:r>
            </m:e>
            <m:sub>
              <m:r>
                <m:t>|</m:t>
              </m:r>
              <m:r>
                <m:t>K</m:t>
              </m:r>
              <m:r>
                <m:t>|</m:t>
              </m:r>
              <m:r>
                <m:t>g</m:t>
              </m:r>
            </m:sub>
          </m:sSub>
          <m:r>
            <m:t>)</m:t>
          </m:r>
          <m:r>
            <m:t>.</m:t>
          </m:r>
        </m:oMath>
      </m:oMathPara>
    </w:p>
    <w:p>
      <w:pPr>
        <w:pStyle w:val="FirstParagraph"/>
        <w:widowControl/>
      </w:pPr>
      <w:r>
        <w:t xml:space="preserve">同一类型中的车辆在数学模型中完全可交换。求解完成后，再按照原始</w:t>
      </w:r>
      <w:r>
        <w:t xml:space="preserve"> </w:t>
      </w:r>
      <w:r>
        <w:rPr>
          <w:rStyle w:val="VerbatimChar"/>
        </w:rPr>
        <w:t xml:space="preserve">SeqRank</w:t>
      </w:r>
      <w:r>
        <w:t xml:space="preserve"> </w:t>
      </w:r>
      <w:r>
        <w:t xml:space="preserve">将类型序列稳定还原为真实车辆编号序列。该聚合不会改变最优解空间中的目标值。</w:t>
      </w:r>
    </w:p>
    <w:p>
      <w:pPr>
        <w:widowControl/>
      </w:pPr>
      <w:r>
        <w:rPr>
          <w:rFonts w:ascii="Calibri" w:hAnsi="Calibri" w:eastAsia="Microsoft YaHei"/>
          <w:sz w:val="21"/>
        </w:rPr>
        <w:pict>
          <v:rect style="width:0;height:1.5pt" o:hralign="center" o:hrstd="t" o:hr="t"/>
        </w:pict>
      </w:r>
    </w:p>
    <w:p>
      <w:pPr>
        <w:pStyle w:val="Heading2"/>
        <w:widowControl/>
      </w:pPr>
      <w:bookmarkStart w:id="24" w:name="符号表"/>
      <w:bookmarkEnd w:id="24"/>
      <w:r>
        <w:t xml:space="preserve">3. 符号表</w:t>
      </w:r>
    </w:p>
    <w:p>
      <w:pPr>
        <w:pStyle w:val="Heading3"/>
        <w:widowControl/>
      </w:pPr>
      <w:bookmarkStart w:id="25" w:name="集合与索引"/>
      <w:bookmarkEnd w:id="25"/>
      <w:r>
        <w:t xml:space="preserve">3.1 集合与索引</w:t>
      </w:r>
    </w:p>
    <w:tbl>
      <w:tblPr>
        <w:tblStyle w:val="TableNormal"/>
        <w:tblW w:type="dxa" w:w="9360"/>
        <w:tblLayout w:type="fixed"/>
        <w:tblLook w:firstRow="1"/>
        <w:jc w:val="left"/>
        <w:tblInd w:w="120" w:type="dxa"/>
        <w:tblInd w:w="120" w:type="dxa"/>
      </w:tblPr>
      <w:tblGrid>
        <w:gridCol w:w="2100"/>
        <w:gridCol w:w="7260"/>
      </w:tblGrid>
      <w:tr>
        <w:trPr>
          <w:cnfStyle w:firstRow="1"/>
        </w:trPr>
        <w:tc>
          <w:tcPr>
            <w:tcBorders>
              <w:bottom w:val="single"/>
            </w:tcBorders>
            <w:vAlign w:val="center"/>
            <w:tcW w:w="2100" w:type="dxa"/>
            <w:tcMar>
              <w:top w:w="80" w:type="dxa"/>
              <w:bottom w:w="80" w:type="dxa"/>
              <w:start w:w="120" w:type="dxa"/>
              <w:end w:w="120" w:type="dxa"/>
            </w:tcMar>
            <w:shd w:fill="E8EEF5"/>
            <w:shd w:fill="E8EEF5"/>
          </w:tcPr>
          <w:p>
            <w:pPr>
              <w:pStyle w:val="Compact"/>
              <w:spacing w:after="40"/>
              <w:jc w:val="left"/>
            </w:pPr>
            <w:r>
              <w:rPr>
                <w:rFonts w:ascii="Calibri" w:hAnsi="Calibri" w:eastAsia="Microsoft YaHei"/>
                <w:b/>
                <w:sz w:val="18"/>
              </w:rPr>
              <w:t xml:space="preserve">符号</w:t>
            </w:r>
          </w:p>
        </w:tc>
        <w:tc>
          <w:tcPr>
            <w:tcBorders>
              <w:bottom w:val="single"/>
            </w:tcBorders>
            <w:vAlign w:val="center"/>
            <w:tcW w:w="7260" w:type="dxa"/>
            <w:tcMar>
              <w:top w:w="80" w:type="dxa"/>
              <w:bottom w:w="80" w:type="dxa"/>
              <w:start w:w="120" w:type="dxa"/>
              <w:end w:w="120" w:type="dxa"/>
            </w:tcMar>
            <w:shd w:fill="E8EEF5"/>
            <w:shd w:fill="E8EEF5"/>
          </w:tcPr>
          <w:p>
            <w:pPr>
              <w:pStyle w:val="Compact"/>
              <w:spacing w:after="40"/>
              <w:jc w:val="left"/>
            </w:pPr>
            <w:r>
              <w:rPr>
                <w:rFonts w:ascii="Calibri" w:hAnsi="Calibri" w:eastAsia="Microsoft YaHei"/>
                <w:b/>
                <w:sz w:val="18"/>
              </w:rPr>
              <w:t xml:space="preserve">含义</w:t>
            </w:r>
          </w:p>
        </w:tc>
      </w:tr>
      <w:tr>
        <w:tc>
          <w:tcPr>
            <w:tcW w:w="2100" w:type="dxa"/>
            <w:tcMar>
              <w:top w:w="80" w:type="dxa"/>
              <w:bottom w:w="80" w:type="dxa"/>
              <w:start w:w="120" w:type="dxa"/>
              <w:end w:w="120" w:type="dxa"/>
            </w:tcMar>
            <w:vAlign w:val="center"/>
          </w:tcPr>
          <w:p>
            <w:pPr>
              <w:pStyle w:val="Compact"/>
              <w:spacing w:after="40"/>
              <w:jc w:val="left"/>
            </w:pPr>
            <m:oMath>
              <m:r>
                <m:t>G</m:t>
              </m:r>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D 日车辆类型集合，索引为</w:t>
            </w:r>
            <w:r>
              <w:rPr>
                <w:rFonts w:ascii="Calibri" w:hAnsi="Calibri" w:eastAsia="Microsoft YaHei"/>
                <w:sz w:val="18"/>
              </w:rPr>
              <w:t xml:space="preserve"> </w:t>
            </w:r>
            <m:oMath>
              <m:r>
                <m:t>g</m:t>
              </m:r>
            </m:oMath>
          </w:p>
        </w:tc>
      </w:tr>
      <w:tr>
        <w:tc>
          <w:tcPr>
            <w:tcW w:w="2100" w:type="dxa"/>
            <w:tcMar>
              <w:top w:w="80" w:type="dxa"/>
              <w:bottom w:w="80" w:type="dxa"/>
              <w:start w:w="120" w:type="dxa"/>
              <w:end w:w="120" w:type="dxa"/>
            </w:tcMar>
            <w:vAlign w:val="center"/>
          </w:tcPr>
          <w:p>
            <w:pPr>
              <w:pStyle w:val="Compact"/>
              <w:spacing w:after="40"/>
              <w:jc w:val="left"/>
            </w:pPr>
            <m:oMath>
              <m:r>
                <m:t>T</m:t>
              </m:r>
              <m:r>
                <m:t>=</m:t>
              </m:r>
              <m:r>
                <m:t>{</m:t>
              </m:r>
              <m:r>
                <m:t>0</m:t>
              </m:r>
              <m:r>
                <m:t>,</m:t>
              </m:r>
              <m:r>
                <m:t>1</m:t>
              </m:r>
              <m:r>
                <m:t>,</m:t>
              </m:r>
              <m:r>
                <m:t>…</m:t>
              </m:r>
              <m:r>
                <m:t>,</m:t>
              </m:r>
              <m:r>
                <m:t>n</m:t>
              </m:r>
              <m:r>
                <m:t>−</m:t>
              </m:r>
              <m:r>
                <m:t>1</m:t>
              </m:r>
              <m:r>
                <m:t>}</m:t>
              </m:r>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D 日生产位置集合，索引为</w:t>
            </w:r>
            <w:r>
              <w:rPr>
                <w:rFonts w:ascii="Calibri" w:hAnsi="Calibri" w:eastAsia="Microsoft YaHei"/>
                <w:sz w:val="18"/>
              </w:rPr>
              <w:t xml:space="preserve"> </w:t>
            </w:r>
            <m:oMath>
              <m:r>
                <m:t>t</m:t>
              </m:r>
            </m:oMath>
          </w:p>
        </w:tc>
      </w:tr>
      <w:tr>
        <w:tc>
          <w:tcPr>
            <w:tcW w:w="2100" w:type="dxa"/>
            <w:tcMar>
              <w:top w:w="80" w:type="dxa"/>
              <w:bottom w:w="80" w:type="dxa"/>
              <w:start w:w="120" w:type="dxa"/>
              <w:end w:w="120" w:type="dxa"/>
            </w:tcMar>
            <w:vAlign w:val="center"/>
          </w:tcPr>
          <w:p>
            <w:pPr>
              <w:pStyle w:val="Compact"/>
              <w:spacing w:after="40"/>
              <w:jc w:val="left"/>
            </w:pPr>
            <m:oMath>
              <m:r>
                <m:t>C</m:t>
              </m:r>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涂装颜色集合，索引为</w:t>
            </w:r>
            <w:r>
              <w:rPr>
                <w:rFonts w:ascii="Calibri" w:hAnsi="Calibri" w:eastAsia="Microsoft YaHei"/>
                <w:sz w:val="18"/>
              </w:rPr>
              <w:t xml:space="preserve"> </w:t>
            </w:r>
            <m:oMath>
              <m:r>
                <m:t>c</m:t>
              </m:r>
            </m:oMath>
          </w:p>
        </w:tc>
      </w:tr>
      <w:tr>
        <w:tc>
          <w:tcPr>
            <w:tcW w:w="2100" w:type="dxa"/>
            <w:tcMar>
              <w:top w:w="80" w:type="dxa"/>
              <w:bottom w:w="80" w:type="dxa"/>
              <w:start w:w="120" w:type="dxa"/>
              <w:end w:w="120" w:type="dxa"/>
            </w:tcMar>
            <w:vAlign w:val="center"/>
          </w:tcPr>
          <w:p>
            <w:pPr>
              <w:pStyle w:val="Compact"/>
              <w:spacing w:after="40"/>
              <w:jc w:val="left"/>
            </w:pPr>
            <m:oMath>
              <m:r>
                <m:t>K</m:t>
              </m:r>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全部比例约束集合，索引为</w:t>
            </w:r>
            <w:r>
              <w:rPr>
                <w:rFonts w:ascii="Calibri" w:hAnsi="Calibri" w:eastAsia="Microsoft YaHei"/>
                <w:sz w:val="18"/>
              </w:rPr>
              <w:t xml:space="preserve"> </w:t>
            </w:r>
            <m:oMath>
              <m:r>
                <m:t>k</m:t>
              </m:r>
            </m:oMath>
          </w:p>
        </w:tc>
      </w:tr>
      <w:tr>
        <w:tc>
          <w:tcPr>
            <w:tcW w:w="2100" w:type="dxa"/>
            <w:tcMar>
              <w:top w:w="80" w:type="dxa"/>
              <w:bottom w:w="80" w:type="dxa"/>
              <w:start w:w="120" w:type="dxa"/>
              <w:end w:w="120" w:type="dxa"/>
            </w:tcMar>
            <w:vAlign w:val="center"/>
          </w:tcPr>
          <w:p>
            <w:pPr>
              <w:pStyle w:val="Compact"/>
              <w:spacing w:after="40"/>
              <w:jc w:val="left"/>
            </w:pPr>
            <m:oMath>
              <m:sSub>
                <m:e>
                  <m:r>
                    <m:t>K</m:t>
                  </m:r>
                </m:e>
                <m:sub>
                  <m:r>
                    <m:t>H</m:t>
                  </m:r>
                </m:sub>
              </m:sSub>
              <m:r>
                <m:t>⊆</m:t>
              </m:r>
              <m:r>
                <m:t>K</m:t>
              </m:r>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高优先级比例约束 HPRC 集合</w:t>
            </w:r>
          </w:p>
        </w:tc>
      </w:tr>
      <w:tr>
        <w:tc>
          <w:tcPr>
            <w:tcW w:w="2100" w:type="dxa"/>
            <w:tcMar>
              <w:top w:w="80" w:type="dxa"/>
              <w:bottom w:w="80" w:type="dxa"/>
              <w:start w:w="120" w:type="dxa"/>
              <w:end w:w="120" w:type="dxa"/>
            </w:tcMar>
            <w:vAlign w:val="center"/>
          </w:tcPr>
          <w:p>
            <w:pPr>
              <w:pStyle w:val="Compact"/>
              <w:spacing w:after="40"/>
              <w:jc w:val="left"/>
            </w:pPr>
            <m:oMath>
              <m:sSub>
                <m:e>
                  <m:r>
                    <m:t>K</m:t>
                  </m:r>
                </m:e>
                <m:sub>
                  <m:r>
                    <m:t>L</m:t>
                  </m:r>
                </m:sub>
              </m:sSub>
              <m:r>
                <m:t>⊆</m:t>
              </m:r>
              <m:r>
                <m:t>K</m:t>
              </m:r>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低优先级比例约束 LPRC 集合</w:t>
            </w:r>
          </w:p>
        </w:tc>
      </w:tr>
      <w:tr>
        <w:tc>
          <w:tcPr>
            <w:tcW w:w="2100" w:type="dxa"/>
            <w:tcMar>
              <w:top w:w="80" w:type="dxa"/>
              <w:bottom w:w="80" w:type="dxa"/>
              <w:start w:w="120" w:type="dxa"/>
              <w:end w:w="120" w:type="dxa"/>
            </w:tcMar>
            <w:vAlign w:val="center"/>
          </w:tcPr>
          <w:p>
            <w:pPr>
              <w:pStyle w:val="Compact"/>
              <w:spacing w:after="40"/>
              <w:jc w:val="left"/>
            </w:pPr>
            <m:oMath>
              <m:sSub>
                <m:e>
                  <m:r>
                    <m:t>S</m:t>
                  </m:r>
                </m:e>
                <m:sub>
                  <m:r>
                    <m:t>k</m:t>
                  </m:r>
                </m:sub>
              </m:sSub>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约束</w:t>
            </w:r>
            <w:r>
              <w:rPr>
                <w:rFonts w:ascii="Calibri" w:hAnsi="Calibri" w:eastAsia="Microsoft YaHei"/>
                <w:sz w:val="18"/>
              </w:rPr>
              <w:t xml:space="preserve"> </w:t>
            </w:r>
            <m:oMath>
              <m:r>
                <m:t>k</m:t>
              </m:r>
            </m:oMath>
            <w:r>
              <w:rPr>
                <w:rFonts w:ascii="Calibri" w:hAnsi="Calibri" w:eastAsia="Microsoft YaHei"/>
                <w:sz w:val="18"/>
              </w:rPr>
              <w:t xml:space="preserve"> </w:t>
            </w:r>
            <w:r>
              <w:rPr>
                <w:rFonts w:ascii="Calibri" w:hAnsi="Calibri" w:eastAsia="Microsoft YaHei"/>
                <w:sz w:val="18"/>
              </w:rPr>
              <w:t xml:space="preserve">需要评估的窗口起点集合，索引为</w:t>
            </w:r>
            <w:r>
              <w:rPr>
                <w:rFonts w:ascii="Calibri" w:hAnsi="Calibri" w:eastAsia="Microsoft YaHei"/>
                <w:sz w:val="18"/>
              </w:rPr>
              <w:t xml:space="preserve"> </w:t>
            </w:r>
            <m:oMath>
              <m:r>
                <m:t>s</m:t>
              </m:r>
            </m:oMath>
          </w:p>
        </w:tc>
      </w:tr>
      <w:tr>
        <w:tc>
          <w:tcPr>
            <w:tcW w:w="2100" w:type="dxa"/>
            <w:tcMar>
              <w:top w:w="80" w:type="dxa"/>
              <w:bottom w:w="80" w:type="dxa"/>
              <w:start w:w="120" w:type="dxa"/>
              <w:end w:w="120" w:type="dxa"/>
            </w:tcMar>
            <w:vAlign w:val="center"/>
          </w:tcPr>
          <w:p>
            <w:pPr>
              <w:pStyle w:val="Compact"/>
              <w:spacing w:after="40"/>
              <w:jc w:val="left"/>
            </w:pPr>
            <m:oMath>
              <m:sSubSup>
                <m:e>
                  <m:r>
                    <m:t>W</m:t>
                  </m:r>
                </m:e>
                <m:sub>
                  <m:r>
                    <m:t>k</m:t>
                  </m:r>
                  <m:r>
                    <m:t>s</m:t>
                  </m:r>
                </m:sub>
                <m:sup>
                  <m:r>
                    <m:t>D</m:t>
                  </m:r>
                </m:sup>
              </m:sSubSup>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约束</w:t>
            </w:r>
            <w:r>
              <w:rPr>
                <w:rFonts w:ascii="Calibri" w:hAnsi="Calibri" w:eastAsia="Microsoft YaHei"/>
                <w:sz w:val="18"/>
              </w:rPr>
              <w:t xml:space="preserve"> </w:t>
            </w:r>
            <m:oMath>
              <m:r>
                <m:t>k</m:t>
              </m:r>
            </m:oMath>
            <w:r>
              <w:rPr>
                <w:rFonts w:ascii="Calibri" w:hAnsi="Calibri" w:eastAsia="Microsoft YaHei"/>
                <w:sz w:val="18"/>
              </w:rPr>
              <w:t xml:space="preserve">、起点</w:t>
            </w:r>
            <w:r>
              <w:rPr>
                <w:rFonts w:ascii="Calibri" w:hAnsi="Calibri" w:eastAsia="Microsoft YaHei"/>
                <w:sz w:val="18"/>
              </w:rPr>
              <w:t xml:space="preserve"> </w:t>
            </w:r>
            <m:oMath>
              <m:r>
                <m:t>s</m:t>
              </m:r>
            </m:oMath>
            <w:r>
              <w:rPr>
                <w:rFonts w:ascii="Calibri" w:hAnsi="Calibri" w:eastAsia="Microsoft YaHei"/>
                <w:sz w:val="18"/>
              </w:rPr>
              <w:t xml:space="preserve"> </w:t>
            </w:r>
            <w:r>
              <w:rPr>
                <w:rFonts w:ascii="Calibri" w:hAnsi="Calibri" w:eastAsia="Microsoft YaHei"/>
                <w:sz w:val="18"/>
              </w:rPr>
              <w:t xml:space="preserve">的窗口与 D 日位置的交集</w:t>
            </w:r>
          </w:p>
        </w:tc>
      </w:tr>
      <w:tr>
        <w:tc>
          <w:tcPr>
            <w:tcW w:w="2100" w:type="dxa"/>
            <w:tcMar>
              <w:top w:w="80" w:type="dxa"/>
              <w:bottom w:w="80" w:type="dxa"/>
              <w:start w:w="120" w:type="dxa"/>
              <w:end w:w="120" w:type="dxa"/>
            </w:tcMar>
            <w:vAlign w:val="center"/>
          </w:tcPr>
          <w:p>
            <w:pPr>
              <w:pStyle w:val="Compact"/>
              <w:spacing w:after="40"/>
              <w:jc w:val="left"/>
            </w:pPr>
            <m:oMath>
              <m:sSub>
                <m:e>
                  <m:r>
                    <m:t>G</m:t>
                  </m:r>
                </m:e>
                <m:sub>
                  <m:r>
                    <m:t>c</m:t>
                  </m:r>
                </m:sub>
              </m:sSub>
              <m:r>
                <m:t>⊆</m:t>
              </m:r>
              <m:r>
                <m:t>G</m:t>
              </m:r>
            </m:oMath>
          </w:p>
        </w:tc>
        <w:tc>
          <w:tcPr>
            <w:tcW w:w="72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颜色为</w:t>
            </w:r>
            <w:r>
              <w:rPr>
                <w:rFonts w:ascii="Calibri" w:hAnsi="Calibri" w:eastAsia="Microsoft YaHei"/>
                <w:sz w:val="18"/>
              </w:rPr>
              <w:t xml:space="preserve"> </w:t>
            </w:r>
            <m:oMath>
              <m:r>
                <m:t>c</m:t>
              </m:r>
            </m:oMath>
            <w:r>
              <w:rPr>
                <w:rFonts w:ascii="Calibri" w:hAnsi="Calibri" w:eastAsia="Microsoft YaHei"/>
                <w:sz w:val="18"/>
              </w:rPr>
              <w:t xml:space="preserve"> </w:t>
            </w:r>
            <w:r>
              <w:rPr>
                <w:rFonts w:ascii="Calibri" w:hAnsi="Calibri" w:eastAsia="Microsoft YaHei"/>
                <w:sz w:val="18"/>
              </w:rPr>
              <w:t xml:space="preserve">的车辆类型集合</w:t>
            </w:r>
          </w:p>
        </w:tc>
      </w:tr>
    </w:tbl>
    <w:p>
      <w:pPr>
        <w:pStyle w:val="BodyText"/>
        <w:widowControl/>
      </w:pPr>
      <w:r>
        <w:t xml:space="preserve">位置统一使用 0 基坐标：D 日第一辆车的位置为 0，D-1 中用于跨日计算的位置为负数。</w:t>
      </w:r>
    </w:p>
    <w:p>
      <w:pPr>
        <w:pStyle w:val="Heading3"/>
        <w:widowControl/>
      </w:pPr>
      <w:bookmarkStart w:id="26" w:name="已知参数"/>
      <w:bookmarkEnd w:id="26"/>
      <w:r>
        <w:t xml:space="preserve">3.2 已知参数</w:t>
      </w:r>
    </w:p>
    <w:tbl>
      <w:tblPr>
        <w:tblStyle w:val="TableNormal"/>
        <w:tblW w:type="dxa" w:w="9360"/>
        <w:tblLayout w:type="fixed"/>
        <w:tblLook w:firstRow="1"/>
        <w:jc w:val="left"/>
        <w:tblInd w:w="120" w:type="dxa"/>
        <w:tblInd w:w="120" w:type="dxa"/>
      </w:tblPr>
      <w:tblGrid>
        <w:gridCol w:w="1500"/>
        <w:gridCol w:w="1300"/>
        <w:gridCol w:w="6560"/>
      </w:tblGrid>
      <w:tr>
        <w:trPr>
          <w:cnfStyle w:firstRow="1"/>
        </w:trPr>
        <w:tc>
          <w:tcPr>
            <w:tcBorders>
              <w:bottom w:val="single"/>
            </w:tcBorders>
            <w:vAlign w:val="center"/>
            <w:tcW w:w="1500" w:type="dxa"/>
            <w:tcMar>
              <w:top w:w="80" w:type="dxa"/>
              <w:bottom w:w="80" w:type="dxa"/>
              <w:start w:w="120" w:type="dxa"/>
              <w:end w:w="120" w:type="dxa"/>
            </w:tcMar>
            <w:shd w:fill="E8EEF5"/>
            <w:shd w:fill="E8EEF5"/>
          </w:tcPr>
          <w:p>
            <w:pPr>
              <w:pStyle w:val="Compact"/>
              <w:spacing w:after="40"/>
              <w:jc w:val="left"/>
            </w:pPr>
            <w:r>
              <w:rPr>
                <w:rFonts w:ascii="Calibri" w:hAnsi="Calibri" w:eastAsia="Microsoft YaHei"/>
                <w:b/>
                <w:sz w:val="18"/>
              </w:rPr>
              <w:t xml:space="preserve">符号</w:t>
            </w:r>
          </w:p>
        </w:tc>
        <w:tc>
          <w:tcPr>
            <w:tcBorders>
              <w:bottom w:val="single"/>
            </w:tcBorders>
            <w:vAlign w:val="center"/>
            <w:tcW w:w="1300" w:type="dxa"/>
            <w:tcMar>
              <w:top w:w="80" w:type="dxa"/>
              <w:bottom w:w="80" w:type="dxa"/>
              <w:start w:w="120" w:type="dxa"/>
              <w:end w:w="120" w:type="dxa"/>
            </w:tcMar>
            <w:shd w:fill="E8EEF5"/>
            <w:shd w:fill="E8EEF5"/>
          </w:tcPr>
          <w:p>
            <w:pPr>
              <w:pStyle w:val="Compact"/>
              <w:spacing w:after="40"/>
              <w:jc w:val="left"/>
            </w:pPr>
            <w:r>
              <w:rPr>
                <w:rFonts w:ascii="Calibri" w:hAnsi="Calibri" w:eastAsia="Microsoft YaHei"/>
                <w:b/>
                <w:sz w:val="18"/>
              </w:rPr>
              <w:t xml:space="preserve">类型</w:t>
            </w:r>
          </w:p>
        </w:tc>
        <w:tc>
          <w:tcPr>
            <w:tcBorders>
              <w:bottom w:val="single"/>
            </w:tcBorders>
            <w:vAlign w:val="center"/>
            <w:tcW w:w="6560" w:type="dxa"/>
            <w:tcMar>
              <w:top w:w="80" w:type="dxa"/>
              <w:bottom w:w="80" w:type="dxa"/>
              <w:start w:w="120" w:type="dxa"/>
              <w:end w:w="120" w:type="dxa"/>
            </w:tcMar>
            <w:shd w:fill="E8EEF5"/>
            <w:shd w:fill="E8EEF5"/>
          </w:tcPr>
          <w:p>
            <w:pPr>
              <w:pStyle w:val="Compact"/>
              <w:spacing w:after="40"/>
              <w:jc w:val="left"/>
            </w:pPr>
            <w:r>
              <w:rPr>
                <w:rFonts w:ascii="Calibri" w:hAnsi="Calibri" w:eastAsia="Microsoft YaHei"/>
                <w:b/>
                <w:sz w:val="18"/>
              </w:rPr>
              <w:t xml:space="preserve">含义</w:t>
            </w:r>
          </w:p>
        </w:tc>
      </w:tr>
      <w:tr>
        <w:tc>
          <w:tcPr>
            <w:tcW w:w="1500" w:type="dxa"/>
            <w:tcMar>
              <w:top w:w="80" w:type="dxa"/>
              <w:bottom w:w="80" w:type="dxa"/>
              <w:start w:w="120" w:type="dxa"/>
              <w:end w:w="120" w:type="dxa"/>
            </w:tcMar>
            <w:vAlign w:val="center"/>
          </w:tcPr>
          <w:p>
            <w:pPr>
              <w:pStyle w:val="Compact"/>
              <w:spacing w:after="40"/>
              <w:jc w:val="left"/>
            </w:pPr>
            <m:oMath>
              <m:r>
                <m:t>n</m:t>
              </m:r>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正整数</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D 日车辆总数</w:t>
            </w:r>
          </w:p>
        </w:tc>
      </w:tr>
      <w:tr>
        <w:tc>
          <w:tcPr>
            <w:tcW w:w="1500" w:type="dxa"/>
            <w:tcMar>
              <w:top w:w="80" w:type="dxa"/>
              <w:bottom w:w="80" w:type="dxa"/>
              <w:start w:w="120" w:type="dxa"/>
              <w:end w:w="120" w:type="dxa"/>
            </w:tcMar>
            <w:vAlign w:val="center"/>
          </w:tcPr>
          <w:p>
            <w:pPr>
              <w:pStyle w:val="Compact"/>
              <w:spacing w:after="40"/>
              <w:jc w:val="left"/>
            </w:pPr>
            <m:oMath>
              <m:r>
                <m:t>m</m:t>
              </m:r>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非负整数</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可用的 D-1 车辆数量</w:t>
            </w:r>
          </w:p>
        </w:tc>
      </w:tr>
      <w:tr>
        <w:tc>
          <w:tcPr>
            <w:tcW w:w="1500" w:type="dxa"/>
            <w:tcMar>
              <w:top w:w="80" w:type="dxa"/>
              <w:bottom w:w="80" w:type="dxa"/>
              <w:start w:w="120" w:type="dxa"/>
              <w:end w:w="120" w:type="dxa"/>
            </w:tcMar>
            <w:vAlign w:val="center"/>
          </w:tcPr>
          <w:p>
            <w:pPr>
              <w:pStyle w:val="Compact"/>
              <w:spacing w:after="40"/>
              <w:jc w:val="left"/>
            </w:pPr>
            <m:oMath>
              <m:sSub>
                <m:e>
                  <m:r>
                    <m:t>n</m:t>
                  </m:r>
                </m:e>
                <m:sub>
                  <m:r>
                    <m:t>g</m:t>
                  </m:r>
                </m:sub>
              </m:sSub>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正整数</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D 日车辆类型</w:t>
            </w:r>
            <w:r>
              <w:rPr>
                <w:rFonts w:ascii="Calibri" w:hAnsi="Calibri" w:eastAsia="Microsoft YaHei"/>
                <w:sz w:val="18"/>
              </w:rPr>
              <w:t xml:space="preserve"> </w:t>
            </w:r>
            <m:oMath>
              <m:r>
                <m:t>g</m:t>
              </m:r>
            </m:oMath>
            <w:r>
              <w:rPr>
                <w:rFonts w:ascii="Calibri" w:hAnsi="Calibri" w:eastAsia="Microsoft YaHei"/>
                <w:sz w:val="18"/>
              </w:rPr>
              <w:t xml:space="preserve"> </w:t>
            </w:r>
            <w:r>
              <w:rPr>
                <w:rFonts w:ascii="Calibri" w:hAnsi="Calibri" w:eastAsia="Microsoft YaHei"/>
                <w:sz w:val="18"/>
              </w:rPr>
              <w:t xml:space="preserve">的车辆数量</w:t>
            </w:r>
          </w:p>
        </w:tc>
      </w:tr>
      <w:tr>
        <w:tc>
          <w:tcPr>
            <w:tcW w:w="1500" w:type="dxa"/>
            <w:tcMar>
              <w:top w:w="80" w:type="dxa"/>
              <w:bottom w:w="80" w:type="dxa"/>
              <w:start w:w="120" w:type="dxa"/>
              <w:end w:w="120" w:type="dxa"/>
            </w:tcMar>
            <w:vAlign w:val="center"/>
          </w:tcPr>
          <w:p>
            <w:pPr>
              <w:pStyle w:val="Compact"/>
              <w:spacing w:after="40"/>
              <w:jc w:val="left"/>
            </w:pPr>
            <m:oMath>
              <m:r>
                <m:t>c</m:t>
              </m:r>
              <m:r>
                <m:t>o</m:t>
              </m:r>
              <m:r>
                <m:t>l</m:t>
              </m:r>
              <m:r>
                <m:t>o</m:t>
              </m:r>
              <m:sSub>
                <m:e>
                  <m:r>
                    <m:t>r</m:t>
                  </m:r>
                </m:e>
                <m:sub>
                  <m:r>
                    <m:t>g</m:t>
                  </m:r>
                </m:sub>
              </m:sSub>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类别</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类型</w:t>
            </w:r>
            <w:r>
              <w:rPr>
                <w:rFonts w:ascii="Calibri" w:hAnsi="Calibri" w:eastAsia="Microsoft YaHei"/>
                <w:sz w:val="18"/>
              </w:rPr>
              <w:t xml:space="preserve"> </w:t>
            </w:r>
            <m:oMath>
              <m:r>
                <m:t>g</m:t>
              </m:r>
            </m:oMath>
            <w:r>
              <w:rPr>
                <w:rFonts w:ascii="Calibri" w:hAnsi="Calibri" w:eastAsia="Microsoft YaHei"/>
                <w:sz w:val="18"/>
              </w:rPr>
              <w:t xml:space="preserve"> </w:t>
            </w:r>
            <w:r>
              <w:rPr>
                <w:rFonts w:ascii="Calibri" w:hAnsi="Calibri" w:eastAsia="Microsoft YaHei"/>
                <w:sz w:val="18"/>
              </w:rPr>
              <w:t xml:space="preserve">的涂装颜色</w:t>
            </w:r>
          </w:p>
        </w:tc>
      </w:tr>
      <w:tr>
        <w:tc>
          <w:tcPr>
            <w:tcW w:w="1500" w:type="dxa"/>
            <w:tcMar>
              <w:top w:w="80" w:type="dxa"/>
              <w:bottom w:w="80" w:type="dxa"/>
              <w:start w:w="120" w:type="dxa"/>
              <w:end w:w="120" w:type="dxa"/>
            </w:tcMar>
            <w:vAlign w:val="center"/>
          </w:tcPr>
          <w:p>
            <w:pPr>
              <w:pStyle w:val="Compact"/>
              <w:spacing w:after="40"/>
              <w:jc w:val="left"/>
            </w:pPr>
            <m:oMath>
              <m:sSub>
                <m:e>
                  <m:r>
                    <m:t>q</m:t>
                  </m:r>
                </m:e>
                <m:sub>
                  <m:r>
                    <m:t>k</m:t>
                  </m:r>
                  <m:r>
                    <m:t>g</m:t>
                  </m:r>
                </m:sub>
              </m:sSub>
            </m:oMath>
          </w:p>
        </w:tc>
        <w:tc>
          <w:tcPr>
            <w:tcW w:w="1300" w:type="dxa"/>
            <w:tcMar>
              <w:top w:w="80" w:type="dxa"/>
              <w:bottom w:w="80" w:type="dxa"/>
              <w:start w:w="120" w:type="dxa"/>
              <w:end w:w="120" w:type="dxa"/>
            </w:tcMar>
            <w:vAlign w:val="center"/>
          </w:tcPr>
          <w:p>
            <w:pPr>
              <w:pStyle w:val="Compact"/>
              <w:spacing w:after="40"/>
              <w:jc w:val="left"/>
            </w:pPr>
            <m:oMath>
              <m:r>
                <m:t>{</m:t>
              </m:r>
              <m:r>
                <m:t>0</m:t>
              </m:r>
              <m:r>
                <m:t>,</m:t>
              </m:r>
              <m:r>
                <m:t>1</m:t>
              </m:r>
              <m:r>
                <m:t>}</m:t>
              </m:r>
            </m:oMath>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类型</w:t>
            </w:r>
            <w:r>
              <w:rPr>
                <w:rFonts w:ascii="Calibri" w:hAnsi="Calibri" w:eastAsia="Microsoft YaHei"/>
                <w:sz w:val="18"/>
              </w:rPr>
              <w:t xml:space="preserve"> </w:t>
            </w:r>
            <m:oMath>
              <m:r>
                <m:t>g</m:t>
              </m:r>
            </m:oMath>
            <w:r>
              <w:rPr>
                <w:rFonts w:ascii="Calibri" w:hAnsi="Calibri" w:eastAsia="Microsoft YaHei"/>
                <w:sz w:val="18"/>
              </w:rPr>
              <w:t xml:space="preserve"> </w:t>
            </w:r>
            <w:r>
              <w:rPr>
                <w:rFonts w:ascii="Calibri" w:hAnsi="Calibri" w:eastAsia="Microsoft YaHei"/>
                <w:sz w:val="18"/>
              </w:rPr>
              <w:t xml:space="preserve">是否具有约束</w:t>
            </w:r>
            <w:r>
              <w:rPr>
                <w:rFonts w:ascii="Calibri" w:hAnsi="Calibri" w:eastAsia="Microsoft YaHei"/>
                <w:sz w:val="18"/>
              </w:rPr>
              <w:t xml:space="preserve"> </w:t>
            </w:r>
            <m:oMath>
              <m:r>
                <m:t>k</m:t>
              </m:r>
            </m:oMath>
            <w:r>
              <w:rPr>
                <w:rFonts w:ascii="Calibri" w:hAnsi="Calibri" w:eastAsia="Microsoft YaHei"/>
                <w:sz w:val="18"/>
              </w:rPr>
              <w:t xml:space="preserve"> </w:t>
            </w:r>
            <w:r>
              <w:rPr>
                <w:rFonts w:ascii="Calibri" w:hAnsi="Calibri" w:eastAsia="Microsoft YaHei"/>
                <w:sz w:val="18"/>
              </w:rPr>
              <w:t xml:space="preserve">对应的选装件</w:t>
            </w:r>
          </w:p>
        </w:tc>
      </w:tr>
      <w:tr>
        <w:tc>
          <w:tcPr>
            <w:tcW w:w="1500" w:type="dxa"/>
            <w:tcMar>
              <w:top w:w="80" w:type="dxa"/>
              <w:bottom w:w="80" w:type="dxa"/>
              <w:start w:w="120" w:type="dxa"/>
              <w:end w:w="120" w:type="dxa"/>
            </w:tcMar>
            <w:vAlign w:val="center"/>
          </w:tcPr>
          <w:p>
            <w:pPr>
              <w:pStyle w:val="Compact"/>
              <w:spacing w:after="40"/>
              <w:jc w:val="left"/>
            </w:pPr>
            <m:oMath>
              <m:sSub>
                <m:e>
                  <m:r>
                    <m:t>N</m:t>
                  </m:r>
                </m:e>
                <m:sub>
                  <m:r>
                    <m:t>k</m:t>
                  </m:r>
                </m:sub>
              </m:sSub>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非负整数</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约束</w:t>
            </w:r>
            <w:r>
              <w:rPr>
                <w:rFonts w:ascii="Calibri" w:hAnsi="Calibri" w:eastAsia="Microsoft YaHei"/>
                <w:sz w:val="18"/>
              </w:rPr>
              <w:t xml:space="preserve"> </w:t>
            </w:r>
            <m:oMath>
              <m:r>
                <m:t>k</m:t>
              </m:r>
            </m:oMath>
            <w:r>
              <w:rPr>
                <w:rFonts w:ascii="Calibri" w:hAnsi="Calibri" w:eastAsia="Microsoft YaHei"/>
                <w:sz w:val="18"/>
              </w:rPr>
              <w:t xml:space="preserve"> </w:t>
            </w:r>
            <w:r>
              <w:rPr>
                <w:rFonts w:ascii="Calibri" w:hAnsi="Calibri" w:eastAsia="Microsoft YaHei"/>
                <w:sz w:val="18"/>
              </w:rPr>
              <w:t xml:space="preserve">在一个窗口中允许的最大相关车辆数</w:t>
            </w:r>
          </w:p>
        </w:tc>
      </w:tr>
      <w:tr>
        <w:tc>
          <w:tcPr>
            <w:tcW w:w="1500" w:type="dxa"/>
            <w:tcMar>
              <w:top w:w="80" w:type="dxa"/>
              <w:bottom w:w="80" w:type="dxa"/>
              <w:start w:w="120" w:type="dxa"/>
              <w:end w:w="120" w:type="dxa"/>
            </w:tcMar>
            <w:vAlign w:val="center"/>
          </w:tcPr>
          <w:p>
            <w:pPr>
              <w:pStyle w:val="Compact"/>
              <w:spacing w:after="40"/>
              <w:jc w:val="left"/>
            </w:pPr>
            <m:oMath>
              <m:sSub>
                <m:e>
                  <m:r>
                    <m:t>P</m:t>
                  </m:r>
                </m:e>
                <m:sub>
                  <m:r>
                    <m:t>k</m:t>
                  </m:r>
                </m:sub>
              </m:sSub>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正整数</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约束</w:t>
            </w:r>
            <w:r>
              <w:rPr>
                <w:rFonts w:ascii="Calibri" w:hAnsi="Calibri" w:eastAsia="Microsoft YaHei"/>
                <w:sz w:val="18"/>
              </w:rPr>
              <w:t xml:space="preserve"> </w:t>
            </w:r>
            <m:oMath>
              <m:r>
                <m:t>k</m:t>
              </m:r>
            </m:oMath>
            <w:r>
              <w:rPr>
                <w:rFonts w:ascii="Calibri" w:hAnsi="Calibri" w:eastAsia="Microsoft YaHei"/>
                <w:sz w:val="18"/>
              </w:rPr>
              <w:t xml:space="preserve"> </w:t>
            </w:r>
            <w:r>
              <w:rPr>
                <w:rFonts w:ascii="Calibri" w:hAnsi="Calibri" w:eastAsia="Microsoft YaHei"/>
                <w:sz w:val="18"/>
              </w:rPr>
              <w:t xml:space="preserve">的标准窗口长度</w:t>
            </w:r>
          </w:p>
        </w:tc>
      </w:tr>
      <w:tr>
        <w:tc>
          <w:tcPr>
            <w:tcW w:w="1500" w:type="dxa"/>
            <w:tcMar>
              <w:top w:w="80" w:type="dxa"/>
              <w:bottom w:w="80" w:type="dxa"/>
              <w:start w:w="120" w:type="dxa"/>
              <w:end w:w="120" w:type="dxa"/>
            </w:tcMar>
            <w:vAlign w:val="center"/>
          </w:tcPr>
          <w:p>
            <w:pPr>
              <w:pStyle w:val="Compact"/>
              <w:spacing w:after="40"/>
              <w:jc w:val="left"/>
            </w:pPr>
            <m:oMath>
              <m:sSub>
                <m:e>
                  <m:r>
                    <m:t>b</m:t>
                  </m:r>
                </m:e>
                <m:sub>
                  <m:r>
                    <m:t>k</m:t>
                  </m:r>
                  <m:r>
                    <m:t>s</m:t>
                  </m:r>
                </m:sub>
              </m:sSub>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非负整数</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窗口</w:t>
            </w:r>
            <w:r>
              <w:rPr>
                <w:rFonts w:ascii="Calibri" w:hAnsi="Calibri" w:eastAsia="Microsoft YaHei"/>
                <w:sz w:val="18"/>
              </w:rPr>
              <w:t xml:space="preserve"> </w:t>
            </w:r>
            <m:oMath>
              <m:r>
                <m:t>(</m:t>
              </m:r>
              <m:r>
                <m:t>k</m:t>
              </m:r>
              <m:r>
                <m:t>,</m:t>
              </m:r>
              <m:r>
                <m:t>s</m:t>
              </m:r>
              <m:r>
                <m:t>)</m:t>
              </m:r>
            </m:oMath>
            <w:r>
              <w:rPr>
                <w:rFonts w:ascii="Calibri" w:hAnsi="Calibri" w:eastAsia="Microsoft YaHei"/>
                <w:sz w:val="18"/>
              </w:rPr>
              <w:t xml:space="preserve"> </w:t>
            </w:r>
            <w:r>
              <w:rPr>
                <w:rFonts w:ascii="Calibri" w:hAnsi="Calibri" w:eastAsia="Microsoft YaHei"/>
                <w:sz w:val="18"/>
              </w:rPr>
              <w:t xml:space="preserve">中来自固定 D-1 序列的相关车辆数</w:t>
            </w:r>
          </w:p>
        </w:tc>
      </w:tr>
      <w:tr>
        <w:tc>
          <w:tcPr>
            <w:tcW w:w="1500" w:type="dxa"/>
            <w:tcMar>
              <w:top w:w="80" w:type="dxa"/>
              <w:bottom w:w="80" w:type="dxa"/>
              <w:start w:w="120" w:type="dxa"/>
              <w:end w:w="120" w:type="dxa"/>
            </w:tcMar>
            <w:vAlign w:val="center"/>
          </w:tcPr>
          <w:p>
            <w:pPr>
              <w:pStyle w:val="Compact"/>
              <w:spacing w:after="40"/>
              <w:jc w:val="left"/>
            </w:pPr>
            <m:oMath>
              <m:r>
                <m:t>L</m:t>
              </m:r>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正整数</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最大连续同色批次长度</w:t>
            </w:r>
            <w:r>
              <w:rPr>
                <w:rFonts w:ascii="Calibri" w:hAnsi="Calibri" w:eastAsia="Microsoft YaHei"/>
                <w:sz w:val="18"/>
              </w:rPr>
              <w:t xml:space="preserve"> </w:t>
            </w:r>
            <w:r>
              <w:rPr>
                <w:rStyle w:val="VerbatimChar"/>
                <w:rFonts w:ascii="Calibri" w:hAnsi="Calibri" w:eastAsia="Microsoft YaHei"/>
                <w:sz w:val="18"/>
              </w:rPr>
              <w:t xml:space="preserve">paint_batch_limit</w:t>
            </w:r>
          </w:p>
        </w:tc>
      </w:tr>
      <w:tr>
        <w:tc>
          <w:tcPr>
            <w:tcW w:w="1500" w:type="dxa"/>
            <w:tcMar>
              <w:top w:w="80" w:type="dxa"/>
              <w:bottom w:w="80" w:type="dxa"/>
              <w:start w:w="120" w:type="dxa"/>
              <w:end w:w="120" w:type="dxa"/>
            </w:tcMar>
            <w:vAlign w:val="center"/>
          </w:tcPr>
          <w:p>
            <w:pPr>
              <w:pStyle w:val="Compact"/>
              <w:spacing w:after="40"/>
              <w:jc w:val="left"/>
            </w:pPr>
            <m:oMath>
              <m:sSup>
                <m:e>
                  <m:r>
                    <m:t>c</m:t>
                  </m:r>
                </m:e>
                <m:sup>
                  <m:r>
                    <m:t>p</m:t>
                  </m:r>
                  <m:r>
                    <m:t>r</m:t>
                  </m:r>
                  <m:r>
                    <m:t>e</m:t>
                  </m:r>
                  <m:r>
                    <m:t>v</m:t>
                  </m:r>
                </m:sup>
              </m:sSup>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类别</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D-1 最后一辆车的颜色</w:t>
            </w:r>
          </w:p>
        </w:tc>
      </w:tr>
      <w:tr>
        <w:tc>
          <w:tcPr>
            <w:tcW w:w="1500" w:type="dxa"/>
            <w:tcMar>
              <w:top w:w="80" w:type="dxa"/>
              <w:bottom w:w="80" w:type="dxa"/>
              <w:start w:w="120" w:type="dxa"/>
              <w:end w:w="120" w:type="dxa"/>
            </w:tcMar>
            <w:vAlign w:val="center"/>
          </w:tcPr>
          <w:p>
            <w:pPr>
              <w:pStyle w:val="Compact"/>
              <w:spacing w:after="40"/>
              <w:jc w:val="left"/>
            </w:pPr>
            <m:oMath>
              <m:sSub>
                <m:e>
                  <m:r>
                    <m:t>r</m:t>
                  </m:r>
                </m:e>
                <m:sub>
                  <m:r>
                    <m:t>j</m:t>
                  </m:r>
                </m:sub>
              </m:sSub>
            </m:oMath>
          </w:p>
        </w:tc>
        <w:tc>
          <w:tcPr>
            <w:tcW w:w="130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正整数</w:t>
            </w:r>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第</w:t>
            </w:r>
            <w:r>
              <w:rPr>
                <w:rFonts w:ascii="Calibri" w:hAnsi="Calibri" w:eastAsia="Microsoft YaHei"/>
                <w:sz w:val="18"/>
              </w:rPr>
              <w:t xml:space="preserve"> </w:t>
            </w:r>
            <m:oMath>
              <m:r>
                <m:t>j</m:t>
              </m:r>
            </m:oMath>
            <w:r>
              <w:rPr>
                <w:rFonts w:ascii="Calibri" w:hAnsi="Calibri" w:eastAsia="Microsoft YaHei"/>
                <w:sz w:val="18"/>
              </w:rPr>
              <w:t xml:space="preserve"> </w:t>
            </w:r>
            <w:r>
              <w:rPr>
                <w:rFonts w:ascii="Calibri" w:hAnsi="Calibri" w:eastAsia="Microsoft YaHei"/>
                <w:sz w:val="18"/>
              </w:rPr>
              <w:t xml:space="preserve">优先目标的 Checker 权重</w:t>
            </w:r>
          </w:p>
        </w:tc>
      </w:tr>
    </w:tbl>
    <w:p>
      <w:pPr>
        <w:pStyle w:val="BodyText"/>
        <w:widowControl/>
        <w:spacing w:before="100" w:after="140"/>
        <w:jc w:val="left"/>
      </w:pPr>
      <w:r>
        <w:t xml:space="preserve">其中一条比例约束写作</w:t>
      </w:r>
      <w:r>
        <w:t xml:space="preserve"> </w:t>
      </w:r>
      <m:oMath>
        <m:sSub>
          <m:e>
            <m:r>
              <m:t>N</m:t>
            </m:r>
          </m:e>
          <m:sub>
            <m:r>
              <m:t>k</m:t>
            </m:r>
          </m:sub>
        </m:sSub>
        <m:r>
          <m:t>/</m:t>
        </m:r>
        <m:sSub>
          <m:e>
            <m:r>
              <m:t>P</m:t>
            </m:r>
          </m:e>
          <m:sub>
            <m:r>
              <m:t>k</m:t>
            </m:r>
          </m:sub>
        </m:sSub>
      </m:oMath>
      <w:r>
        <w:t xml:space="preserve">，含义是相关窗口中最多允许</w:t>
      </w:r>
      <w:r>
        <w:t xml:space="preserve"> </w:t>
      </w:r>
      <m:oMath>
        <m:sSub>
          <m:e>
            <m:r>
              <m:t>N</m:t>
            </m:r>
          </m:e>
          <m:sub>
            <m:r>
              <m:t>k</m:t>
            </m:r>
          </m:sub>
        </m:sSub>
      </m:oMath>
      <w:r>
        <w:t xml:space="preserve"> </w:t>
      </w:r>
      <w:r>
        <w:t xml:space="preserve">辆具有选装件</w:t>
      </w:r>
      <w:r>
        <w:t xml:space="preserve"> </w:t>
      </w:r>
      <m:oMath>
        <m:r>
          <m:t>k</m:t>
        </m:r>
      </m:oMath>
      <w:r>
        <w:t xml:space="preserve"> </w:t>
      </w:r>
      <w:r>
        <w:t xml:space="preserve">的车辆。</w:t>
      </w:r>
    </w:p>
    <w:p>
      <w:pPr>
        <w:pStyle w:val="Heading3"/>
        <w:widowControl/>
      </w:pPr>
      <w:bookmarkStart w:id="27" w:name="决策变量与辅助量"/>
      <w:bookmarkEnd w:id="27"/>
      <w:r>
        <w:t xml:space="preserve">3.3 决策变量与辅助量</w:t>
      </w:r>
    </w:p>
    <w:tbl>
      <w:tblPr>
        <w:tblStyle w:val="TableNormal"/>
        <w:tblW w:type="dxa" w:w="9360"/>
        <w:tblLayout w:type="fixed"/>
        <w:tblLook w:firstRow="1"/>
        <w:jc w:val="left"/>
        <w:tblInd w:w="120" w:type="dxa"/>
        <w:tblInd w:w="120" w:type="dxa"/>
      </w:tblPr>
      <w:tblGrid>
        <w:gridCol w:w="1500"/>
        <w:gridCol w:w="1300"/>
        <w:gridCol w:w="6560"/>
      </w:tblGrid>
      <w:tr>
        <w:trPr>
          <w:cnfStyle w:firstRow="1"/>
        </w:trPr>
        <w:tc>
          <w:tcPr>
            <w:tcBorders>
              <w:bottom w:val="single"/>
            </w:tcBorders>
            <w:vAlign w:val="center"/>
            <w:tcW w:w="1500" w:type="dxa"/>
            <w:tcMar>
              <w:top w:w="80" w:type="dxa"/>
              <w:bottom w:w="80" w:type="dxa"/>
              <w:start w:w="120" w:type="dxa"/>
              <w:end w:w="120" w:type="dxa"/>
            </w:tcMar>
            <w:shd w:fill="E8EEF5"/>
            <w:shd w:fill="E8EEF5"/>
          </w:tcPr>
          <w:p>
            <w:pPr>
              <w:pStyle w:val="Compact"/>
              <w:spacing w:after="40"/>
              <w:jc w:val="left"/>
            </w:pPr>
            <w:r>
              <w:rPr>
                <w:rFonts w:ascii="Calibri" w:hAnsi="Calibri" w:eastAsia="Microsoft YaHei"/>
                <w:b/>
                <w:sz w:val="18"/>
              </w:rPr>
              <w:t xml:space="preserve">符号</w:t>
            </w:r>
          </w:p>
        </w:tc>
        <w:tc>
          <w:tcPr>
            <w:tcBorders>
              <w:bottom w:val="single"/>
            </w:tcBorders>
            <w:vAlign w:val="center"/>
            <w:tcW w:w="1300" w:type="dxa"/>
            <w:tcMar>
              <w:top w:w="80" w:type="dxa"/>
              <w:bottom w:w="80" w:type="dxa"/>
              <w:start w:w="120" w:type="dxa"/>
              <w:end w:w="120" w:type="dxa"/>
            </w:tcMar>
            <w:shd w:fill="E8EEF5"/>
            <w:shd w:fill="E8EEF5"/>
          </w:tcPr>
          <w:p>
            <w:pPr>
              <w:pStyle w:val="Compact"/>
              <w:spacing w:after="40"/>
              <w:jc w:val="left"/>
            </w:pPr>
            <w:r>
              <w:rPr>
                <w:rFonts w:ascii="Calibri" w:hAnsi="Calibri" w:eastAsia="Microsoft YaHei"/>
                <w:b/>
                <w:sz w:val="18"/>
              </w:rPr>
              <w:t xml:space="preserve">取值范围</w:t>
            </w:r>
          </w:p>
        </w:tc>
        <w:tc>
          <w:tcPr>
            <w:tcBorders>
              <w:bottom w:val="single"/>
            </w:tcBorders>
            <w:vAlign w:val="center"/>
            <w:tcW w:w="6560" w:type="dxa"/>
            <w:tcMar>
              <w:top w:w="80" w:type="dxa"/>
              <w:bottom w:w="80" w:type="dxa"/>
              <w:start w:w="120" w:type="dxa"/>
              <w:end w:w="120" w:type="dxa"/>
            </w:tcMar>
            <w:shd w:fill="E8EEF5"/>
            <w:shd w:fill="E8EEF5"/>
          </w:tcPr>
          <w:p>
            <w:pPr>
              <w:pStyle w:val="Compact"/>
              <w:spacing w:after="40"/>
              <w:jc w:val="left"/>
            </w:pPr>
            <w:r>
              <w:rPr>
                <w:rFonts w:ascii="Calibri" w:hAnsi="Calibri" w:eastAsia="Microsoft YaHei"/>
                <w:b/>
                <w:sz w:val="18"/>
              </w:rPr>
              <w:t xml:space="preserve">含义</w:t>
            </w:r>
          </w:p>
        </w:tc>
      </w:tr>
      <w:tr>
        <w:tc>
          <w:tcPr>
            <w:tcW w:w="1500" w:type="dxa"/>
            <w:tcMar>
              <w:top w:w="80" w:type="dxa"/>
              <w:bottom w:w="80" w:type="dxa"/>
              <w:start w:w="120" w:type="dxa"/>
              <w:end w:w="120" w:type="dxa"/>
            </w:tcMar>
            <w:vAlign w:val="center"/>
          </w:tcPr>
          <w:p>
            <w:pPr>
              <w:pStyle w:val="Compact"/>
              <w:spacing w:after="40"/>
              <w:jc w:val="left"/>
            </w:pPr>
            <m:oMath>
              <m:sSub>
                <m:e>
                  <m:r>
                    <m:t>x</m:t>
                  </m:r>
                </m:e>
                <m:sub>
                  <m:r>
                    <m:t>g</m:t>
                  </m:r>
                  <m:r>
                    <m:t>t</m:t>
                  </m:r>
                </m:sub>
              </m:sSub>
            </m:oMath>
          </w:p>
        </w:tc>
        <w:tc>
          <w:tcPr>
            <w:tcW w:w="1300" w:type="dxa"/>
            <w:tcMar>
              <w:top w:w="80" w:type="dxa"/>
              <w:bottom w:w="80" w:type="dxa"/>
              <w:start w:w="120" w:type="dxa"/>
              <w:end w:w="120" w:type="dxa"/>
            </w:tcMar>
            <w:vAlign w:val="center"/>
          </w:tcPr>
          <w:p>
            <w:pPr>
              <w:pStyle w:val="Compact"/>
              <w:spacing w:after="40"/>
              <w:jc w:val="left"/>
            </w:pPr>
            <m:oMath>
              <m:r>
                <m:t>{</m:t>
              </m:r>
              <m:r>
                <m:t>0</m:t>
              </m:r>
              <m:r>
                <m:t>,</m:t>
              </m:r>
              <m:r>
                <m:t>1</m:t>
              </m:r>
              <m:r>
                <m:t>}</m:t>
              </m:r>
            </m:oMath>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位置</w:t>
            </w:r>
            <w:r>
              <w:rPr>
                <w:rFonts w:ascii="Calibri" w:hAnsi="Calibri" w:eastAsia="Microsoft YaHei"/>
                <w:sz w:val="18"/>
              </w:rPr>
              <w:t xml:space="preserve"> </w:t>
            </w:r>
            <m:oMath>
              <m:r>
                <m:t>t</m:t>
              </m:r>
            </m:oMath>
            <w:r>
              <w:rPr>
                <w:rFonts w:ascii="Calibri" w:hAnsi="Calibri" w:eastAsia="Microsoft YaHei"/>
                <w:sz w:val="18"/>
              </w:rPr>
              <w:t xml:space="preserve"> </w:t>
            </w:r>
            <w:r>
              <w:rPr>
                <w:rFonts w:ascii="Calibri" w:hAnsi="Calibri" w:eastAsia="Microsoft YaHei"/>
                <w:sz w:val="18"/>
              </w:rPr>
              <w:t xml:space="preserve">是否安排车辆类型</w:t>
            </w:r>
            <w:r>
              <w:rPr>
                <w:rFonts w:ascii="Calibri" w:hAnsi="Calibri" w:eastAsia="Microsoft YaHei"/>
                <w:sz w:val="18"/>
              </w:rPr>
              <w:t xml:space="preserve"> </w:t>
            </w:r>
            <m:oMath>
              <m:r>
                <m:t>g</m:t>
              </m:r>
            </m:oMath>
          </w:p>
        </w:tc>
      </w:tr>
      <w:tr>
        <w:tc>
          <w:tcPr>
            <w:tcW w:w="1500" w:type="dxa"/>
            <w:tcMar>
              <w:top w:w="80" w:type="dxa"/>
              <w:bottom w:w="80" w:type="dxa"/>
              <w:start w:w="120" w:type="dxa"/>
              <w:end w:w="120" w:type="dxa"/>
            </w:tcMar>
            <w:vAlign w:val="center"/>
          </w:tcPr>
          <w:p>
            <w:pPr>
              <w:pStyle w:val="Compact"/>
              <w:spacing w:after="40"/>
              <w:jc w:val="left"/>
            </w:pPr>
            <m:oMath>
              <m:sSub>
                <m:e>
                  <m:r>
                    <m:t>p</m:t>
                  </m:r>
                </m:e>
                <m:sub>
                  <m:r>
                    <m:t>c</m:t>
                  </m:r>
                  <m:r>
                    <m:t>t</m:t>
                  </m:r>
                </m:sub>
              </m:sSub>
            </m:oMath>
          </w:p>
        </w:tc>
        <w:tc>
          <w:tcPr>
            <w:tcW w:w="1300" w:type="dxa"/>
            <w:tcMar>
              <w:top w:w="80" w:type="dxa"/>
              <w:bottom w:w="80" w:type="dxa"/>
              <w:start w:w="120" w:type="dxa"/>
              <w:end w:w="120" w:type="dxa"/>
            </w:tcMar>
            <w:vAlign w:val="center"/>
          </w:tcPr>
          <w:p>
            <w:pPr>
              <w:pStyle w:val="Compact"/>
              <w:spacing w:after="40"/>
              <w:jc w:val="left"/>
            </w:pPr>
            <m:oMath>
              <m:r>
                <m:t>{</m:t>
              </m:r>
              <m:r>
                <m:t>0</m:t>
              </m:r>
              <m:r>
                <m:t>,</m:t>
              </m:r>
              <m:r>
                <m:t>1</m:t>
              </m:r>
              <m:r>
                <m:t>}</m:t>
              </m:r>
            </m:oMath>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位置</w:t>
            </w:r>
            <w:r>
              <w:rPr>
                <w:rFonts w:ascii="Calibri" w:hAnsi="Calibri" w:eastAsia="Microsoft YaHei"/>
                <w:sz w:val="18"/>
              </w:rPr>
              <w:t xml:space="preserve"> </w:t>
            </w:r>
            <m:oMath>
              <m:r>
                <m:t>t</m:t>
              </m:r>
            </m:oMath>
            <w:r>
              <w:rPr>
                <w:rFonts w:ascii="Calibri" w:hAnsi="Calibri" w:eastAsia="Microsoft YaHei"/>
                <w:sz w:val="18"/>
              </w:rPr>
              <w:t xml:space="preserve"> </w:t>
            </w:r>
            <w:r>
              <w:rPr>
                <w:rFonts w:ascii="Calibri" w:hAnsi="Calibri" w:eastAsia="Microsoft YaHei"/>
                <w:sz w:val="18"/>
              </w:rPr>
              <w:t xml:space="preserve">的车辆是否为颜色</w:t>
            </w:r>
            <w:r>
              <w:rPr>
                <w:rFonts w:ascii="Calibri" w:hAnsi="Calibri" w:eastAsia="Microsoft YaHei"/>
                <w:sz w:val="18"/>
              </w:rPr>
              <w:t xml:space="preserve"> </w:t>
            </w:r>
            <m:oMath>
              <m:r>
                <m:t>c</m:t>
              </m:r>
            </m:oMath>
          </w:p>
        </w:tc>
      </w:tr>
      <w:tr>
        <w:tc>
          <w:tcPr>
            <w:tcW w:w="1500" w:type="dxa"/>
            <w:tcMar>
              <w:top w:w="80" w:type="dxa"/>
              <w:bottom w:w="80" w:type="dxa"/>
              <w:start w:w="120" w:type="dxa"/>
              <w:end w:w="120" w:type="dxa"/>
            </w:tcMar>
            <w:vAlign w:val="center"/>
          </w:tcPr>
          <w:p>
            <w:pPr>
              <w:pStyle w:val="Compact"/>
              <w:spacing w:after="40"/>
              <w:jc w:val="left"/>
            </w:pPr>
            <m:oMath>
              <m:sSub>
                <m:e>
                  <m:r>
                    <m:t>a</m:t>
                  </m:r>
                </m:e>
                <m:sub>
                  <m:r>
                    <m:t>k</m:t>
                  </m:r>
                  <m:r>
                    <m:t>t</m:t>
                  </m:r>
                </m:sub>
              </m:sSub>
            </m:oMath>
          </w:p>
        </w:tc>
        <w:tc>
          <w:tcPr>
            <w:tcW w:w="1300" w:type="dxa"/>
            <w:tcMar>
              <w:top w:w="80" w:type="dxa"/>
              <w:bottom w:w="80" w:type="dxa"/>
              <w:start w:w="120" w:type="dxa"/>
              <w:end w:w="120" w:type="dxa"/>
            </w:tcMar>
            <w:vAlign w:val="center"/>
          </w:tcPr>
          <w:p>
            <w:pPr>
              <w:pStyle w:val="Compact"/>
              <w:spacing w:after="40"/>
              <w:jc w:val="left"/>
            </w:pPr>
            <m:oMath>
              <m:r>
                <m:t>{</m:t>
              </m:r>
              <m:r>
                <m:t>0</m:t>
              </m:r>
              <m:r>
                <m:t>,</m:t>
              </m:r>
              <m:r>
                <m:t>1</m:t>
              </m:r>
              <m:r>
                <m:t>}</m:t>
              </m:r>
            </m:oMath>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位置</w:t>
            </w:r>
            <w:r>
              <w:rPr>
                <w:rFonts w:ascii="Calibri" w:hAnsi="Calibri" w:eastAsia="Microsoft YaHei"/>
                <w:sz w:val="18"/>
              </w:rPr>
              <w:t xml:space="preserve"> </w:t>
            </w:r>
            <m:oMath>
              <m:r>
                <m:t>t</m:t>
              </m:r>
            </m:oMath>
            <w:r>
              <w:rPr>
                <w:rFonts w:ascii="Calibri" w:hAnsi="Calibri" w:eastAsia="Microsoft YaHei"/>
                <w:sz w:val="18"/>
              </w:rPr>
              <w:t xml:space="preserve"> </w:t>
            </w:r>
            <w:r>
              <w:rPr>
                <w:rFonts w:ascii="Calibri" w:hAnsi="Calibri" w:eastAsia="Microsoft YaHei"/>
                <w:sz w:val="18"/>
              </w:rPr>
              <w:t xml:space="preserve">的车辆是否具有选装件</w:t>
            </w:r>
            <w:r>
              <w:rPr>
                <w:rFonts w:ascii="Calibri" w:hAnsi="Calibri" w:eastAsia="Microsoft YaHei"/>
                <w:sz w:val="18"/>
              </w:rPr>
              <w:t xml:space="preserve"> </w:t>
            </w:r>
            <m:oMath>
              <m:r>
                <m:t>k</m:t>
              </m:r>
            </m:oMath>
          </w:p>
        </w:tc>
      </w:tr>
      <w:tr>
        <w:tc>
          <w:tcPr>
            <w:tcW w:w="1500" w:type="dxa"/>
            <w:tcMar>
              <w:top w:w="80" w:type="dxa"/>
              <w:bottom w:w="80" w:type="dxa"/>
              <w:start w:w="120" w:type="dxa"/>
              <w:end w:w="120" w:type="dxa"/>
            </w:tcMar>
            <w:vAlign w:val="center"/>
          </w:tcPr>
          <w:p>
            <w:pPr>
              <w:pStyle w:val="Compact"/>
              <w:spacing w:after="40"/>
              <w:jc w:val="left"/>
            </w:pPr>
            <m:oMath>
              <m:sSub>
                <m:e>
                  <m:r>
                    <m:t>d</m:t>
                  </m:r>
                </m:e>
                <m:sub>
                  <m:r>
                    <m:t>t</m:t>
                  </m:r>
                </m:sub>
              </m:sSub>
            </m:oMath>
          </w:p>
        </w:tc>
        <w:tc>
          <w:tcPr>
            <w:tcW w:w="1300" w:type="dxa"/>
            <w:tcMar>
              <w:top w:w="80" w:type="dxa"/>
              <w:bottom w:w="80" w:type="dxa"/>
              <w:start w:w="120" w:type="dxa"/>
              <w:end w:w="120" w:type="dxa"/>
            </w:tcMar>
            <w:vAlign w:val="center"/>
          </w:tcPr>
          <w:p>
            <w:pPr>
              <w:pStyle w:val="Compact"/>
              <w:spacing w:after="40"/>
              <w:jc w:val="left"/>
            </w:pPr>
            <m:oMath>
              <m:r>
                <m:t>{</m:t>
              </m:r>
              <m:r>
                <m:t>0</m:t>
              </m:r>
              <m:r>
                <m:t>,</m:t>
              </m:r>
              <m:r>
                <m:t>1</m:t>
              </m:r>
              <m:r>
                <m:t>}</m:t>
              </m:r>
            </m:oMath>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位置</w:t>
            </w:r>
            <w:r>
              <w:rPr>
                <w:rFonts w:ascii="Calibri" w:hAnsi="Calibri" w:eastAsia="Microsoft YaHei"/>
                <w:sz w:val="18"/>
              </w:rPr>
              <w:t xml:space="preserve"> </w:t>
            </w:r>
            <m:oMath>
              <m:r>
                <m:t>t</m:t>
              </m:r>
            </m:oMath>
            <w:r>
              <w:rPr>
                <w:rFonts w:ascii="Calibri" w:hAnsi="Calibri" w:eastAsia="Microsoft YaHei"/>
                <w:sz w:val="18"/>
              </w:rPr>
              <w:t xml:space="preserve"> </w:t>
            </w:r>
            <w:r>
              <w:rPr>
                <w:rFonts w:ascii="Calibri" w:hAnsi="Calibri" w:eastAsia="Microsoft YaHei"/>
                <w:sz w:val="18"/>
              </w:rPr>
              <w:t xml:space="preserve">是否相对前一辆车发生颜色切换</w:t>
            </w:r>
          </w:p>
        </w:tc>
      </w:tr>
      <w:tr>
        <w:tc>
          <w:tcPr>
            <w:tcW w:w="1500" w:type="dxa"/>
            <w:tcMar>
              <w:top w:w="80" w:type="dxa"/>
              <w:bottom w:w="80" w:type="dxa"/>
              <w:start w:w="120" w:type="dxa"/>
              <w:end w:w="120" w:type="dxa"/>
            </w:tcMar>
            <w:vAlign w:val="center"/>
          </w:tcPr>
          <w:p>
            <w:pPr>
              <w:pStyle w:val="Compact"/>
              <w:spacing w:after="40"/>
              <w:jc w:val="left"/>
            </w:pPr>
            <m:oMath>
              <m:sSub>
                <m:e>
                  <m:r>
                    <m:t>u</m:t>
                  </m:r>
                </m:e>
                <m:sub>
                  <m:r>
                    <m:t>k</m:t>
                  </m:r>
                  <m:r>
                    <m:t>s</m:t>
                  </m:r>
                </m:sub>
              </m:sSub>
            </m:oMath>
          </w:p>
        </w:tc>
        <w:tc>
          <w:tcPr>
            <w:tcW w:w="1300" w:type="dxa"/>
            <w:tcMar>
              <w:top w:w="80" w:type="dxa"/>
              <w:bottom w:w="80" w:type="dxa"/>
              <w:start w:w="120" w:type="dxa"/>
              <w:end w:w="120" w:type="dxa"/>
            </w:tcMar>
            <w:vAlign w:val="center"/>
          </w:tcPr>
          <w:p>
            <w:pPr>
              <w:pStyle w:val="Compact"/>
              <w:spacing w:after="40"/>
              <w:jc w:val="left"/>
            </w:pPr>
            <m:oMath>
              <m:sSub>
                <m:e>
                  <m:r>
                    <m:rPr>
                      <m:sty m:val="p"/>
                      <m:scr m:val="double-struck"/>
                    </m:rPr>
                    <m:t>R</m:t>
                  </m:r>
                </m:e>
                <m:sub>
                  <m:r>
                    <m:t>≥</m:t>
                  </m:r>
                  <m:r>
                    <m:t>0</m:t>
                  </m:r>
                </m:sub>
              </m:sSub>
            </m:oMath>
          </w:p>
        </w:tc>
        <w:tc>
          <w:tcPr>
            <w:tcW w:w="6560" w:type="dxa"/>
            <w:tcMar>
              <w:top w:w="80" w:type="dxa"/>
              <w:bottom w:w="80" w:type="dxa"/>
              <w:start w:w="120" w:type="dxa"/>
              <w:end w:w="120" w:type="dxa"/>
            </w:tcMar>
            <w:vAlign w:val="center"/>
          </w:tcPr>
          <w:p>
            <w:pPr>
              <w:pStyle w:val="Compact"/>
              <w:spacing w:after="40"/>
              <w:jc w:val="left"/>
            </w:pPr>
            <w:r>
              <w:rPr>
                <w:rFonts w:ascii="Calibri" w:hAnsi="Calibri" w:eastAsia="Microsoft YaHei"/>
                <w:sz w:val="18"/>
              </w:rPr>
              <w:t xml:space="preserve">约束</w:t>
            </w:r>
            <w:r>
              <w:rPr>
                <w:rFonts w:ascii="Calibri" w:hAnsi="Calibri" w:eastAsia="Microsoft YaHei"/>
                <w:sz w:val="18"/>
              </w:rPr>
              <w:t xml:space="preserve"> </w:t>
            </w:r>
            <m:oMath>
              <m:r>
                <m:t>k</m:t>
              </m:r>
            </m:oMath>
            <w:r>
              <w:rPr>
                <w:rFonts w:ascii="Calibri" w:hAnsi="Calibri" w:eastAsia="Microsoft YaHei"/>
                <w:sz w:val="18"/>
              </w:rPr>
              <w:t xml:space="preserve"> </w:t>
            </w:r>
            <w:r>
              <w:rPr>
                <w:rFonts w:ascii="Calibri" w:hAnsi="Calibri" w:eastAsia="Microsoft YaHei"/>
                <w:sz w:val="18"/>
              </w:rPr>
              <w:t xml:space="preserve">在窗口起点</w:t>
            </w:r>
            <w:r>
              <w:rPr>
                <w:rFonts w:ascii="Calibri" w:hAnsi="Calibri" w:eastAsia="Microsoft YaHei"/>
                <w:sz w:val="18"/>
              </w:rPr>
              <w:t xml:space="preserve"> </w:t>
            </w:r>
            <m:oMath>
              <m:r>
                <m:t>s</m:t>
              </m:r>
            </m:oMath>
            <w:r>
              <w:rPr>
                <w:rFonts w:ascii="Calibri" w:hAnsi="Calibri" w:eastAsia="Microsoft YaHei"/>
                <w:sz w:val="18"/>
              </w:rPr>
              <w:t xml:space="preserve"> </w:t>
            </w:r>
            <w:r>
              <w:rPr>
                <w:rFonts w:ascii="Calibri" w:hAnsi="Calibri" w:eastAsia="Microsoft YaHei"/>
                <w:sz w:val="18"/>
              </w:rPr>
              <w:t xml:space="preserve">的违反量</w:t>
            </w:r>
          </w:p>
        </w:tc>
      </w:tr>
    </w:tbl>
    <w:p>
      <w:pPr>
        <w:pStyle w:val="BodyText"/>
        <w:widowControl/>
        <w:spacing w:before="100" w:after="140"/>
        <w:jc w:val="left"/>
      </w:pPr>
      <m:oMath>
        <m:sSub>
          <m:e>
            <m:r>
              <m:t>p</m:t>
            </m:r>
          </m:e>
          <m:sub>
            <m:r>
              <m:t>c</m:t>
            </m:r>
            <m:r>
              <m:t>t</m:t>
            </m:r>
          </m:sub>
        </m:sSub>
      </m:oMath>
      <w:r>
        <w:t xml:space="preserve"> </w:t>
      </w:r>
      <w:r>
        <w:t xml:space="preserve">和</w:t>
      </w:r>
      <w:r>
        <w:t xml:space="preserve"> </w:t>
      </w:r>
      <m:oMath>
        <m:sSub>
          <m:e>
            <m:r>
              <m:t>a</m:t>
            </m:r>
          </m:e>
          <m:sub>
            <m:r>
              <m:t>k</m:t>
            </m:r>
            <m:r>
              <m:t>t</m:t>
            </m:r>
          </m:sub>
        </m:sSub>
      </m:oMath>
      <w:r>
        <w:t xml:space="preserve"> </w:t>
      </w:r>
      <w:r>
        <w:t xml:space="preserve">可以显式建成辅助变量，也可以直接用</w:t>
      </w:r>
      <w:r>
        <w:t xml:space="preserve"> </w:t>
      </w:r>
      <m:oMath>
        <m:sSub>
          <m:e>
            <m:r>
              <m:t>x</m:t>
            </m:r>
          </m:e>
          <m:sub>
            <m:r>
              <m:t>g</m:t>
            </m:r>
            <m:r>
              <m:t>t</m:t>
            </m:r>
          </m:sub>
        </m:sSub>
      </m:oMath>
      <w:r>
        <w:t xml:space="preserve"> </w:t>
      </w:r>
      <w:r>
        <w:t xml:space="preserve">的线性表达式替代。第一版实现可不创建</w:t>
      </w:r>
      <w:r>
        <w:t xml:space="preserve"> </w:t>
      </w:r>
      <m:oMath>
        <m:sSub>
          <m:e>
            <m:r>
              <m:t>a</m:t>
            </m:r>
          </m:e>
          <m:sub>
            <m:r>
              <m:t>k</m:t>
            </m:r>
            <m:r>
              <m:t>t</m:t>
            </m:r>
          </m:sub>
        </m:sSub>
      </m:oMath>
      <w:r>
        <w:t xml:space="preserve">，以减少变量和等式数量。</w:t>
      </w:r>
    </w:p>
    <w:p>
      <w:pPr>
        <w:widowControl/>
      </w:pPr>
      <w:r>
        <w:rPr>
          <w:rFonts w:ascii="Calibri" w:hAnsi="Calibri" w:eastAsia="Microsoft YaHei"/>
          <w:sz w:val="21"/>
        </w:rPr>
        <w:pict>
          <v:rect style="width:0;height:1.5pt" o:hralign="center" o:hrstd="t" o:hr="t"/>
        </w:pict>
      </w:r>
    </w:p>
    <w:p>
      <w:pPr>
        <w:pStyle w:val="Heading2"/>
        <w:widowControl/>
      </w:pPr>
      <w:bookmarkStart w:id="28" w:name="窗口定义"/>
      <w:bookmarkEnd w:id="28"/>
      <w:r>
        <w:t xml:space="preserve">4. 窗口定义</w:t>
      </w:r>
    </w:p>
    <w:p>
      <w:pPr>
        <w:pStyle w:val="FirstParagraph"/>
        <w:widowControl/>
        <w:spacing w:before="100" w:after="140"/>
        <w:jc w:val="left"/>
      </w:pPr>
      <w:r>
        <w:t xml:space="preserve">对于约束</w:t>
      </w:r>
      <w:r>
        <w:t xml:space="preserve"> </w:t>
      </w:r>
      <m:oMath>
        <m:r>
          <m:t>k</m:t>
        </m:r>
      </m:oMath>
      <w:r>
        <w:t xml:space="preserve">，官方规则要求使用最多</w:t>
      </w:r>
      <w:r>
        <w:t xml:space="preserve"> </w:t>
      </w:r>
      <m:oMath>
        <m:sSub>
          <m:e>
            <m:r>
              <m:t>P</m:t>
            </m:r>
          </m:e>
          <m:sub>
            <m:r>
              <m:t>k</m:t>
            </m:r>
          </m:sub>
        </m:sSub>
        <m:r>
          <m:t>−</m:t>
        </m:r>
        <m:r>
          <m:t>1</m:t>
        </m:r>
      </m:oMath>
      <w:r>
        <w:t xml:space="preserve"> </w:t>
      </w:r>
      <w:r>
        <w:t xml:space="preserve">辆 D-1 尾部车辆形成跨日窗口，并继续计算 D 日末尾的缩短窗口。因此窗口起点集合为：</w:t>
      </w:r>
    </w:p>
    <w:p>
      <w:pPr>
        <w:pStyle w:val="BodyText"/>
        <w:widowControl/>
        <w:spacing w:before="100" w:after="140"/>
        <w:jc w:val="center"/>
      </w:pPr>
      <m:oMathPara>
        <m:oMathParaPr>
          <m:jc m:val="center"/>
        </m:oMathParaPr>
        <m:oMath>
          <m:sSub>
            <m:e>
              <m:r>
                <m:t>S</m:t>
              </m:r>
            </m:e>
            <m:sub>
              <m:r>
                <m:t>k</m:t>
              </m:r>
            </m:sub>
          </m:sSub>
          <m:r>
            <m:t>=</m:t>
          </m:r>
          <m:r>
            <m:t>{</m:t>
          </m:r>
          <m:r>
            <m:rPr>
              <m:sty m:val="p"/>
            </m:rPr>
            <m:t>max</m:t>
          </m:r>
          <m:r>
            <m:t>(</m:t>
          </m:r>
          <m:r>
            <m:t>−</m:t>
          </m:r>
          <m:r>
            <m:t>m</m:t>
          </m:r>
          <m:r>
            <m:t>,</m:t>
          </m:r>
          <m:r>
            <m:t>−</m:t>
          </m:r>
          <m:sSub>
            <m:e>
              <m:r>
                <m:t>P</m:t>
              </m:r>
            </m:e>
            <m:sub>
              <m:r>
                <m:t>k</m:t>
              </m:r>
            </m:sub>
          </m:sSub>
          <m:r>
            <m:t>+</m:t>
          </m:r>
          <m:r>
            <m:t>1</m:t>
          </m:r>
          <m:r>
            <m:t>)</m:t>
          </m:r>
          <m:r>
            <m:t>,</m:t>
          </m:r>
          <m:r>
            <m:t>…</m:t>
          </m:r>
          <m:r>
            <m:t>,</m:t>
          </m:r>
          <m:r>
            <m:t>n</m:t>
          </m:r>
          <m:r>
            <m:t>−</m:t>
          </m:r>
          <m:r>
            <m:t>1</m:t>
          </m:r>
          <m:r>
            <m:t>}</m:t>
          </m:r>
          <m:r>
            <m:t>.</m:t>
          </m:r>
        </m:oMath>
      </m:oMathPara>
    </w:p>
    <w:p>
      <w:pPr>
        <w:pStyle w:val="FirstParagraph"/>
        <w:widowControl/>
        <w:spacing w:before="100" w:after="140"/>
        <w:jc w:val="left"/>
      </w:pPr>
      <w:r>
        <w:t xml:space="preserve">窗口</w:t>
      </w:r>
      <w:r>
        <w:t xml:space="preserve"> </w:t>
      </w:r>
      <m:oMath>
        <m:r>
          <m:t>(</m:t>
        </m:r>
        <m:r>
          <m:t>k</m:t>
        </m:r>
        <m:r>
          <m:t>,</m:t>
        </m:r>
        <m:r>
          <m:t>s</m:t>
        </m:r>
        <m:r>
          <m:t>)</m:t>
        </m:r>
      </m:oMath>
      <w:r>
        <w:t xml:space="preserve"> </w:t>
      </w:r>
      <w:r>
        <w:t xml:space="preserve">覆盖的 D 日位置为：</w:t>
      </w:r>
    </w:p>
    <w:p>
      <w:pPr>
        <w:pStyle w:val="BodyText"/>
        <w:widowControl/>
        <w:spacing w:before="100" w:after="140"/>
        <w:jc w:val="center"/>
      </w:pPr>
      <m:oMathPara>
        <m:oMathParaPr>
          <m:jc m:val="center"/>
        </m:oMathParaPr>
        <m:oMath>
          <m:sSubSup>
            <m:e>
              <m:r>
                <m:t>W</m:t>
              </m:r>
            </m:e>
            <m:sub>
              <m:r>
                <m:t>k</m:t>
              </m:r>
              <m:r>
                <m:t>s</m:t>
              </m:r>
            </m:sub>
            <m:sup>
              <m:r>
                <m:t>D</m:t>
              </m:r>
            </m:sup>
          </m:sSubSup>
          <m:r>
            <m:t>=</m:t>
          </m:r>
          <m:r>
            <m:t>{</m:t>
          </m:r>
          <m:r>
            <m:t>t</m:t>
          </m:r>
          <m:r>
            <m:t>∈</m:t>
          </m:r>
          <m:r>
            <m:t>T</m:t>
          </m:r>
          <m:r>
            <m:t>∣</m:t>
          </m:r>
          <m:r>
            <m:t>s</m:t>
          </m:r>
          <m:r>
            <m:t>≤</m:t>
          </m:r>
          <m:r>
            <m:t>t</m:t>
          </m:r>
          <m:r>
            <m:t>≤</m:t>
          </m:r>
          <m:r>
            <m:rPr>
              <m:sty m:val="p"/>
            </m:rPr>
            <m:t>min</m:t>
          </m:r>
          <m:r>
            <m:t>(</m:t>
          </m:r>
          <m:r>
            <m:t>s</m:t>
          </m:r>
          <m:r>
            <m:t>+</m:t>
          </m:r>
          <m:sSub>
            <m:e>
              <m:r>
                <m:t>P</m:t>
              </m:r>
            </m:e>
            <m:sub>
              <m:r>
                <m:t>k</m:t>
              </m:r>
            </m:sub>
          </m:sSub>
          <m:r>
            <m:t>−</m:t>
          </m:r>
          <m:r>
            <m:t>1</m:t>
          </m:r>
          <m:r>
            <m:t>,</m:t>
          </m:r>
          <m:r>
            <m:t>n</m:t>
          </m:r>
          <m:r>
            <m:t>−</m:t>
          </m:r>
          <m:r>
            <m:t>1</m:t>
          </m:r>
          <m:r>
            <m:t>)</m:t>
          </m:r>
          <m:r>
            <m:t>}</m:t>
          </m:r>
          <m:r>
            <m:t>.</m:t>
          </m:r>
        </m:oMath>
      </m:oMathPara>
    </w:p>
    <w:p>
      <w:pPr>
        <w:pStyle w:val="FirstParagraph"/>
        <w:widowControl/>
        <w:spacing w:before="100" w:after="140"/>
        <w:jc w:val="left"/>
      </w:pPr>
      <w:r>
        <w:t xml:space="preserve">若</w:t>
      </w:r>
      <w:r>
        <w:t xml:space="preserve"> </w:t>
      </w:r>
      <m:oMath>
        <m:r>
          <m:t>s</m:t>
        </m:r>
        <m:r>
          <m:t>&lt;</m:t>
        </m:r>
        <m:r>
          <m:t>0</m:t>
        </m:r>
      </m:oMath>
      <w:r>
        <w:t xml:space="preserve">，窗口包含 D-1 的固定车辆，相关车辆数量预先计算为参数</w:t>
      </w:r>
      <w:r>
        <w:t xml:space="preserve"> </w:t>
      </w:r>
      <m:oMath>
        <m:sSub>
          <m:e>
            <m:r>
              <m:t>b</m:t>
            </m:r>
          </m:e>
          <m:sub>
            <m:r>
              <m:t>k</m:t>
            </m:r>
            <m:r>
              <m:t>s</m:t>
            </m:r>
          </m:sub>
        </m:sSub>
      </m:oMath>
      <w:r>
        <w:t xml:space="preserve">。若</w:t>
      </w:r>
      <w:r>
        <w:t xml:space="preserve"> </w:t>
      </w:r>
      <m:oMath>
        <m:r>
          <m:t>s</m:t>
        </m:r>
        <m:r>
          <m:t>+</m:t>
        </m:r>
        <m:sSub>
          <m:e>
            <m:r>
              <m:t>P</m:t>
            </m:r>
          </m:e>
          <m:sub>
            <m:r>
              <m:t>k</m:t>
            </m:r>
          </m:sub>
        </m:sSub>
        <m:r>
          <m:t>−</m:t>
        </m:r>
        <m:r>
          <m:t>1</m:t>
        </m:r>
        <m:r>
          <m:t>≥</m:t>
        </m:r>
        <m:r>
          <m:t>n</m:t>
        </m:r>
      </m:oMath>
      <w:r>
        <w:t xml:space="preserve">，该窗口是 D 日尾部缩短窗口，其允许数量仍为</w:t>
      </w:r>
      <w:r>
        <w:t xml:space="preserve"> </w:t>
      </w:r>
      <m:oMath>
        <m:sSub>
          <m:e>
            <m:r>
              <m:t>N</m:t>
            </m:r>
          </m:e>
          <m:sub>
            <m:r>
              <m:t>k</m:t>
            </m:r>
          </m:sub>
        </m:sSub>
      </m:oMath>
      <w:r>
        <w:t xml:space="preserve">，不按实际窗口长度缩放。</w:t>
      </w:r>
    </w:p>
    <w:p>
      <w:pPr>
        <w:widowControl/>
      </w:pPr>
      <w:r>
        <w:rPr>
          <w:rFonts w:ascii="Calibri" w:hAnsi="Calibri" w:eastAsia="Microsoft YaHei"/>
          <w:sz w:val="21"/>
        </w:rPr>
        <w:pict>
          <v:rect style="width:0;height:1.5pt" o:hralign="center" o:hrstd="t" o:hr="t"/>
        </w:pict>
      </w:r>
    </w:p>
    <w:p>
      <w:pPr>
        <w:pStyle w:val="Heading2"/>
        <w:widowControl/>
      </w:pPr>
      <w:bookmarkStart w:id="29" w:name="车辆分配约束"/>
      <w:bookmarkEnd w:id="29"/>
      <w:r>
        <w:t xml:space="preserve">5. 车辆分配约束</w:t>
      </w:r>
    </w:p>
    <w:p>
      <w:pPr>
        <w:pStyle w:val="Heading3"/>
        <w:widowControl/>
      </w:pPr>
      <w:bookmarkStart w:id="30" w:name="每个位置恰好安排一种车辆类型"/>
      <w:bookmarkEnd w:id="30"/>
      <w:r>
        <w:t xml:space="preserve">5.1 每个位置恰好安排一种车辆类型</w:t>
      </w:r>
    </w:p>
    <w:p>
      <w:pPr>
        <w:pStyle w:val="FirstParagraph"/>
        <w:widowControl/>
        <w:spacing w:before="100" w:after="140"/>
        <w:jc w:val="center"/>
      </w:pPr>
      <m:oMathPara>
        <m:oMathParaPr>
          <m:jc m:val="center"/>
        </m:oMathParaPr>
        <m:oMath>
          <m:nary>
            <m:naryPr>
              <m:chr m:val="∑"/>
              <m:limLoc m:val="undOvr"/>
              <m:subHide m:val="0"/>
              <m:supHide m:val="1"/>
            </m:naryPr>
            <m:sub>
              <m:r>
                <m:t>g</m:t>
              </m:r>
              <m:r>
                <m:t>∈</m:t>
              </m:r>
              <m:r>
                <m:t>G</m:t>
              </m:r>
            </m:sub>
            <m:sup/>
            <m:e>
              <m:sSub>
                <m:e>
                  <m:r>
                    <m:t>x</m:t>
                  </m:r>
                </m:e>
                <m:sub>
                  <m:r>
                    <m:t>g</m:t>
                  </m:r>
                  <m:r>
                    <m:t>t</m:t>
                  </m:r>
                </m:sub>
              </m:sSub>
            </m:e>
          </m:nary>
          <m:r>
            <m:t>=</m:t>
          </m:r>
          <m:r>
            <m:t>1</m:t>
          </m:r>
          <m:r>
            <m:t>,</m:t>
          </m:r>
          <m:r>
            <m:t>  </m:t>
          </m:r>
          <m:r>
            <m:t>∀</m:t>
          </m:r>
          <m:r>
            <m:t>t</m:t>
          </m:r>
          <m:r>
            <m:t>∈</m:t>
          </m:r>
          <m:r>
            <m:t>T</m:t>
          </m:r>
          <m:r>
            <m:t>.</m:t>
          </m:r>
        </m:oMath>
      </m:oMathPara>
    </w:p>
    <w:p>
      <w:pPr>
        <w:pStyle w:val="FirstParagraph"/>
        <w:widowControl/>
      </w:pPr>
      <w:r>
        <w:t xml:space="preserve">该约束保证每个生产位置恰好安排一辆车。</w:t>
      </w:r>
    </w:p>
    <w:p>
      <w:pPr>
        <w:pStyle w:val="Heading3"/>
        <w:widowControl/>
      </w:pPr>
      <w:bookmarkStart w:id="31" w:name="每种车辆类型全部排入序列"/>
      <w:bookmarkEnd w:id="31"/>
      <w:r>
        <w:t xml:space="preserve">5.2 每种车辆类型全部排入序列</w:t>
      </w:r>
    </w:p>
    <w:p>
      <w:pPr>
        <w:pStyle w:val="FirstParagraph"/>
        <w:widowControl/>
        <w:spacing w:before="100" w:after="140"/>
        <w:jc w:val="center"/>
      </w:pPr>
      <m:oMathPara>
        <m:oMathParaPr>
          <m:jc m:val="center"/>
        </m:oMathParaPr>
        <m:oMath>
          <m:nary>
            <m:naryPr>
              <m:chr m:val="∑"/>
              <m:limLoc m:val="undOvr"/>
              <m:subHide m:val="0"/>
              <m:supHide m:val="1"/>
            </m:naryPr>
            <m:sub>
              <m:r>
                <m:t>t</m:t>
              </m:r>
              <m:r>
                <m:t>∈</m:t>
              </m:r>
              <m:r>
                <m:t>T</m:t>
              </m:r>
            </m:sub>
            <m:sup/>
            <m:e>
              <m:sSub>
                <m:e>
                  <m:r>
                    <m:t>x</m:t>
                  </m:r>
                </m:e>
                <m:sub>
                  <m:r>
                    <m:t>g</m:t>
                  </m:r>
                  <m:r>
                    <m:t>t</m:t>
                  </m:r>
                </m:sub>
              </m:sSub>
            </m:e>
          </m:nary>
          <m:r>
            <m:t>=</m:t>
          </m:r>
          <m:sSub>
            <m:e>
              <m:r>
                <m:t>n</m:t>
              </m:r>
            </m:e>
            <m:sub>
              <m:r>
                <m:t>g</m:t>
              </m:r>
            </m:sub>
          </m:sSub>
          <m:r>
            <m:t>,</m:t>
          </m:r>
          <m:r>
            <m:t>  </m:t>
          </m:r>
          <m:r>
            <m:t>∀</m:t>
          </m:r>
          <m:r>
            <m:t>g</m:t>
          </m:r>
          <m:r>
            <m:t>∈</m:t>
          </m:r>
          <m:r>
            <m:t>G</m:t>
          </m:r>
          <m:r>
            <m:t>.</m:t>
          </m:r>
        </m:oMath>
      </m:oMathPara>
    </w:p>
    <w:p>
      <w:pPr>
        <w:pStyle w:val="FirstParagraph"/>
        <w:widowControl/>
      </w:pPr>
      <w:r>
        <w:t xml:space="preserve">该约束保证每种类型的车辆使用数量与输入数据完全一致。结合位置约束，可以保证 D 日车辆不遗漏、不增加。</w:t>
      </w:r>
    </w:p>
    <w:p>
      <w:pPr>
        <w:widowControl/>
      </w:pPr>
      <w:r>
        <w:rPr>
          <w:rFonts w:ascii="Calibri" w:hAnsi="Calibri" w:eastAsia="Microsoft YaHei"/>
          <w:sz w:val="21"/>
        </w:rPr>
        <w:pict>
          <v:rect style="width:0;height:1.5pt" o:hralign="center" o:hrstd="t" o:hr="t"/>
        </w:pict>
      </w:r>
    </w:p>
    <w:p>
      <w:pPr>
        <w:pStyle w:val="Heading2"/>
        <w:widowControl/>
      </w:pPr>
      <w:bookmarkStart w:id="32" w:name="颜色关联与-paint-change"/>
      <w:bookmarkEnd w:id="32"/>
      <w:r>
        <w:t xml:space="preserve">6. 颜色关联与 Paint Change</w:t>
      </w:r>
    </w:p>
    <w:p>
      <w:pPr>
        <w:pStyle w:val="Heading3"/>
        <w:widowControl/>
      </w:pPr>
      <w:bookmarkStart w:id="33" w:name="颜色位置关联"/>
      <w:bookmarkEnd w:id="33"/>
      <w:r>
        <w:t xml:space="preserve">6.1 颜色位置关联</w:t>
      </w:r>
    </w:p>
    <w:p>
      <w:pPr>
        <w:pStyle w:val="FirstParagraph"/>
        <w:widowControl/>
        <w:spacing w:before="100" w:after="140"/>
        <w:jc w:val="left"/>
      </w:pPr>
      <w:r>
        <w:t xml:space="preserve">对于每个颜色</w:t>
      </w:r>
      <w:r>
        <w:t xml:space="preserve"> </w:t>
      </w:r>
      <m:oMath>
        <m:r>
          <m:t>c</m:t>
        </m:r>
      </m:oMath>
      <w:r>
        <w:t xml:space="preserve"> </w:t>
      </w:r>
      <w:r>
        <w:t xml:space="preserve">和位置</w:t>
      </w:r>
      <w:r>
        <w:t xml:space="preserve"> </w:t>
      </w:r>
      <m:oMath>
        <m:r>
          <m:t>t</m:t>
        </m:r>
      </m:oMath>
      <w:r>
        <w:t xml:space="preserve">：</w:t>
      </w:r>
    </w:p>
    <w:p>
      <w:pPr>
        <w:pStyle w:val="BodyText"/>
        <w:widowControl/>
        <w:spacing w:before="100" w:after="140"/>
        <w:jc w:val="center"/>
      </w:pPr>
      <m:oMathPara>
        <m:oMathParaPr>
          <m:jc m:val="center"/>
        </m:oMathParaPr>
        <m:oMath>
          <m:sSub>
            <m:e>
              <m:r>
                <m:t>p</m:t>
              </m:r>
            </m:e>
            <m:sub>
              <m:r>
                <m:t>c</m:t>
              </m:r>
              <m:r>
                <m:t>t</m:t>
              </m:r>
            </m:sub>
          </m:sSub>
          <m:r>
            <m:t>=</m:t>
          </m:r>
          <m:nary>
            <m:naryPr>
              <m:chr m:val="∑"/>
              <m:limLoc m:val="undOvr"/>
              <m:subHide m:val="0"/>
              <m:supHide m:val="1"/>
            </m:naryPr>
            <m:sub>
              <m:r>
                <m:t>g</m:t>
              </m:r>
              <m:r>
                <m:t>∈</m:t>
              </m:r>
              <m:sSub>
                <m:e>
                  <m:r>
                    <m:t>G</m:t>
                  </m:r>
                </m:e>
                <m:sub>
                  <m:r>
                    <m:t>c</m:t>
                  </m:r>
                </m:sub>
              </m:sSub>
            </m:sub>
            <m:sup/>
            <m:e>
              <m:sSub>
                <m:e>
                  <m:r>
                    <m:t>x</m:t>
                  </m:r>
                </m:e>
                <m:sub>
                  <m:r>
                    <m:t>g</m:t>
                  </m:r>
                  <m:r>
                    <m:t>t</m:t>
                  </m:r>
                </m:sub>
              </m:sSub>
            </m:e>
          </m:nary>
          <m:r>
            <m:t>,</m:t>
          </m:r>
          <m:r>
            <m:t>  </m:t>
          </m:r>
          <m:r>
            <m:t>∀</m:t>
          </m:r>
          <m:r>
            <m:t>c</m:t>
          </m:r>
          <m:r>
            <m:t>∈</m:t>
          </m:r>
          <m:r>
            <m:t>C</m:t>
          </m:r>
          <m:r>
            <m:t>,</m:t>
          </m:r>
          <m:r>
            <m:t> </m:t>
          </m:r>
          <m:r>
            <m:t>t</m:t>
          </m:r>
          <m:r>
            <m:t>∈</m:t>
          </m:r>
          <m:r>
            <m:t>T</m:t>
          </m:r>
          <m:r>
            <m:t>.</m:t>
          </m:r>
        </m:oMath>
      </m:oMathPara>
    </w:p>
    <w:p>
      <w:pPr>
        <w:pStyle w:val="FirstParagraph"/>
        <w:widowControl/>
      </w:pPr>
      <w:r>
        <w:t xml:space="preserve">由于每个位置恰好选择一种车辆类型，因此每个位置也恰好对应一种颜色。</w:t>
      </w:r>
    </w:p>
    <w:p>
      <w:pPr>
        <w:pStyle w:val="Heading3"/>
        <w:widowControl/>
      </w:pPr>
      <w:bookmarkStart w:id="34" w:name="d-日内部颜色切换"/>
      <w:bookmarkEnd w:id="34"/>
      <w:r>
        <w:t xml:space="preserve">6.2 D 日内部颜色切换</w:t>
      </w:r>
    </w:p>
    <w:p>
      <w:pPr>
        <w:pStyle w:val="FirstParagraph"/>
        <w:widowControl/>
        <w:spacing w:before="100" w:after="140"/>
        <w:jc w:val="left"/>
      </w:pPr>
      <w:r>
        <w:t xml:space="preserve">对于</w:t>
      </w:r>
      <w:r>
        <w:t xml:space="preserve"> </w:t>
      </w:r>
      <m:oMath>
        <m:r>
          <m:t>t</m:t>
        </m:r>
        <m:r>
          <m:t>≥</m:t>
        </m:r>
        <m:r>
          <m:t>1</m:t>
        </m:r>
      </m:oMath>
      <w:r>
        <w:t xml:space="preserve"> </w:t>
      </w:r>
      <w:r>
        <w:t xml:space="preserve">和所有颜色</w:t>
      </w:r>
      <w:r>
        <w:t xml:space="preserve"> </w:t>
      </w:r>
      <m:oMath>
        <m:r>
          <m:t>c</m:t>
        </m:r>
      </m:oMath>
      <w:r>
        <w:t xml:space="preserve">：</w:t>
      </w:r>
    </w:p>
    <w:p>
      <w:pPr>
        <w:pStyle w:val="BodyText"/>
        <w:widowControl/>
        <w:spacing w:before="100" w:after="140"/>
        <w:jc w:val="center"/>
      </w:pPr>
      <m:oMathPara>
        <m:oMathParaPr>
          <m:jc m:val="center"/>
        </m:oMathParaPr>
        <m:oMath>
          <m:sSub>
            <m:e>
              <m:r>
                <m:t>d</m:t>
              </m:r>
            </m:e>
            <m:sub>
              <m:r>
                <m:t>t</m:t>
              </m:r>
            </m:sub>
          </m:sSub>
          <m:r>
            <m:t>≥</m:t>
          </m:r>
          <m:sSub>
            <m:e>
              <m:r>
                <m:t>p</m:t>
              </m:r>
            </m:e>
            <m:sub>
              <m:r>
                <m:t>c</m:t>
              </m:r>
              <m:r>
                <m:t>,</m:t>
              </m:r>
              <m:r>
                <m:t>t</m:t>
              </m:r>
              <m:r>
                <m:t>−</m:t>
              </m:r>
              <m:r>
                <m:t>1</m:t>
              </m:r>
            </m:sub>
          </m:sSub>
          <m:r>
            <m:t>−</m:t>
          </m:r>
          <m:sSub>
            <m:e>
              <m:r>
                <m:t>p</m:t>
              </m:r>
            </m:e>
            <m:sub>
              <m:r>
                <m:t>c</m:t>
              </m:r>
              <m:r>
                <m:t>t</m:t>
              </m:r>
            </m:sub>
          </m:sSub>
          <m:r>
            <m:t>,</m:t>
          </m:r>
          <m:r>
            <m:t>  </m:t>
          </m:r>
          <m:r>
            <m:t>∀</m:t>
          </m:r>
          <m:r>
            <m:t>c</m:t>
          </m:r>
          <m:r>
            <m:t>∈</m:t>
          </m:r>
          <m:r>
            <m:t>C</m:t>
          </m:r>
          <m:r>
            <m:t>,</m:t>
          </m:r>
          <m:r>
            <m:t> </m:t>
          </m:r>
          <m:r>
            <m:t>t</m:t>
          </m:r>
          <m:r>
            <m:t>=</m:t>
          </m:r>
          <m:r>
            <m:t>1</m:t>
          </m:r>
          <m:r>
            <m:t>,</m:t>
          </m:r>
          <m:r>
            <m:t>…</m:t>
          </m:r>
          <m:r>
            <m:t>,</m:t>
          </m:r>
          <m:r>
            <m:t>n</m:t>
          </m:r>
          <m:r>
            <m:t>−</m:t>
          </m:r>
          <m:r>
            <m:t>1</m:t>
          </m:r>
          <m:r>
            <m:t>.</m:t>
          </m:r>
        </m:oMath>
      </m:oMathPara>
    </w:p>
    <w:p>
      <w:pPr>
        <w:pStyle w:val="FirstParagraph"/>
        <w:widowControl/>
        <w:spacing w:before="100" w:after="140"/>
        <w:jc w:val="left"/>
      </w:pPr>
      <w:r>
        <w:t xml:space="preserve">若位置</w:t>
      </w:r>
      <w:r>
        <w:t xml:space="preserve"> </w:t>
      </w:r>
      <m:oMath>
        <m:r>
          <m:t>t</m:t>
        </m:r>
        <m:r>
          <m:t>−</m:t>
        </m:r>
        <m:r>
          <m:t>1</m:t>
        </m:r>
      </m:oMath>
      <w:r>
        <w:t xml:space="preserve"> </w:t>
      </w:r>
      <w:r>
        <w:t xml:space="preserve">的颜色为</w:t>
      </w:r>
      <w:r>
        <w:t xml:space="preserve"> </w:t>
      </w:r>
      <m:oMath>
        <m:r>
          <m:t>c</m:t>
        </m:r>
      </m:oMath>
      <w:r>
        <w:t xml:space="preserve">，而位置</w:t>
      </w:r>
      <w:r>
        <w:t xml:space="preserve"> </w:t>
      </w:r>
      <m:oMath>
        <m:r>
          <m:t>t</m:t>
        </m:r>
      </m:oMath>
      <w:r>
        <w:t xml:space="preserve"> </w:t>
      </w:r>
      <w:r>
        <w:t xml:space="preserve">不是颜色</w:t>
      </w:r>
      <w:r>
        <w:t xml:space="preserve"> </w:t>
      </w:r>
      <m:oMath>
        <m:r>
          <m:t>c</m:t>
        </m:r>
      </m:oMath>
      <w:r>
        <w:t xml:space="preserve">，右侧等于 1，从而强制</w:t>
      </w:r>
      <w:r>
        <w:t xml:space="preserve"> </w:t>
      </w:r>
      <m:oMath>
        <m:sSub>
          <m:e>
            <m:r>
              <m:t>d</m:t>
            </m:r>
          </m:e>
          <m:sub>
            <m:r>
              <m:t>t</m:t>
            </m:r>
          </m:sub>
        </m:sSub>
        <m:r>
          <m:t>=</m:t>
        </m:r>
        <m:r>
          <m:t>1</m:t>
        </m:r>
      </m:oMath>
      <w:r>
        <w:t xml:space="preserve">。在最小化 Paint Change 的目标下，相邻颜色相同时</w:t>
      </w:r>
      <w:r>
        <w:t xml:space="preserve"> </w:t>
      </w:r>
      <m:oMath>
        <m:sSub>
          <m:e>
            <m:r>
              <m:t>d</m:t>
            </m:r>
          </m:e>
          <m:sub>
            <m:r>
              <m:t>t</m:t>
            </m:r>
          </m:sub>
        </m:sSub>
      </m:oMath>
      <w:r>
        <w:t xml:space="preserve"> </w:t>
      </w:r>
      <w:r>
        <w:t xml:space="preserve">会取 0。</w:t>
      </w:r>
    </w:p>
    <w:p>
      <w:pPr>
        <w:pStyle w:val="Heading3"/>
        <w:widowControl/>
      </w:pPr>
      <w:bookmarkStart w:id="35" w:name="d-1-到-d-的跨日颜色切换"/>
      <w:bookmarkEnd w:id="35"/>
      <w:r>
        <w:t xml:space="preserve">6.3 D-1 到 D 的跨日颜色切换</w:t>
      </w:r>
    </w:p>
    <w:p>
      <w:pPr>
        <w:pStyle w:val="FirstParagraph"/>
        <w:widowControl/>
        <w:spacing w:before="100" w:after="140"/>
        <w:jc w:val="left"/>
      </w:pPr>
      <w:r>
        <w:t xml:space="preserve">D-1 最后一辆车的颜色</w:t>
      </w:r>
      <w:r>
        <w:t xml:space="preserve"> </w:t>
      </w:r>
      <m:oMath>
        <m:sSup>
          <m:e>
            <m:r>
              <m:t>c</m:t>
            </m:r>
          </m:e>
          <m:sup>
            <m:r>
              <m:t>p</m:t>
            </m:r>
            <m:r>
              <m:t>r</m:t>
            </m:r>
            <m:r>
              <m:t>e</m:t>
            </m:r>
            <m:r>
              <m:t>v</m:t>
            </m:r>
          </m:sup>
        </m:sSup>
      </m:oMath>
      <w:r>
        <w:t xml:space="preserve"> </w:t>
      </w:r>
      <w:r>
        <w:t xml:space="preserve">是已知参数：</w:t>
      </w:r>
    </w:p>
    <w:p>
      <w:pPr>
        <w:pStyle w:val="BodyText"/>
        <w:widowControl/>
        <w:spacing w:before="100" w:after="140"/>
        <w:jc w:val="center"/>
      </w:pPr>
      <m:oMathPara>
        <m:oMathParaPr>
          <m:jc m:val="center"/>
        </m:oMathParaPr>
        <m:oMath>
          <m:sSub>
            <m:e>
              <m:r>
                <m:t>d</m:t>
              </m:r>
            </m:e>
            <m:sub>
              <m:r>
                <m:t>0</m:t>
              </m:r>
            </m:sub>
          </m:sSub>
          <m:r>
            <m:t>≥</m:t>
          </m:r>
          <m:r>
            <m:t>1</m:t>
          </m:r>
          <m:r>
            <m:t>−</m:t>
          </m:r>
          <m:sSub>
            <m:e>
              <m:r>
                <m:t>p</m:t>
              </m:r>
            </m:e>
            <m:sub>
              <m:sSup>
                <m:e>
                  <m:r>
                    <m:t>c</m:t>
                  </m:r>
                </m:e>
                <m:sup>
                  <m:r>
                    <m:t>p</m:t>
                  </m:r>
                  <m:r>
                    <m:t>r</m:t>
                  </m:r>
                  <m:r>
                    <m:t>e</m:t>
                  </m:r>
                  <m:r>
                    <m:t>v</m:t>
                  </m:r>
                </m:sup>
              </m:sSup>
              <m:r>
                <m:t>,</m:t>
              </m:r>
              <m:r>
                <m:t>0</m:t>
              </m:r>
            </m:sub>
          </m:sSub>
          <m:r>
            <m:t>.</m:t>
          </m:r>
        </m:oMath>
      </m:oMathPara>
    </w:p>
    <w:p>
      <w:pPr>
        <w:pStyle w:val="FirstParagraph"/>
        <w:widowControl/>
        <w:spacing w:before="100" w:after="140"/>
        <w:jc w:val="left"/>
      </w:pPr>
      <w:r>
        <w:t xml:space="preserve">若 D 日第一辆车颜色仍为</w:t>
      </w:r>
      <w:r>
        <w:t xml:space="preserve"> </w:t>
      </w:r>
      <m:oMath>
        <m:sSup>
          <m:e>
            <m:r>
              <m:t>c</m:t>
            </m:r>
          </m:e>
          <m:sup>
            <m:r>
              <m:t>p</m:t>
            </m:r>
            <m:r>
              <m:t>r</m:t>
            </m:r>
            <m:r>
              <m:t>e</m:t>
            </m:r>
            <m:r>
              <m:t>v</m:t>
            </m:r>
          </m:sup>
        </m:sSup>
      </m:oMath>
      <w:r>
        <w:t xml:space="preserve">，则</w:t>
      </w:r>
      <w:r>
        <w:t xml:space="preserve"> </w:t>
      </w:r>
      <m:oMath>
        <m:sSub>
          <m:e>
            <m:r>
              <m:t>d</m:t>
            </m:r>
          </m:e>
          <m:sub>
            <m:r>
              <m:t>0</m:t>
            </m:r>
          </m:sub>
        </m:sSub>
      </m:oMath>
      <w:r>
        <w:t xml:space="preserve"> </w:t>
      </w:r>
      <w:r>
        <w:t xml:space="preserve">可取 0；否则必须取 1。</w:t>
      </w:r>
    </w:p>
    <w:p>
      <w:pPr>
        <w:pStyle w:val="Heading3"/>
        <w:widowControl/>
      </w:pPr>
      <w:bookmarkStart w:id="36" w:name="paint-change-总量"/>
      <w:bookmarkEnd w:id="36"/>
      <w:r>
        <w:t xml:space="preserve">6.4 Paint Change 总量</w:t>
      </w:r>
    </w:p>
    <w:p>
      <w:pPr>
        <w:pStyle w:val="FirstParagraph"/>
        <w:widowControl/>
        <w:spacing w:before="100" w:after="140"/>
        <w:jc w:val="center"/>
      </w:pPr>
      <m:oMathPara>
        <m:oMathParaPr>
          <m:jc m:val="center"/>
        </m:oMathParaPr>
        <m:oMath>
          <m:sSub>
            <m:e>
              <m:r>
                <m:t>Z</m:t>
              </m:r>
            </m:e>
            <m:sub>
              <m:r>
                <m:t>p</m:t>
              </m:r>
              <m:r>
                <m:t>a</m:t>
              </m:r>
              <m:r>
                <m:t>i</m:t>
              </m:r>
              <m:r>
                <m:t>n</m:t>
              </m:r>
              <m:r>
                <m:t>t</m:t>
              </m:r>
            </m:sub>
          </m:sSub>
          <m:r>
            <m:t>=</m:t>
          </m:r>
          <m:nary>
            <m:naryPr>
              <m:chr m:val="∑"/>
              <m:limLoc m:val="undOvr"/>
              <m:subHide m:val="0"/>
              <m:supHide m:val="1"/>
            </m:naryPr>
            <m:sub>
              <m:r>
                <m:t>t</m:t>
              </m:r>
              <m:r>
                <m:t>∈</m:t>
              </m:r>
              <m:r>
                <m:t>T</m:t>
              </m:r>
            </m:sub>
            <m:sup/>
            <m:e>
              <m:sSub>
                <m:e>
                  <m:r>
                    <m:t>d</m:t>
                  </m:r>
                </m:e>
                <m:sub>
                  <m:r>
                    <m:t>t</m:t>
                  </m:r>
                </m:sub>
              </m:sSub>
            </m:e>
          </m:nary>
          <m:r>
            <m:t>.</m:t>
          </m:r>
        </m:oMath>
      </m:oMathPara>
    </w:p>
    <w:p>
      <w:pPr>
        <w:pStyle w:val="FirstParagraph"/>
        <w:widowControl/>
      </w:pPr>
      <w:r>
        <w:t xml:space="preserve">该定义包含一次可能的 D-1/D 跨日切换和 D 日内部切换，不计算 D 日最后一辆车之后的颜色切换。</w:t>
      </w:r>
    </w:p>
    <w:p>
      <w:pPr>
        <w:widowControl/>
      </w:pPr>
      <w:r>
        <w:rPr>
          <w:rFonts w:ascii="Calibri" w:hAnsi="Calibri" w:eastAsia="Microsoft YaHei"/>
          <w:sz w:val="21"/>
        </w:rPr>
        <w:pict>
          <v:rect style="width:0;height:1.5pt" o:hralign="center" o:hrstd="t" o:hr="t"/>
        </w:pict>
      </w:r>
    </w:p>
    <w:p>
      <w:pPr>
        <w:pStyle w:val="Heading2"/>
        <w:widowControl/>
      </w:pPr>
      <w:bookmarkStart w:id="37" w:name="最大颜色批次硬约束"/>
      <w:bookmarkEnd w:id="37"/>
      <w:r>
        <w:t xml:space="preserve">7. 最大颜色批次硬约束</w:t>
      </w:r>
    </w:p>
    <w:p>
      <w:pPr>
        <w:pStyle w:val="FirstParagraph"/>
        <w:widowControl/>
        <w:spacing w:before="100" w:after="140"/>
        <w:jc w:val="left"/>
      </w:pPr>
      <w:r>
        <w:t xml:space="preserve">连续同色车辆数量不得超过</w:t>
      </w:r>
      <w:r>
        <w:t xml:space="preserve"> </w:t>
      </w:r>
      <m:oMath>
        <m:r>
          <m:t>L</m:t>
        </m:r>
      </m:oMath>
      <w:r>
        <w:t xml:space="preserve">。对于任意颜色</w:t>
      </w:r>
      <w:r>
        <w:t xml:space="preserve"> </w:t>
      </w:r>
      <m:oMath>
        <m:r>
          <m:t>c</m:t>
        </m:r>
      </m:oMath>
      <w:r>
        <w:t xml:space="preserve"> </w:t>
      </w:r>
      <w:r>
        <w:t xml:space="preserve">和任意长度为</w:t>
      </w:r>
      <w:r>
        <w:t xml:space="preserve"> </w:t>
      </w:r>
      <m:oMath>
        <m:r>
          <m:t>L</m:t>
        </m:r>
        <m:r>
          <m:t>+</m:t>
        </m:r>
        <m:r>
          <m:t>1</m:t>
        </m:r>
      </m:oMath>
      <w:r>
        <w:t xml:space="preserve"> </w:t>
      </w:r>
      <w:r>
        <w:t xml:space="preserve">的 D 日窗口：</w:t>
      </w:r>
    </w:p>
    <w:p>
      <w:pPr>
        <w:pStyle w:val="BodyText"/>
        <w:widowControl/>
        <w:spacing w:before="100" w:after="140"/>
        <w:jc w:val="center"/>
      </w:pPr>
      <m:oMathPara>
        <m:oMathParaPr>
          <m:jc m:val="center"/>
        </m:oMathParaPr>
        <m:oMath>
          <m:nary>
            <m:naryPr>
              <m:chr m:val="∑"/>
              <m:limLoc m:val="undOvr"/>
              <m:subHide m:val="0"/>
              <m:supHide m:val="0"/>
            </m:naryPr>
            <m:sub>
              <m:r>
                <m:t>τ</m:t>
              </m:r>
              <m:r>
                <m:t>=</m:t>
              </m:r>
              <m:r>
                <m:t>t</m:t>
              </m:r>
            </m:sub>
            <m:sup>
              <m:r>
                <m:t>t</m:t>
              </m:r>
              <m:r>
                <m:t>+</m:t>
              </m:r>
              <m:r>
                <m:t>L</m:t>
              </m:r>
            </m:sup>
            <m:e>
              <m:sSub>
                <m:e>
                  <m:r>
                    <m:t>p</m:t>
                  </m:r>
                </m:e>
                <m:sub>
                  <m:r>
                    <m:t>c</m:t>
                  </m:r>
                  <m:r>
                    <m:t>τ</m:t>
                  </m:r>
                </m:sub>
              </m:sSub>
            </m:e>
          </m:nary>
          <m:r>
            <m:t>≤</m:t>
          </m:r>
          <m:r>
            <m:t>L</m:t>
          </m:r>
          <m:r>
            <m:t>,</m:t>
          </m:r>
          <m:r>
            <m:t>  </m:t>
          </m:r>
          <m:r>
            <m:t>∀</m:t>
          </m:r>
          <m:r>
            <m:t>c</m:t>
          </m:r>
          <m:r>
            <m:t>∈</m:t>
          </m:r>
          <m:r>
            <m:t>C</m:t>
          </m:r>
          <m:r>
            <m:t>,</m:t>
          </m:r>
          <m:r>
            <m:t> </m:t>
          </m:r>
          <m:r>
            <m:t>t</m:t>
          </m:r>
          <m:r>
            <m:t>=</m:t>
          </m:r>
          <m:r>
            <m:t>0</m:t>
          </m:r>
          <m:r>
            <m:t>,</m:t>
          </m:r>
          <m:r>
            <m:t>…</m:t>
          </m:r>
          <m:r>
            <m:t>,</m:t>
          </m:r>
          <m:r>
            <m:t>n</m:t>
          </m:r>
          <m:r>
            <m:t>−</m:t>
          </m:r>
          <m:r>
            <m:t>L</m:t>
          </m:r>
          <m:r>
            <m:t>−</m:t>
          </m:r>
          <m:r>
            <m:t>1</m:t>
          </m:r>
          <m:r>
            <m:t>.</m:t>
          </m:r>
        </m:oMath>
      </m:oMathPara>
    </w:p>
    <w:p>
      <w:pPr>
        <w:pStyle w:val="FirstParagraph"/>
        <w:widowControl/>
        <w:spacing w:before="100" w:after="140"/>
        <w:jc w:val="left"/>
      </w:pPr>
      <w:r>
        <w:t xml:space="preserve">如果存在连续</w:t>
      </w:r>
      <w:r>
        <w:t xml:space="preserve"> </w:t>
      </w:r>
      <m:oMath>
        <m:r>
          <m:t>L</m:t>
        </m:r>
        <m:r>
          <m:t>+</m:t>
        </m:r>
        <m:r>
          <m:t>1</m:t>
        </m:r>
      </m:oMath>
      <w:r>
        <w:t xml:space="preserve"> </w:t>
      </w:r>
      <w:r>
        <w:t xml:space="preserve">辆同色车辆，则对应窗口左侧等于</w:t>
      </w:r>
      <w:r>
        <w:t xml:space="preserve"> </w:t>
      </w:r>
      <m:oMath>
        <m:r>
          <m:t>L</m:t>
        </m:r>
        <m:r>
          <m:t>+</m:t>
        </m:r>
        <m:r>
          <m:t>1</m:t>
        </m:r>
      </m:oMath>
      <w:r>
        <w:t xml:space="preserve">，违反该约束。该约束是硬约束；HPRC/LPRC 则通过违反变量作为软目标处理。</w:t>
      </w:r>
    </w:p>
    <w:p>
      <w:pPr>
        <w:widowControl/>
      </w:pPr>
      <w:r>
        <w:rPr>
          <w:rFonts w:ascii="Calibri" w:hAnsi="Calibri" w:eastAsia="Microsoft YaHei"/>
          <w:sz w:val="21"/>
        </w:rPr>
        <w:pict>
          <v:rect style="width:0;height:1.5pt" o:hralign="center" o:hrstd="t" o:hr="t"/>
        </w:pict>
      </w:r>
    </w:p>
    <w:p>
      <w:pPr>
        <w:pStyle w:val="Heading2"/>
        <w:widowControl/>
      </w:pPr>
      <w:bookmarkStart w:id="38" w:name="选装件关联与比例约束"/>
      <w:bookmarkEnd w:id="38"/>
      <w:r>
        <w:t xml:space="preserve">8. 选装件关联与比例约束</w:t>
      </w:r>
    </w:p>
    <w:p>
      <w:pPr>
        <w:pStyle w:val="Heading3"/>
        <w:widowControl/>
      </w:pPr>
      <w:bookmarkStart w:id="39" w:name="位置选装件状态"/>
      <w:bookmarkEnd w:id="39"/>
      <w:r>
        <w:t xml:space="preserve">8.1 位置选装件状态</w:t>
      </w:r>
    </w:p>
    <w:p>
      <w:pPr>
        <w:pStyle w:val="FirstParagraph"/>
        <w:widowControl/>
        <w:spacing w:before="100" w:after="140"/>
        <w:jc w:val="left"/>
      </w:pPr>
      <w:r>
        <w:t xml:space="preserve">若显式创建</w:t>
      </w:r>
      <w:r>
        <w:t xml:space="preserve"> </w:t>
      </w:r>
      <m:oMath>
        <m:sSub>
          <m:e>
            <m:r>
              <m:t>a</m:t>
            </m:r>
          </m:e>
          <m:sub>
            <m:r>
              <m:t>k</m:t>
            </m:r>
            <m:r>
              <m:t>t</m:t>
            </m:r>
          </m:sub>
        </m:sSub>
      </m:oMath>
      <w:r>
        <w:t xml:space="preserve">，其关联约束为：</w:t>
      </w:r>
    </w:p>
    <w:p>
      <w:pPr>
        <w:pStyle w:val="BodyText"/>
        <w:widowControl/>
        <w:spacing w:before="100" w:after="140"/>
        <w:jc w:val="center"/>
      </w:pPr>
      <m:oMathPara>
        <m:oMathParaPr>
          <m:jc m:val="center"/>
        </m:oMathParaPr>
        <m:oMath>
          <m:sSub>
            <m:e>
              <m:r>
                <m:t>a</m:t>
              </m:r>
            </m:e>
            <m:sub>
              <m:r>
                <m:t>k</m:t>
              </m:r>
              <m:r>
                <m:t>t</m:t>
              </m:r>
            </m:sub>
          </m:sSub>
          <m:r>
            <m:t>=</m:t>
          </m:r>
          <m:nary>
            <m:naryPr>
              <m:chr m:val="∑"/>
              <m:limLoc m:val="undOvr"/>
              <m:subHide m:val="0"/>
              <m:supHide m:val="1"/>
            </m:naryPr>
            <m:sub>
              <m:r>
                <m:t>g</m:t>
              </m:r>
              <m:r>
                <m:t>∈</m:t>
              </m:r>
              <m:r>
                <m:t>G</m:t>
              </m:r>
            </m:sub>
            <m:sup/>
            <m:e>
              <m:sSub>
                <m:e>
                  <m:r>
                    <m:t>q</m:t>
                  </m:r>
                </m:e>
                <m:sub>
                  <m:r>
                    <m:t>k</m:t>
                  </m:r>
                  <m:r>
                    <m:t>g</m:t>
                  </m:r>
                </m:sub>
              </m:sSub>
            </m:e>
          </m:nary>
          <m:sSub>
            <m:e>
              <m:r>
                <m:t>x</m:t>
              </m:r>
            </m:e>
            <m:sub>
              <m:r>
                <m:t>g</m:t>
              </m:r>
              <m:r>
                <m:t>t</m:t>
              </m:r>
            </m:sub>
          </m:sSub>
          <m:r>
            <m:t>,</m:t>
          </m:r>
          <m:r>
            <m:t>  </m:t>
          </m:r>
          <m:r>
            <m:t>∀</m:t>
          </m:r>
          <m:r>
            <m:t>k</m:t>
          </m:r>
          <m:r>
            <m:t>∈</m:t>
          </m:r>
          <m:r>
            <m:t>K</m:t>
          </m:r>
          <m:r>
            <m:t>,</m:t>
          </m:r>
          <m:r>
            <m:t> </m:t>
          </m:r>
          <m:r>
            <m:t>t</m:t>
          </m:r>
          <m:r>
            <m:t>∈</m:t>
          </m:r>
          <m:r>
            <m:t>T</m:t>
          </m:r>
          <m:r>
            <m:t>.</m:t>
          </m:r>
        </m:oMath>
      </m:oMathPara>
    </w:p>
    <w:p>
      <w:pPr>
        <w:pStyle w:val="FirstParagraph"/>
        <w:widowControl/>
        <w:spacing w:before="100" w:after="140"/>
        <w:jc w:val="left"/>
      </w:pPr>
      <w:r>
        <w:t xml:space="preserve">其中</w:t>
      </w:r>
      <w:r>
        <w:t xml:space="preserve"> </w:t>
      </w:r>
      <m:oMath>
        <m:sSub>
          <m:e>
            <m:r>
              <m:t>q</m:t>
            </m:r>
          </m:e>
          <m:sub>
            <m:r>
              <m:t>k</m:t>
            </m:r>
            <m:r>
              <m:t>g</m:t>
            </m:r>
          </m:sub>
        </m:sSub>
      </m:oMath>
      <w:r>
        <w:t xml:space="preserve"> </w:t>
      </w:r>
      <w:r>
        <w:t xml:space="preserve">是已知参数，</w:t>
      </w:r>
      <m:oMath>
        <m:sSub>
          <m:e>
            <m:r>
              <m:t>x</m:t>
            </m:r>
          </m:e>
          <m:sub>
            <m:r>
              <m:t>g</m:t>
            </m:r>
            <m:r>
              <m:t>t</m:t>
            </m:r>
          </m:sub>
        </m:sSub>
      </m:oMath>
      <w:r>
        <w:t xml:space="preserve"> </w:t>
      </w:r>
      <w:r>
        <w:t xml:space="preserve">是决策变量。因此</w:t>
      </w:r>
      <w:r>
        <w:t xml:space="preserve"> </w:t>
      </w:r>
      <m:oMath>
        <m:sSub>
          <m:e>
            <m:r>
              <m:t>a</m:t>
            </m:r>
          </m:e>
          <m:sub>
            <m:r>
              <m:t>k</m:t>
            </m:r>
            <m:r>
              <m:t>t</m:t>
            </m:r>
          </m:sub>
        </m:sSub>
      </m:oMath>
      <w:r>
        <w:t xml:space="preserve"> </w:t>
      </w:r>
      <w:r>
        <w:t xml:space="preserve">表示最终排在位置</w:t>
      </w:r>
      <w:r>
        <w:t xml:space="preserve"> </w:t>
      </w:r>
      <m:oMath>
        <m:r>
          <m:t>t</m:t>
        </m:r>
      </m:oMath>
      <w:r>
        <w:t xml:space="preserve"> </w:t>
      </w:r>
      <w:r>
        <w:t xml:space="preserve">的车辆是否具有选装件</w:t>
      </w:r>
      <w:r>
        <w:t xml:space="preserve"> </w:t>
      </w:r>
      <m:oMath>
        <m:r>
          <m:t>k</m:t>
        </m:r>
      </m:oMath>
      <w:r>
        <w:t xml:space="preserve">。</w:t>
      </w:r>
    </w:p>
    <w:p>
      <w:pPr>
        <w:pStyle w:val="BodyText"/>
        <w:widowControl/>
      </w:pPr>
      <w:r>
        <w:t xml:space="preserve">实现时也可直接使用：</w:t>
      </w:r>
    </w:p>
    <w:p>
      <w:pPr>
        <w:pStyle w:val="BodyText"/>
        <w:widowControl/>
        <w:spacing w:before="100" w:after="140"/>
        <w:jc w:val="center"/>
      </w:pPr>
      <m:oMathPara>
        <m:oMathParaPr>
          <m:jc m:val="center"/>
        </m:oMathParaPr>
        <m:oMath>
          <m:nary>
            <m:naryPr>
              <m:chr m:val="∑"/>
              <m:limLoc m:val="undOvr"/>
              <m:subHide m:val="0"/>
              <m:supHide m:val="1"/>
            </m:naryPr>
            <m:sub>
              <m:r>
                <m:t>g</m:t>
              </m:r>
              <m:r>
                <m:t>∈</m:t>
              </m:r>
              <m:r>
                <m:t>G</m:t>
              </m:r>
            </m:sub>
            <m:sup/>
            <m:e>
              <m:sSub>
                <m:e>
                  <m:r>
                    <m:t>q</m:t>
                  </m:r>
                </m:e>
                <m:sub>
                  <m:r>
                    <m:t>k</m:t>
                  </m:r>
                  <m:r>
                    <m:t>g</m:t>
                  </m:r>
                </m:sub>
              </m:sSub>
            </m:e>
          </m:nary>
          <m:sSub>
            <m:e>
              <m:r>
                <m:t>x</m:t>
              </m:r>
            </m:e>
            <m:sub>
              <m:r>
                <m:t>g</m:t>
              </m:r>
              <m:r>
                <m:t>t</m:t>
              </m:r>
            </m:sub>
          </m:sSub>
        </m:oMath>
      </m:oMathPara>
    </w:p>
    <w:p>
      <w:pPr>
        <w:pStyle w:val="FirstParagraph"/>
        <w:widowControl/>
        <w:spacing w:before="100" w:after="140"/>
        <w:jc w:val="left"/>
      </w:pPr>
      <w:r>
        <w:t xml:space="preserve">替代</w:t>
      </w:r>
      <w:r>
        <w:t xml:space="preserve"> </w:t>
      </w:r>
      <m:oMath>
        <m:sSub>
          <m:e>
            <m:r>
              <m:t>a</m:t>
            </m:r>
          </m:e>
          <m:sub>
            <m:r>
              <m:t>k</m:t>
            </m:r>
            <m:r>
              <m:t>t</m:t>
            </m:r>
          </m:sub>
        </m:sSub>
      </m:oMath>
      <w:r>
        <w:t xml:space="preserve">。</w:t>
      </w:r>
    </w:p>
    <w:p>
      <w:pPr>
        <w:pStyle w:val="Heading3"/>
        <w:widowControl/>
      </w:pPr>
      <w:bookmarkStart w:id="40" w:name="比例约束违反量"/>
      <w:bookmarkEnd w:id="40"/>
      <w:r>
        <w:t xml:space="preserve">8.2 比例约束违反量</w:t>
      </w:r>
    </w:p>
    <w:p>
      <w:pPr>
        <w:pStyle w:val="FirstParagraph"/>
        <w:widowControl/>
        <w:spacing w:before="100" w:after="140"/>
        <w:jc w:val="left"/>
      </w:pPr>
      <w:r>
        <w:t xml:space="preserve">对于每个约束</w:t>
      </w:r>
      <w:r>
        <w:t xml:space="preserve"> </w:t>
      </w:r>
      <m:oMath>
        <m:r>
          <m:t>k</m:t>
        </m:r>
      </m:oMath>
      <w:r>
        <w:t xml:space="preserve"> </w:t>
      </w:r>
      <w:r>
        <w:t xml:space="preserve">和窗口起点</w:t>
      </w:r>
      <w:r>
        <w:t xml:space="preserve"> </w:t>
      </w:r>
      <m:oMath>
        <m:r>
          <m:t>s</m:t>
        </m:r>
        <m:r>
          <m:t>∈</m:t>
        </m:r>
        <m:sSub>
          <m:e>
            <m:r>
              <m:t>S</m:t>
            </m:r>
          </m:e>
          <m:sub>
            <m:r>
              <m:t>k</m:t>
            </m:r>
          </m:sub>
        </m:sSub>
      </m:oMath>
      <w:r>
        <w:t xml:space="preserve">：</w:t>
      </w:r>
    </w:p>
    <w:p>
      <w:pPr>
        <w:pStyle w:val="BodyText"/>
        <w:widowControl/>
        <w:spacing w:before="100" w:after="140"/>
        <w:jc w:val="center"/>
      </w:pPr>
      <m:oMathPara>
        <m:oMathParaPr>
          <m:jc m:val="center"/>
        </m:oMathParaPr>
        <m:oMath>
          <m:sSub>
            <m:e>
              <m:r>
                <m:t>u</m:t>
              </m:r>
            </m:e>
            <m:sub>
              <m:r>
                <m:t>k</m:t>
              </m:r>
              <m:r>
                <m:t>s</m:t>
              </m:r>
            </m:sub>
          </m:sSub>
          <m:r>
            <m:t>≥</m:t>
          </m:r>
          <m:sSub>
            <m:e>
              <m:r>
                <m:t>b</m:t>
              </m:r>
            </m:e>
            <m:sub>
              <m:r>
                <m:t>k</m:t>
              </m:r>
              <m:r>
                <m:t>s</m:t>
              </m:r>
            </m:sub>
          </m:sSub>
          <m:r>
            <m:t>+</m:t>
          </m:r>
          <m:nary>
            <m:naryPr>
              <m:chr m:val="∑"/>
              <m:limLoc m:val="undOvr"/>
              <m:subHide m:val="0"/>
              <m:supHide m:val="1"/>
            </m:naryPr>
            <m:sub>
              <m:r>
                <m:t>t</m:t>
              </m:r>
              <m:r>
                <m:t>∈</m:t>
              </m:r>
              <m:sSubSup>
                <m:e>
                  <m:r>
                    <m:t>W</m:t>
                  </m:r>
                </m:e>
                <m:sub>
                  <m:r>
                    <m:t>k</m:t>
                  </m:r>
                  <m:r>
                    <m:t>s</m:t>
                  </m:r>
                </m:sub>
                <m:sup>
                  <m:r>
                    <m:t>D</m:t>
                  </m:r>
                </m:sup>
              </m:sSubSup>
            </m:sub>
            <m:sup/>
            <m:e>
              <m:nary>
                <m:naryPr>
                  <m:chr m:val="∑"/>
                  <m:limLoc m:val="undOvr"/>
                  <m:subHide m:val="0"/>
                  <m:supHide m:val="1"/>
                </m:naryPr>
                <m:sub>
                  <m:r>
                    <m:t>g</m:t>
                  </m:r>
                  <m:r>
                    <m:t>∈</m:t>
                  </m:r>
                  <m:r>
                    <m:t>G</m:t>
                  </m:r>
                </m:sub>
                <m:sup/>
                <m:e>
                  <m:sSub>
                    <m:e>
                      <m:r>
                        <m:t>q</m:t>
                      </m:r>
                    </m:e>
                    <m:sub>
                      <m:r>
                        <m:t>k</m:t>
                      </m:r>
                      <m:r>
                        <m:t>g</m:t>
                      </m:r>
                    </m:sub>
                  </m:sSub>
                </m:e>
              </m:nary>
            </m:e>
          </m:nary>
          <m:sSub>
            <m:e>
              <m:r>
                <m:t>x</m:t>
              </m:r>
            </m:e>
            <m:sub>
              <m:r>
                <m:t>g</m:t>
              </m:r>
              <m:r>
                <m:t>t</m:t>
              </m:r>
            </m:sub>
          </m:sSub>
          <m:r>
            <m:t>−</m:t>
          </m:r>
          <m:sSub>
            <m:e>
              <m:r>
                <m:t>N</m:t>
              </m:r>
            </m:e>
            <m:sub>
              <m:r>
                <m:t>k</m:t>
              </m:r>
            </m:sub>
          </m:sSub>
          <m:r>
            <m:t>,</m:t>
          </m:r>
        </m:oMath>
      </m:oMathPara>
    </w:p>
    <w:p>
      <w:pPr>
        <w:pStyle w:val="FirstParagraph"/>
        <w:widowControl/>
        <w:spacing w:before="100" w:after="140"/>
        <w:jc w:val="center"/>
      </w:pPr>
      <m:oMathPara>
        <m:oMathParaPr>
          <m:jc m:val="center"/>
        </m:oMathParaPr>
        <m:oMath>
          <m:sSub>
            <m:e>
              <m:r>
                <m:t>u</m:t>
              </m:r>
            </m:e>
            <m:sub>
              <m:r>
                <m:t>k</m:t>
              </m:r>
              <m:r>
                <m:t>s</m:t>
              </m:r>
            </m:sub>
          </m:sSub>
          <m:r>
            <m:t>≥</m:t>
          </m:r>
          <m:r>
            <m:t>0</m:t>
          </m:r>
          <m:r>
            <m:t>.</m:t>
          </m:r>
        </m:oMath>
      </m:oMathPara>
    </w:p>
    <w:p>
      <w:pPr>
        <w:pStyle w:val="FirstParagraph"/>
        <w:widowControl/>
        <w:spacing w:before="100" w:after="140"/>
        <w:jc w:val="left"/>
      </w:pPr>
      <w:r>
        <w:t xml:space="preserve">由于目标函数会最小化</w:t>
      </w:r>
      <w:r>
        <w:t xml:space="preserve"> </w:t>
      </w:r>
      <m:oMath>
        <m:sSub>
          <m:e>
            <m:r>
              <m:t>u</m:t>
            </m:r>
          </m:e>
          <m:sub>
            <m:r>
              <m:t>k</m:t>
            </m:r>
            <m:r>
              <m:t>s</m:t>
            </m:r>
          </m:sub>
        </m:sSub>
      </m:oMath>
      <w:r>
        <w:t xml:space="preserve">，最优解中有：</w:t>
      </w:r>
    </w:p>
    <w:p>
      <w:pPr>
        <w:pStyle w:val="BodyText"/>
        <w:widowControl/>
        <w:spacing w:before="100" w:after="140"/>
        <w:jc w:val="center"/>
      </w:pPr>
      <m:oMathPara>
        <m:oMathParaPr>
          <m:jc m:val="center"/>
        </m:oMathParaPr>
        <m:oMath>
          <m:sSub>
            <m:e>
              <m:r>
                <m:t>u</m:t>
              </m:r>
            </m:e>
            <m:sub>
              <m:r>
                <m:t>k</m:t>
              </m:r>
              <m:r>
                <m:t>s</m:t>
              </m:r>
            </m:sub>
          </m:sSub>
          <m:r>
            <m:t>=</m:t>
          </m:r>
          <m:r>
            <m:rPr>
              <m:sty m:val="p"/>
            </m:rPr>
            <m:t>max</m:t>
          </m:r>
          <m:d>
            <m:dPr>
              <m:begChr m:val="("/>
              <m:endChr m:val=")"/>
              <m:grow/>
            </m:dPr>
            <m:e>
              <m:r>
                <m:t>0</m:t>
              </m:r>
              <m:r>
                <m:t>,</m:t>
              </m:r>
              <m:sSub>
                <m:e>
                  <m:r>
                    <m:t>b</m:t>
                  </m:r>
                </m:e>
                <m:sub>
                  <m:r>
                    <m:t>k</m:t>
                  </m:r>
                  <m:r>
                    <m:t>s</m:t>
                  </m:r>
                </m:sub>
              </m:sSub>
              <m:r>
                <m:t>+</m:t>
              </m:r>
              <m:nary>
                <m:naryPr>
                  <m:chr m:val="∑"/>
                  <m:limLoc m:val="undOvr"/>
                  <m:subHide m:val="0"/>
                  <m:supHide m:val="1"/>
                </m:naryPr>
                <m:sub>
                  <m:r>
                    <m:t>t</m:t>
                  </m:r>
                  <m:r>
                    <m:t>∈</m:t>
                  </m:r>
                  <m:sSubSup>
                    <m:e>
                      <m:r>
                        <m:t>W</m:t>
                      </m:r>
                    </m:e>
                    <m:sub>
                      <m:r>
                        <m:t>k</m:t>
                      </m:r>
                      <m:r>
                        <m:t>s</m:t>
                      </m:r>
                    </m:sub>
                    <m:sup>
                      <m:r>
                        <m:t>D</m:t>
                      </m:r>
                    </m:sup>
                  </m:sSubSup>
                </m:sub>
                <m:sup/>
                <m:e>
                  <m:nary>
                    <m:naryPr>
                      <m:chr m:val="∑"/>
                      <m:limLoc m:val="undOvr"/>
                      <m:subHide m:val="0"/>
                      <m:supHide m:val="1"/>
                    </m:naryPr>
                    <m:sub>
                      <m:r>
                        <m:t>g</m:t>
                      </m:r>
                      <m:r>
                        <m:t>∈</m:t>
                      </m:r>
                      <m:r>
                        <m:t>G</m:t>
                      </m:r>
                    </m:sub>
                    <m:sup/>
                    <m:e>
                      <m:sSub>
                        <m:e>
                          <m:r>
                            <m:t>q</m:t>
                          </m:r>
                        </m:e>
                        <m:sub>
                          <m:r>
                            <m:t>k</m:t>
                          </m:r>
                          <m:r>
                            <m:t>g</m:t>
                          </m:r>
                        </m:sub>
                      </m:sSub>
                    </m:e>
                  </m:nary>
                </m:e>
              </m:nary>
              <m:sSub>
                <m:e>
                  <m:r>
                    <m:t>x</m:t>
                  </m:r>
                </m:e>
                <m:sub>
                  <m:r>
                    <m:t>g</m:t>
                  </m:r>
                  <m:r>
                    <m:t>t</m:t>
                  </m:r>
                </m:sub>
              </m:sSub>
              <m:r>
                <m:t>−</m:t>
              </m:r>
              <m:sSub>
                <m:e>
                  <m:r>
                    <m:t>N</m:t>
                  </m:r>
                </m:e>
                <m:sub>
                  <m:r>
                    <m:t>k</m:t>
                  </m:r>
                </m:sub>
              </m:sSub>
            </m:e>
          </m:d>
          <m:r>
            <m:t>.</m:t>
          </m:r>
        </m:oMath>
      </m:oMathPara>
    </w:p>
    <w:p>
      <w:pPr>
        <w:pStyle w:val="FirstParagraph"/>
        <w:widowControl/>
        <w:spacing w:before="100" w:after="140"/>
        <w:jc w:val="left"/>
      </w:pPr>
      <w:r>
        <w:t xml:space="preserve">窗口内车辆计数和</w:t>
      </w:r>
      <w:r>
        <w:t xml:space="preserve"> </w:t>
      </w:r>
      <m:oMath>
        <m:sSub>
          <m:e>
            <m:r>
              <m:t>N</m:t>
            </m:r>
          </m:e>
          <m:sub>
            <m:r>
              <m:t>k</m:t>
            </m:r>
          </m:sub>
        </m:sSub>
      </m:oMath>
      <w:r>
        <w:t xml:space="preserve"> </w:t>
      </w:r>
      <w:r>
        <w:t xml:space="preserve">都是整数，因此即使</w:t>
      </w:r>
      <w:r>
        <w:t xml:space="preserve"> </w:t>
      </w:r>
      <m:oMath>
        <m:sSub>
          <m:e>
            <m:r>
              <m:t>u</m:t>
            </m:r>
          </m:e>
          <m:sub>
            <m:r>
              <m:t>k</m:t>
            </m:r>
            <m:r>
              <m:t>s</m:t>
            </m:r>
          </m:sub>
        </m:sSub>
      </m:oMath>
      <w:r>
        <w:t xml:space="preserve"> </w:t>
      </w:r>
      <w:r>
        <w:t xml:space="preserve">定义为连续非负变量，其最优值也自然为整数。</w:t>
      </w:r>
    </w:p>
    <w:p>
      <w:pPr>
        <w:pStyle w:val="Heading3"/>
        <w:widowControl/>
      </w:pPr>
      <w:bookmarkStart w:id="41" w:name="hprc-与-lprc-汇总"/>
      <w:bookmarkEnd w:id="41"/>
      <w:r>
        <w:t xml:space="preserve">8.3 HPRC 与 LPRC 汇总</w:t>
      </w:r>
    </w:p>
    <w:p>
      <w:pPr>
        <w:pStyle w:val="FirstParagraph"/>
        <w:widowControl/>
        <w:spacing w:before="100" w:after="140"/>
        <w:jc w:val="center"/>
      </w:pPr>
      <m:oMathPara>
        <m:oMathParaPr>
          <m:jc m:val="center"/>
        </m:oMathParaPr>
        <m:oMath>
          <m:sSub>
            <m:e>
              <m:r>
                <m:t>Z</m:t>
              </m:r>
            </m:e>
            <m:sub>
              <m:r>
                <m:t>H</m:t>
              </m:r>
              <m:r>
                <m:t>P</m:t>
              </m:r>
              <m:r>
                <m:t>R</m:t>
              </m:r>
              <m:r>
                <m:t>C</m:t>
              </m:r>
            </m:sub>
          </m:sSub>
          <m:r>
            <m:t>=</m:t>
          </m:r>
          <m:nary>
            <m:naryPr>
              <m:chr m:val="∑"/>
              <m:limLoc m:val="undOvr"/>
              <m:subHide m:val="0"/>
              <m:supHide m:val="1"/>
            </m:naryPr>
            <m:sub>
              <m:r>
                <m:t>k</m:t>
              </m:r>
              <m:r>
                <m:t>∈</m:t>
              </m:r>
              <m:sSub>
                <m:e>
                  <m:r>
                    <m:t>K</m:t>
                  </m:r>
                </m:e>
                <m:sub>
                  <m:r>
                    <m:t>H</m:t>
                  </m:r>
                </m:sub>
              </m:sSub>
            </m:sub>
            <m:sup/>
            <m:e>
              <m:nary>
                <m:naryPr>
                  <m:chr m:val="∑"/>
                  <m:limLoc m:val="undOvr"/>
                  <m:subHide m:val="0"/>
                  <m:supHide m:val="1"/>
                </m:naryPr>
                <m:sub>
                  <m:r>
                    <m:t>s</m:t>
                  </m:r>
                  <m:r>
                    <m:t>∈</m:t>
                  </m:r>
                  <m:sSub>
                    <m:e>
                      <m:r>
                        <m:t>S</m:t>
                      </m:r>
                    </m:e>
                    <m:sub>
                      <m:r>
                        <m:t>k</m:t>
                      </m:r>
                    </m:sub>
                  </m:sSub>
                </m:sub>
                <m:sup/>
                <m:e>
                  <m:sSub>
                    <m:e>
                      <m:r>
                        <m:t>u</m:t>
                      </m:r>
                    </m:e>
                    <m:sub>
                      <m:r>
                        <m:t>k</m:t>
                      </m:r>
                      <m:r>
                        <m:t>s</m:t>
                      </m:r>
                    </m:sub>
                  </m:sSub>
                </m:e>
              </m:nary>
            </m:e>
          </m:nary>
          <m:r>
            <m:t>,</m:t>
          </m:r>
        </m:oMath>
      </m:oMathPara>
    </w:p>
    <w:p>
      <w:pPr>
        <w:pStyle w:val="FirstParagraph"/>
        <w:widowControl/>
        <w:spacing w:before="100" w:after="140"/>
        <w:jc w:val="center"/>
      </w:pPr>
      <m:oMathPara>
        <m:oMathParaPr>
          <m:jc m:val="center"/>
        </m:oMathParaPr>
        <m:oMath>
          <m:sSub>
            <m:e>
              <m:r>
                <m:t>Z</m:t>
              </m:r>
            </m:e>
            <m:sub>
              <m:r>
                <m:t>L</m:t>
              </m:r>
              <m:r>
                <m:t>P</m:t>
              </m:r>
              <m:r>
                <m:t>R</m:t>
              </m:r>
              <m:r>
                <m:t>C</m:t>
              </m:r>
            </m:sub>
          </m:sSub>
          <m:r>
            <m:t>=</m:t>
          </m:r>
          <m:nary>
            <m:naryPr>
              <m:chr m:val="∑"/>
              <m:limLoc m:val="undOvr"/>
              <m:subHide m:val="0"/>
              <m:supHide m:val="1"/>
            </m:naryPr>
            <m:sub>
              <m:r>
                <m:t>k</m:t>
              </m:r>
              <m:r>
                <m:t>∈</m:t>
              </m:r>
              <m:sSub>
                <m:e>
                  <m:r>
                    <m:t>K</m:t>
                  </m:r>
                </m:e>
                <m:sub>
                  <m:r>
                    <m:t>L</m:t>
                  </m:r>
                </m:sub>
              </m:sSub>
            </m:sub>
            <m:sup/>
            <m:e>
              <m:nary>
                <m:naryPr>
                  <m:chr m:val="∑"/>
                  <m:limLoc m:val="undOvr"/>
                  <m:subHide m:val="0"/>
                  <m:supHide m:val="1"/>
                </m:naryPr>
                <m:sub>
                  <m:r>
                    <m:t>s</m:t>
                  </m:r>
                  <m:r>
                    <m:t>∈</m:t>
                  </m:r>
                  <m:sSub>
                    <m:e>
                      <m:r>
                        <m:t>S</m:t>
                      </m:r>
                    </m:e>
                    <m:sub>
                      <m:r>
                        <m:t>k</m:t>
                      </m:r>
                    </m:sub>
                  </m:sSub>
                </m:sub>
                <m:sup/>
                <m:e>
                  <m:sSub>
                    <m:e>
                      <m:r>
                        <m:t>u</m:t>
                      </m:r>
                    </m:e>
                    <m:sub>
                      <m:r>
                        <m:t>k</m:t>
                      </m:r>
                      <m:r>
                        <m:t>s</m:t>
                      </m:r>
                    </m:sub>
                  </m:sSub>
                </m:e>
              </m:nary>
            </m:e>
          </m:nary>
          <m:r>
            <m:t>.</m:t>
          </m:r>
        </m:oMath>
      </m:oMathPara>
    </w:p>
    <w:p>
      <w:pPr>
        <w:widowControl/>
      </w:pPr>
      <w:r>
        <w:rPr>
          <w:rFonts w:ascii="Calibri" w:hAnsi="Calibri" w:eastAsia="Microsoft YaHei"/>
          <w:sz w:val="21"/>
        </w:rPr>
        <w:pict>
          <v:rect style="width:0;height:1.5pt" o:hralign="center" o:hrstd="t" o:hr="t"/>
        </w:pict>
      </w:r>
    </w:p>
    <w:p>
      <w:pPr>
        <w:pStyle w:val="Heading2"/>
        <w:widowControl/>
      </w:pPr>
      <w:bookmarkStart w:id="42" w:name="多目标函数"/>
      <w:bookmarkEnd w:id="42"/>
      <w:r>
        <w:t xml:space="preserve">9. 多目标函数</w:t>
      </w:r>
    </w:p>
    <w:p>
      <w:pPr>
        <w:pStyle w:val="FirstParagraph"/>
        <w:widowControl/>
      </w:pPr>
      <w:r>
        <w:t xml:space="preserve">三个基础目标为：</w:t>
      </w:r>
    </w:p>
    <w:p>
      <w:pPr>
        <w:pStyle w:val="BodyText"/>
        <w:widowControl/>
        <w:spacing w:before="100" w:after="140"/>
        <w:jc w:val="center"/>
      </w:pPr>
      <m:oMathPara>
        <m:oMathParaPr>
          <m:jc m:val="center"/>
        </m:oMathParaPr>
        <m:oMath>
          <m:sSub>
            <m:e>
              <m:r>
                <m:t>Z</m:t>
              </m:r>
            </m:e>
            <m:sub>
              <m:r>
                <m:t>p</m:t>
              </m:r>
              <m:r>
                <m:t>a</m:t>
              </m:r>
              <m:r>
                <m:t>i</m:t>
              </m:r>
              <m:r>
                <m:t>n</m:t>
              </m:r>
              <m:r>
                <m:t>t</m:t>
              </m:r>
            </m:sub>
          </m:sSub>
          <m:r>
            <m:t>,</m:t>
          </m:r>
          <m:r>
            <m:t>  </m:t>
          </m:r>
          <m:sSub>
            <m:e>
              <m:r>
                <m:t>Z</m:t>
              </m:r>
            </m:e>
            <m:sub>
              <m:r>
                <m:t>H</m:t>
              </m:r>
              <m:r>
                <m:t>P</m:t>
              </m:r>
              <m:r>
                <m:t>R</m:t>
              </m:r>
              <m:r>
                <m:t>C</m:t>
              </m:r>
            </m:sub>
          </m:sSub>
          <m:r>
            <m:t>,</m:t>
          </m:r>
          <m:r>
            <m:t>  </m:t>
          </m:r>
          <m:sSub>
            <m:e>
              <m:r>
                <m:t>Z</m:t>
              </m:r>
            </m:e>
            <m:sub>
              <m:r>
                <m:t>L</m:t>
              </m:r>
              <m:r>
                <m:t>P</m:t>
              </m:r>
              <m:r>
                <m:t>R</m:t>
              </m:r>
              <m:r>
                <m:t>C</m:t>
              </m:r>
            </m:sub>
          </m:sSub>
          <m:r>
            <m:t>.</m:t>
          </m:r>
        </m:oMath>
      </m:oMathPara>
    </w:p>
    <w:p>
      <w:pPr>
        <w:pStyle w:val="FirstParagraph"/>
        <w:widowControl/>
      </w:pPr>
      <w:r>
        <w:t xml:space="preserve">每个 instance 的目标顺序由</w:t>
      </w:r>
      <w:r>
        <w:t xml:space="preserve"> </w:t>
      </w:r>
      <w:r>
        <w:rPr>
          <w:rStyle w:val="VerbatimChar"/>
        </w:rPr>
        <w:t xml:space="preserve">optimization_objectives.txt</w:t>
      </w:r>
      <w:r>
        <w:t xml:space="preserve"> </w:t>
      </w:r>
      <w:r>
        <w:t xml:space="preserve">给定。例如：</w:t>
      </w:r>
    </w:p>
    <w:p>
      <w:pPr>
        <w:pStyle w:val="SourceCode"/>
        <w:widowControl/>
      </w:pPr>
      <w:r>
        <w:rPr>
          <w:rStyle w:val="VerbatimChar"/>
        </w:rPr>
        <w:t xml:space="preserve">1. HPRC</w:t>
      </w:r>
      <w:r>
        <w:br w:type="textWrapping"/>
      </w:r>
      <w:r>
        <w:rPr>
          <w:rStyle w:val="VerbatimChar"/>
        </w:rPr>
        <w:t xml:space="preserve">2. Paint</w:t>
      </w:r>
      <w:r>
        <w:br w:type="textWrapping"/>
      </w:r>
      <w:r>
        <w:rPr>
          <w:rStyle w:val="VerbatimChar"/>
        </w:rPr>
        <w:t xml:space="preserve">3. LPRC</w:t>
      </w:r>
    </w:p>
    <w:p>
      <w:pPr>
        <w:pStyle w:val="Heading3"/>
        <w:widowControl/>
      </w:pPr>
      <w:bookmarkStart w:id="43" w:name="checker-加权模式"/>
      <w:bookmarkEnd w:id="43"/>
      <w:r>
        <w:t xml:space="preserve">9.1 Checker 加权模式</w:t>
      </w:r>
    </w:p>
    <w:p>
      <w:pPr>
        <w:pStyle w:val="FirstParagraph"/>
        <w:widowControl/>
        <w:spacing w:before="100" w:after="140"/>
        <w:jc w:val="left"/>
      </w:pPr>
      <w:r>
        <w:t xml:space="preserve">若随包 Checker 对三个优先级使用权重</w:t>
      </w:r>
      <w:r>
        <w:t xml:space="preserve"> </w:t>
      </w:r>
      <m:oMath>
        <m:r>
          <m:t>10000</m:t>
        </m:r>
        <m:r>
          <m:t>/</m:t>
        </m:r>
        <m:r>
          <m:t>100</m:t>
        </m:r>
        <m:r>
          <m:t>/</m:t>
        </m:r>
        <m:r>
          <m:t>1</m:t>
        </m:r>
      </m:oMath>
      <w:r>
        <w:t xml:space="preserve">，则上述目标顺序对应：</w:t>
      </w:r>
    </w:p>
    <w:p>
      <w:pPr>
        <w:pStyle w:val="BodyText"/>
        <w:widowControl/>
        <w:spacing w:before="100" w:after="140"/>
        <w:jc w:val="center"/>
      </w:pPr>
      <m:oMathPara>
        <m:oMathParaPr>
          <m:jc m:val="center"/>
        </m:oMathParaPr>
        <m:oMath>
          <m:r>
            <m:rPr>
              <m:sty m:val="p"/>
            </m:rPr>
            <m:t>min</m:t>
          </m:r>
          <m:r>
            <m:t>Z</m:t>
          </m:r>
          <m:r>
            <m:t>=</m:t>
          </m:r>
          <m:r>
            <m:t>10000</m:t>
          </m:r>
          <m:sSub>
            <m:e>
              <m:r>
                <m:t>Z</m:t>
              </m:r>
            </m:e>
            <m:sub>
              <m:r>
                <m:t>H</m:t>
              </m:r>
              <m:r>
                <m:t>P</m:t>
              </m:r>
              <m:r>
                <m:t>R</m:t>
              </m:r>
              <m:r>
                <m:t>C</m:t>
              </m:r>
            </m:sub>
          </m:sSub>
          <m:r>
            <m:t>+</m:t>
          </m:r>
          <m:r>
            <m:t>100</m:t>
          </m:r>
          <m:sSub>
            <m:e>
              <m:r>
                <m:t>Z</m:t>
              </m:r>
            </m:e>
            <m:sub>
              <m:r>
                <m:t>p</m:t>
              </m:r>
              <m:r>
                <m:t>a</m:t>
              </m:r>
              <m:r>
                <m:t>i</m:t>
              </m:r>
              <m:r>
                <m:t>n</m:t>
              </m:r>
              <m:r>
                <m:t>t</m:t>
              </m:r>
            </m:sub>
          </m:sSub>
          <m:r>
            <m:t>+</m:t>
          </m:r>
          <m:sSub>
            <m:e>
              <m:r>
                <m:t>Z</m:t>
              </m:r>
            </m:e>
            <m:sub>
              <m:r>
                <m:t>L</m:t>
              </m:r>
              <m:r>
                <m:t>P</m:t>
              </m:r>
              <m:r>
                <m:t>R</m:t>
              </m:r>
              <m:r>
                <m:t>C</m:t>
              </m:r>
            </m:sub>
          </m:sSub>
          <m:r>
            <m:t>.</m:t>
          </m:r>
        </m:oMath>
      </m:oMathPara>
    </w:p>
    <w:p>
      <w:pPr>
        <w:pStyle w:val="FirstParagraph"/>
        <w:widowControl/>
      </w:pPr>
      <w:r>
        <w:t xml:space="preserve">一般写作：</w:t>
      </w:r>
    </w:p>
    <w:p>
      <w:pPr>
        <w:pStyle w:val="BodyText"/>
        <w:widowControl/>
        <w:spacing w:before="100" w:after="140"/>
        <w:jc w:val="center"/>
      </w:pPr>
      <m:oMathPara>
        <m:oMathParaPr>
          <m:jc m:val="center"/>
        </m:oMathParaPr>
        <m:oMath>
          <m:r>
            <m:rPr>
              <m:sty m:val="p"/>
            </m:rPr>
            <m:t>min</m:t>
          </m:r>
          <m:r>
            <m:t>Z</m:t>
          </m:r>
          <m:r>
            <m:t>=</m:t>
          </m:r>
          <m:nary>
            <m:naryPr>
              <m:chr m:val="∑"/>
              <m:limLoc m:val="undOvr"/>
              <m:subHide m:val="0"/>
              <m:supHide m:val="0"/>
            </m:naryPr>
            <m:sub>
              <m:r>
                <m:t>j</m:t>
              </m:r>
              <m:r>
                <m:t>=</m:t>
              </m:r>
              <m:r>
                <m:t>1</m:t>
              </m:r>
            </m:sub>
            <m:sup>
              <m:r>
                <m:t>J</m:t>
              </m:r>
            </m:sup>
            <m:e>
              <m:sSub>
                <m:e>
                  <m:r>
                    <m:t>r</m:t>
                  </m:r>
                </m:e>
                <m:sub>
                  <m:r>
                    <m:t>j</m:t>
                  </m:r>
                </m:sub>
              </m:sSub>
            </m:e>
          </m:nary>
          <m:sSub>
            <m:e>
              <m:r>
                <m:t>Z</m:t>
              </m:r>
            </m:e>
            <m:sub>
              <m:r>
                <m:t>(</m:t>
              </m:r>
              <m:r>
                <m:t>j</m:t>
              </m:r>
              <m:r>
                <m:t>)</m:t>
              </m:r>
            </m:sub>
          </m:sSub>
          <m:r>
            <m:t>,</m:t>
          </m:r>
        </m:oMath>
      </m:oMathPara>
    </w:p>
    <w:p>
      <w:pPr>
        <w:pStyle w:val="FirstParagraph"/>
        <w:widowControl/>
        <w:spacing w:before="100" w:after="140"/>
        <w:jc w:val="left"/>
      </w:pPr>
      <w:r>
        <w:t xml:space="preserve">其中</w:t>
      </w:r>
      <w:r>
        <w:t xml:space="preserve"> </w:t>
      </w:r>
      <m:oMath>
        <m:sSub>
          <m:e>
            <m:r>
              <m:t>Z</m:t>
            </m:r>
          </m:e>
          <m:sub>
            <m:r>
              <m:t>(</m:t>
            </m:r>
            <m:r>
              <m:t>j</m:t>
            </m:r>
            <m:r>
              <m:t>)</m:t>
            </m:r>
          </m:sub>
        </m:sSub>
      </m:oMath>
      <w:r>
        <w:t xml:space="preserve"> </w:t>
      </w:r>
      <w:r>
        <w:t xml:space="preserve">是 rank 为</w:t>
      </w:r>
      <w:r>
        <w:t xml:space="preserve"> </w:t>
      </w:r>
      <m:oMath>
        <m:r>
          <m:t>j</m:t>
        </m:r>
      </m:oMath>
      <w:r>
        <w:t xml:space="preserve"> </w:t>
      </w:r>
      <w:r>
        <w:t xml:space="preserve">的目标，</w:t>
      </w:r>
      <m:oMath>
        <m:sSub>
          <m:e>
            <m:r>
              <m:t>r</m:t>
            </m:r>
          </m:e>
          <m:sub>
            <m:r>
              <m:t>j</m:t>
            </m:r>
          </m:sub>
        </m:sSub>
      </m:oMath>
      <w:r>
        <w:t xml:space="preserve"> </w:t>
      </w:r>
      <w:r>
        <w:t xml:space="preserve">是当前 Checker 版本对应的权重。</w:t>
      </w:r>
    </w:p>
    <w:p>
      <w:pPr>
        <w:pStyle w:val="BodyText"/>
        <w:widowControl/>
      </w:pPr>
      <w:r>
        <w:t xml:space="preserve">该模式用于复现官方</w:t>
      </w:r>
      <w:r>
        <w:t xml:space="preserve"> </w:t>
      </w:r>
      <w:r>
        <w:rPr>
          <w:rStyle w:val="VerbatimChar"/>
        </w:rPr>
        <w:t xml:space="preserve">Mark of the solution</w:t>
      </w:r>
      <w:r>
        <w:t xml:space="preserve">，第一版 MILP 应优先支持这一模式。</w:t>
      </w:r>
    </w:p>
    <w:p>
      <w:pPr>
        <w:pStyle w:val="Heading3"/>
        <w:widowControl/>
      </w:pPr>
      <w:bookmarkStart w:id="44" w:name="严格字典序模式"/>
      <w:bookmarkEnd w:id="44"/>
      <w:r>
        <w:t xml:space="preserve">9.2 严格字典序模式</w:t>
      </w:r>
    </w:p>
    <w:p>
      <w:pPr>
        <w:pStyle w:val="FirstParagraph"/>
        <w:widowControl/>
      </w:pPr>
      <w:r>
        <w:t xml:space="preserve">若需要保证高优先级目标的任意一个单位改善都优先于所有低优先级目标，可以采用严格字典序：</w:t>
      </w:r>
    </w:p>
    <w:p>
      <w:pPr>
        <w:pStyle w:val="BodyText"/>
        <w:widowControl/>
        <w:spacing w:before="100" w:after="140"/>
        <w:jc w:val="center"/>
      </w:pPr>
      <m:oMathPara>
        <m:oMathParaPr>
          <m:jc m:val="center"/>
        </m:oMathParaPr>
        <m:oMath>
          <m:r>
            <m:rPr>
              <m:sty m:val="p"/>
            </m:rPr>
            <m:t>lexmin</m:t>
          </m:r>
          <m:d>
            <m:dPr>
              <m:begChr m:val="("/>
              <m:endChr m:val=")"/>
              <m:grow/>
            </m:dPr>
            <m:e>
              <m:sSub>
                <m:e>
                  <m:r>
                    <m:t>Z</m:t>
                  </m:r>
                </m:e>
                <m:sub>
                  <m:r>
                    <m:t>(</m:t>
                  </m:r>
                  <m:r>
                    <m:t>1</m:t>
                  </m:r>
                  <m:r>
                    <m:t>)</m:t>
                  </m:r>
                </m:sub>
              </m:sSub>
              <m:r>
                <m:t>,</m:t>
              </m:r>
              <m:sSub>
                <m:e>
                  <m:r>
                    <m:t>Z</m:t>
                  </m:r>
                </m:e>
                <m:sub>
                  <m:r>
                    <m:t>(</m:t>
                  </m:r>
                  <m:r>
                    <m:t>2</m:t>
                  </m:r>
                  <m:r>
                    <m:t>)</m:t>
                  </m:r>
                </m:sub>
              </m:sSub>
              <m:r>
                <m:t>,</m:t>
              </m:r>
              <m:r>
                <m:t>…</m:t>
              </m:r>
              <m:r>
                <m:t>,</m:t>
              </m:r>
              <m:sSub>
                <m:e>
                  <m:r>
                    <m:t>Z</m:t>
                  </m:r>
                </m:e>
                <m:sub>
                  <m:r>
                    <m:t>(</m:t>
                  </m:r>
                  <m:r>
                    <m:t>J</m:t>
                  </m:r>
                  <m:r>
                    <m:t>)</m:t>
                  </m:r>
                </m:sub>
              </m:sSub>
            </m:e>
          </m:d>
          <m:r>
            <m:t>.</m:t>
          </m:r>
        </m:oMath>
      </m:oMathPara>
    </w:p>
    <w:p>
      <w:pPr>
        <w:pStyle w:val="FirstParagraph"/>
        <w:widowControl/>
      </w:pPr>
      <w:r>
        <w:t xml:space="preserve">Gurobi 中可通过多目标优先级接口实现。严格字典序与有限权重加权和并不总是等价，因此模型配置应明确记录所使用的目标模式。</w:t>
      </w:r>
    </w:p>
    <w:p>
      <w:pPr>
        <w:widowControl/>
      </w:pPr>
      <w:r>
        <w:rPr>
          <w:rFonts w:ascii="Calibri" w:hAnsi="Calibri" w:eastAsia="Microsoft YaHei"/>
          <w:sz w:val="21"/>
        </w:rPr>
        <w:pict>
          <v:rect style="width:0;height:1.5pt" o:hralign="center" o:hrstd="t" o:hr="t"/>
        </w:pict>
      </w:r>
    </w:p>
    <w:p>
      <w:pPr>
        <w:pStyle w:val="Heading2"/>
        <w:widowControl/>
      </w:pPr>
      <w:bookmarkStart w:id="45" w:name="完整-milp"/>
      <w:bookmarkEnd w:id="45"/>
      <w:r>
        <w:t xml:space="preserve">10. 完整 MILP</w:t>
      </w:r>
    </w:p>
    <w:p>
      <w:pPr>
        <w:pStyle w:val="FirstParagraph"/>
        <w:widowControl/>
      </w:pPr>
      <w:r>
        <w:t xml:space="preserve">以 Checker 加权模式为例，模型可概括为：</w:t>
      </w:r>
    </w:p>
    <w:p>
      <w:pPr>
        <w:pStyle w:val="BodyText"/>
        <w:widowControl/>
        <w:spacing w:before="100" w:after="140"/>
        <w:jc w:val="center"/>
      </w:pPr>
      <m:oMathPara>
        <m:oMathParaPr>
          <m:jc m:val="center"/>
        </m:oMathParaPr>
        <m:oMath>
          <m:r>
            <m:rPr>
              <m:sty m:val="p"/>
            </m:rPr>
            <m:t>min</m:t>
          </m:r>
          <m:nary>
            <m:naryPr>
              <m:chr m:val="∑"/>
              <m:limLoc m:val="undOvr"/>
              <m:subHide m:val="0"/>
              <m:supHide m:val="0"/>
            </m:naryPr>
            <m:sub>
              <m:r>
                <m:t>j</m:t>
              </m:r>
              <m:r>
                <m:t>=</m:t>
              </m:r>
              <m:r>
                <m:t>1</m:t>
              </m:r>
            </m:sub>
            <m:sup>
              <m:r>
                <m:t>J</m:t>
              </m:r>
            </m:sup>
            <m:e>
              <m:sSub>
                <m:e>
                  <m:r>
                    <m:t>r</m:t>
                  </m:r>
                </m:e>
                <m:sub>
                  <m:r>
                    <m:t>j</m:t>
                  </m:r>
                </m:sub>
              </m:sSub>
            </m:e>
          </m:nary>
          <m:sSub>
            <m:e>
              <m:r>
                <m:t>Z</m:t>
              </m:r>
            </m:e>
            <m:sub>
              <m:r>
                <m:t>(</m:t>
              </m:r>
              <m:r>
                <m:t>j</m:t>
              </m:r>
              <m:r>
                <m:t>)</m:t>
              </m:r>
            </m:sub>
          </m:sSub>
        </m:oMath>
      </m:oMathPara>
    </w:p>
    <w:p>
      <w:pPr>
        <w:pStyle w:val="FirstParagraph"/>
        <w:widowControl/>
      </w:pPr>
      <w:r>
        <w:t xml:space="preserve">约束为：</w:t>
      </w:r>
    </w:p>
    <w:p>
      <w:pPr>
        <w:pStyle w:val="BodyText"/>
        <w:widowControl/>
        <w:spacing w:before="100" w:after="140"/>
        <w:jc w:val="center"/>
      </w:pPr>
      <m:oMathPara>
        <m:oMathParaPr>
          <m:jc m:val="center"/>
        </m:oMathParaPr>
        <m:oMath>
          <m:nary>
            <m:naryPr>
              <m:chr m:val="∑"/>
              <m:limLoc m:val="undOvr"/>
              <m:subHide m:val="0"/>
              <m:supHide m:val="1"/>
            </m:naryPr>
            <m:sub>
              <m:r>
                <m:t>g</m:t>
              </m:r>
              <m:r>
                <m:t>∈</m:t>
              </m:r>
              <m:r>
                <m:t>G</m:t>
              </m:r>
            </m:sub>
            <m:sup/>
            <m:e>
              <m:sSub>
                <m:e>
                  <m:r>
                    <m:t>x</m:t>
                  </m:r>
                </m:e>
                <m:sub>
                  <m:r>
                    <m:t>g</m:t>
                  </m:r>
                  <m:r>
                    <m:t>t</m:t>
                  </m:r>
                </m:sub>
              </m:sSub>
            </m:e>
          </m:nary>
          <m:r>
            <m:t>=</m:t>
          </m:r>
          <m:r>
            <m:t>1</m:t>
          </m:r>
          <m:r>
            <m:t>,</m:t>
          </m:r>
          <m:r>
            <m:t>  </m:t>
          </m:r>
          <m:r>
            <m:t>∀</m:t>
          </m:r>
          <m:r>
            <m:t>t</m:t>
          </m:r>
          <m:r>
            <m:t>∈</m:t>
          </m:r>
          <m:r>
            <m:t>T</m:t>
          </m:r>
          <m:r>
            <m:t>,</m:t>
          </m:r>
        </m:oMath>
      </m:oMathPara>
    </w:p>
    <w:p>
      <w:pPr>
        <w:pStyle w:val="FirstParagraph"/>
        <w:widowControl/>
        <w:spacing w:before="100" w:after="140"/>
        <w:jc w:val="center"/>
      </w:pPr>
      <m:oMathPara>
        <m:oMathParaPr>
          <m:jc m:val="center"/>
        </m:oMathParaPr>
        <m:oMath>
          <m:nary>
            <m:naryPr>
              <m:chr m:val="∑"/>
              <m:limLoc m:val="undOvr"/>
              <m:subHide m:val="0"/>
              <m:supHide m:val="1"/>
            </m:naryPr>
            <m:sub>
              <m:r>
                <m:t>t</m:t>
              </m:r>
              <m:r>
                <m:t>∈</m:t>
              </m:r>
              <m:r>
                <m:t>T</m:t>
              </m:r>
            </m:sub>
            <m:sup/>
            <m:e>
              <m:sSub>
                <m:e>
                  <m:r>
                    <m:t>x</m:t>
                  </m:r>
                </m:e>
                <m:sub>
                  <m:r>
                    <m:t>g</m:t>
                  </m:r>
                  <m:r>
                    <m:t>t</m:t>
                  </m:r>
                </m:sub>
              </m:sSub>
            </m:e>
          </m:nary>
          <m:r>
            <m:t>=</m:t>
          </m:r>
          <m:sSub>
            <m:e>
              <m:r>
                <m:t>n</m:t>
              </m:r>
            </m:e>
            <m:sub>
              <m:r>
                <m:t>g</m:t>
              </m:r>
            </m:sub>
          </m:sSub>
          <m:r>
            <m:t>,</m:t>
          </m:r>
          <m:r>
            <m:t>  </m:t>
          </m:r>
          <m:r>
            <m:t>∀</m:t>
          </m:r>
          <m:r>
            <m:t>g</m:t>
          </m:r>
          <m:r>
            <m:t>∈</m:t>
          </m:r>
          <m:r>
            <m:t>G</m:t>
          </m:r>
          <m:r>
            <m:t>,</m:t>
          </m:r>
        </m:oMath>
      </m:oMathPara>
    </w:p>
    <w:p>
      <w:pPr>
        <w:pStyle w:val="FirstParagraph"/>
        <w:widowControl/>
        <w:spacing w:before="100" w:after="140"/>
        <w:jc w:val="center"/>
      </w:pPr>
      <m:oMathPara>
        <m:oMathParaPr>
          <m:jc m:val="center"/>
        </m:oMathParaPr>
        <m:oMath>
          <m:sSub>
            <m:e>
              <m:r>
                <m:t>p</m:t>
              </m:r>
            </m:e>
            <m:sub>
              <m:r>
                <m:t>c</m:t>
              </m:r>
              <m:r>
                <m:t>t</m:t>
              </m:r>
            </m:sub>
          </m:sSub>
          <m:r>
            <m:t>=</m:t>
          </m:r>
          <m:nary>
            <m:naryPr>
              <m:chr m:val="∑"/>
              <m:limLoc m:val="undOvr"/>
              <m:subHide m:val="0"/>
              <m:supHide m:val="1"/>
            </m:naryPr>
            <m:sub>
              <m:r>
                <m:t>g</m:t>
              </m:r>
              <m:r>
                <m:t>∈</m:t>
              </m:r>
              <m:sSub>
                <m:e>
                  <m:r>
                    <m:t>G</m:t>
                  </m:r>
                </m:e>
                <m:sub>
                  <m:r>
                    <m:t>c</m:t>
                  </m:r>
                </m:sub>
              </m:sSub>
            </m:sub>
            <m:sup/>
            <m:e>
              <m:sSub>
                <m:e>
                  <m:r>
                    <m:t>x</m:t>
                  </m:r>
                </m:e>
                <m:sub>
                  <m:r>
                    <m:t>g</m:t>
                  </m:r>
                  <m:r>
                    <m:t>t</m:t>
                  </m:r>
                </m:sub>
              </m:sSub>
            </m:e>
          </m:nary>
          <m:r>
            <m:t>,</m:t>
          </m:r>
          <m:r>
            <m:t>  </m:t>
          </m:r>
          <m:r>
            <m:t>∀</m:t>
          </m:r>
          <m:r>
            <m:t>c</m:t>
          </m:r>
          <m:r>
            <m:t>∈</m:t>
          </m:r>
          <m:r>
            <m:t>C</m:t>
          </m:r>
          <m:r>
            <m:t>,</m:t>
          </m:r>
          <m:r>
            <m:t> </m:t>
          </m:r>
          <m:r>
            <m:t>t</m:t>
          </m:r>
          <m:r>
            <m:t>∈</m:t>
          </m:r>
          <m:r>
            <m:t>T</m:t>
          </m:r>
          <m:r>
            <m:t>,</m:t>
          </m:r>
        </m:oMath>
      </m:oMathPara>
    </w:p>
    <w:p>
      <w:pPr>
        <w:pStyle w:val="FirstParagraph"/>
        <w:widowControl/>
        <w:spacing w:before="100" w:after="140"/>
        <w:jc w:val="center"/>
      </w:pPr>
      <m:oMathPara>
        <m:oMathParaPr>
          <m:jc m:val="center"/>
        </m:oMathParaPr>
        <m:oMath>
          <m:sSub>
            <m:e>
              <m:r>
                <m:t>d</m:t>
              </m:r>
            </m:e>
            <m:sub>
              <m:r>
                <m:t>0</m:t>
              </m:r>
            </m:sub>
          </m:sSub>
          <m:r>
            <m:t>≥</m:t>
          </m:r>
          <m:r>
            <m:t>1</m:t>
          </m:r>
          <m:r>
            <m:t>−</m:t>
          </m:r>
          <m:sSub>
            <m:e>
              <m:r>
                <m:t>p</m:t>
              </m:r>
            </m:e>
            <m:sub>
              <m:sSup>
                <m:e>
                  <m:r>
                    <m:t>c</m:t>
                  </m:r>
                </m:e>
                <m:sup>
                  <m:r>
                    <m:t>p</m:t>
                  </m:r>
                  <m:r>
                    <m:t>r</m:t>
                  </m:r>
                  <m:r>
                    <m:t>e</m:t>
                  </m:r>
                  <m:r>
                    <m:t>v</m:t>
                  </m:r>
                </m:sup>
              </m:sSup>
              <m:r>
                <m:t>,</m:t>
              </m:r>
              <m:r>
                <m:t>0</m:t>
              </m:r>
            </m:sub>
          </m:sSub>
          <m:r>
            <m:t>,</m:t>
          </m:r>
        </m:oMath>
      </m:oMathPara>
    </w:p>
    <w:p>
      <w:pPr>
        <w:pStyle w:val="FirstParagraph"/>
        <w:widowControl/>
        <w:spacing w:before="100" w:after="140"/>
        <w:jc w:val="center"/>
      </w:pPr>
      <m:oMathPara>
        <m:oMathParaPr>
          <m:jc m:val="center"/>
        </m:oMathParaPr>
        <m:oMath>
          <m:sSub>
            <m:e>
              <m:r>
                <m:t>d</m:t>
              </m:r>
            </m:e>
            <m:sub>
              <m:r>
                <m:t>t</m:t>
              </m:r>
            </m:sub>
          </m:sSub>
          <m:r>
            <m:t>≥</m:t>
          </m:r>
          <m:sSub>
            <m:e>
              <m:r>
                <m:t>p</m:t>
              </m:r>
            </m:e>
            <m:sub>
              <m:r>
                <m:t>c</m:t>
              </m:r>
              <m:r>
                <m:t>,</m:t>
              </m:r>
              <m:r>
                <m:t>t</m:t>
              </m:r>
              <m:r>
                <m:t>−</m:t>
              </m:r>
              <m:r>
                <m:t>1</m:t>
              </m:r>
            </m:sub>
          </m:sSub>
          <m:r>
            <m:t>−</m:t>
          </m:r>
          <m:sSub>
            <m:e>
              <m:r>
                <m:t>p</m:t>
              </m:r>
            </m:e>
            <m:sub>
              <m:r>
                <m:t>c</m:t>
              </m:r>
              <m:r>
                <m:t>t</m:t>
              </m:r>
            </m:sub>
          </m:sSub>
          <m:r>
            <m:t>,</m:t>
          </m:r>
          <m:r>
            <m:t>  </m:t>
          </m:r>
          <m:r>
            <m:t>∀</m:t>
          </m:r>
          <m:r>
            <m:t>c</m:t>
          </m:r>
          <m:r>
            <m:t>∈</m:t>
          </m:r>
          <m:r>
            <m:t>C</m:t>
          </m:r>
          <m:r>
            <m:t>,</m:t>
          </m:r>
          <m:r>
            <m:t> </m:t>
          </m:r>
          <m:r>
            <m:t>t</m:t>
          </m:r>
          <m:r>
            <m:t>=</m:t>
          </m:r>
          <m:r>
            <m:t>1</m:t>
          </m:r>
          <m:r>
            <m:t>,</m:t>
          </m:r>
          <m:r>
            <m:t>…</m:t>
          </m:r>
          <m:r>
            <m:t>,</m:t>
          </m:r>
          <m:r>
            <m:t>n</m:t>
          </m:r>
          <m:r>
            <m:t>−</m:t>
          </m:r>
          <m:r>
            <m:t>1</m:t>
          </m:r>
          <m:r>
            <m:t>,</m:t>
          </m:r>
        </m:oMath>
      </m:oMathPara>
    </w:p>
    <w:p>
      <w:pPr>
        <w:pStyle w:val="FirstParagraph"/>
        <w:widowControl/>
        <w:spacing w:before="100" w:after="140"/>
        <w:jc w:val="center"/>
      </w:pPr>
      <m:oMathPara>
        <m:oMathParaPr>
          <m:jc m:val="center"/>
        </m:oMathParaPr>
        <m:oMath>
          <m:nary>
            <m:naryPr>
              <m:chr m:val="∑"/>
              <m:limLoc m:val="undOvr"/>
              <m:subHide m:val="0"/>
              <m:supHide m:val="0"/>
            </m:naryPr>
            <m:sub>
              <m:r>
                <m:t>τ</m:t>
              </m:r>
              <m:r>
                <m:t>=</m:t>
              </m:r>
              <m:r>
                <m:t>t</m:t>
              </m:r>
            </m:sub>
            <m:sup>
              <m:r>
                <m:t>t</m:t>
              </m:r>
              <m:r>
                <m:t>+</m:t>
              </m:r>
              <m:r>
                <m:t>L</m:t>
              </m:r>
            </m:sup>
            <m:e>
              <m:sSub>
                <m:e>
                  <m:r>
                    <m:t>p</m:t>
                  </m:r>
                </m:e>
                <m:sub>
                  <m:r>
                    <m:t>c</m:t>
                  </m:r>
                  <m:r>
                    <m:t>τ</m:t>
                  </m:r>
                </m:sub>
              </m:sSub>
            </m:e>
          </m:nary>
          <m:r>
            <m:t>≤</m:t>
          </m:r>
          <m:r>
            <m:t>L</m:t>
          </m:r>
          <m:r>
            <m:t>,</m:t>
          </m:r>
          <m:r>
            <m:t>  </m:t>
          </m:r>
          <m:r>
            <m:t>∀</m:t>
          </m:r>
          <m:r>
            <m:t>c</m:t>
          </m:r>
          <m:r>
            <m:t>∈</m:t>
          </m:r>
          <m:r>
            <m:t>C</m:t>
          </m:r>
          <m:r>
            <m:t>,</m:t>
          </m:r>
          <m:r>
            <m:t> </m:t>
          </m:r>
          <m:r>
            <m:t>t</m:t>
          </m:r>
          <m:r>
            <m:t>=</m:t>
          </m:r>
          <m:r>
            <m:t>0</m:t>
          </m:r>
          <m:r>
            <m:t>,</m:t>
          </m:r>
          <m:r>
            <m:t>…</m:t>
          </m:r>
          <m:r>
            <m:t>,</m:t>
          </m:r>
          <m:r>
            <m:t>n</m:t>
          </m:r>
          <m:r>
            <m:t>−</m:t>
          </m:r>
          <m:r>
            <m:t>L</m:t>
          </m:r>
          <m:r>
            <m:t>−</m:t>
          </m:r>
          <m:r>
            <m:t>1</m:t>
          </m:r>
          <m:r>
            <m:t>,</m:t>
          </m:r>
        </m:oMath>
      </m:oMathPara>
    </w:p>
    <w:p>
      <w:pPr>
        <w:pStyle w:val="FirstParagraph"/>
        <w:widowControl/>
        <w:spacing w:before="100" w:after="140"/>
        <w:jc w:val="center"/>
      </w:pPr>
      <m:oMathPara>
        <m:oMathParaPr>
          <m:jc m:val="center"/>
        </m:oMathParaPr>
        <m:oMath>
          <m:sSub>
            <m:e>
              <m:r>
                <m:t>u</m:t>
              </m:r>
            </m:e>
            <m:sub>
              <m:r>
                <m:t>k</m:t>
              </m:r>
              <m:r>
                <m:t>s</m:t>
              </m:r>
            </m:sub>
          </m:sSub>
          <m:r>
            <m:t>≥</m:t>
          </m:r>
          <m:sSub>
            <m:e>
              <m:r>
                <m:t>b</m:t>
              </m:r>
            </m:e>
            <m:sub>
              <m:r>
                <m:t>k</m:t>
              </m:r>
              <m:r>
                <m:t>s</m:t>
              </m:r>
            </m:sub>
          </m:sSub>
          <m:r>
            <m:t>+</m:t>
          </m:r>
          <m:nary>
            <m:naryPr>
              <m:chr m:val="∑"/>
              <m:limLoc m:val="undOvr"/>
              <m:subHide m:val="0"/>
              <m:supHide m:val="1"/>
            </m:naryPr>
            <m:sub>
              <m:r>
                <m:t>t</m:t>
              </m:r>
              <m:r>
                <m:t>∈</m:t>
              </m:r>
              <m:sSubSup>
                <m:e>
                  <m:r>
                    <m:t>W</m:t>
                  </m:r>
                </m:e>
                <m:sub>
                  <m:r>
                    <m:t>k</m:t>
                  </m:r>
                  <m:r>
                    <m:t>s</m:t>
                  </m:r>
                </m:sub>
                <m:sup>
                  <m:r>
                    <m:t>D</m:t>
                  </m:r>
                </m:sup>
              </m:sSubSup>
            </m:sub>
            <m:sup/>
            <m:e>
              <m:nary>
                <m:naryPr>
                  <m:chr m:val="∑"/>
                  <m:limLoc m:val="undOvr"/>
                  <m:subHide m:val="0"/>
                  <m:supHide m:val="1"/>
                </m:naryPr>
                <m:sub>
                  <m:r>
                    <m:t>g</m:t>
                  </m:r>
                  <m:r>
                    <m:t>∈</m:t>
                  </m:r>
                  <m:r>
                    <m:t>G</m:t>
                  </m:r>
                </m:sub>
                <m:sup/>
                <m:e>
                  <m:sSub>
                    <m:e>
                      <m:r>
                        <m:t>q</m:t>
                      </m:r>
                    </m:e>
                    <m:sub>
                      <m:r>
                        <m:t>k</m:t>
                      </m:r>
                      <m:r>
                        <m:t>g</m:t>
                      </m:r>
                    </m:sub>
                  </m:sSub>
                </m:e>
              </m:nary>
            </m:e>
          </m:nary>
          <m:sSub>
            <m:e>
              <m:r>
                <m:t>x</m:t>
              </m:r>
            </m:e>
            <m:sub>
              <m:r>
                <m:t>g</m:t>
              </m:r>
              <m:r>
                <m:t>t</m:t>
              </m:r>
            </m:sub>
          </m:sSub>
          <m:r>
            <m:t>−</m:t>
          </m:r>
          <m:sSub>
            <m:e>
              <m:r>
                <m:t>N</m:t>
              </m:r>
            </m:e>
            <m:sub>
              <m:r>
                <m:t>k</m:t>
              </m:r>
            </m:sub>
          </m:sSub>
          <m:r>
            <m:t>,</m:t>
          </m:r>
          <m:r>
            <m:t>  </m:t>
          </m:r>
          <m:r>
            <m:t>∀</m:t>
          </m:r>
          <m:r>
            <m:t>k</m:t>
          </m:r>
          <m:r>
            <m:t>∈</m:t>
          </m:r>
          <m:r>
            <m:t>K</m:t>
          </m:r>
          <m:r>
            <m:t>,</m:t>
          </m:r>
          <m:r>
            <m:t> </m:t>
          </m:r>
          <m:r>
            <m:t>s</m:t>
          </m:r>
          <m:r>
            <m:t>∈</m:t>
          </m:r>
          <m:sSub>
            <m:e>
              <m:r>
                <m:t>S</m:t>
              </m:r>
            </m:e>
            <m:sub>
              <m:r>
                <m:t>k</m:t>
              </m:r>
            </m:sub>
          </m:sSub>
          <m:r>
            <m:t>,</m:t>
          </m:r>
        </m:oMath>
      </m:oMathPara>
    </w:p>
    <w:p>
      <w:pPr>
        <w:pStyle w:val="FirstParagraph"/>
        <w:widowControl/>
        <w:spacing w:before="100" w:after="140"/>
        <w:jc w:val="center"/>
      </w:pPr>
      <m:oMathPara>
        <m:oMathParaPr>
          <m:jc m:val="center"/>
        </m:oMathParaPr>
        <m:oMath>
          <m:sSub>
            <m:e>
              <m:r>
                <m:t>x</m:t>
              </m:r>
            </m:e>
            <m:sub>
              <m:r>
                <m:t>g</m:t>
              </m:r>
              <m:r>
                <m:t>t</m:t>
              </m:r>
            </m:sub>
          </m:sSub>
          <m:r>
            <m:t>,</m:t>
          </m:r>
          <m:sSub>
            <m:e>
              <m:r>
                <m:t>p</m:t>
              </m:r>
            </m:e>
            <m:sub>
              <m:r>
                <m:t>c</m:t>
              </m:r>
              <m:r>
                <m:t>t</m:t>
              </m:r>
            </m:sub>
          </m:sSub>
          <m:r>
            <m:t>,</m:t>
          </m:r>
          <m:sSub>
            <m:e>
              <m:r>
                <m:t>d</m:t>
              </m:r>
            </m:e>
            <m:sub>
              <m:r>
                <m:t>t</m:t>
              </m:r>
            </m:sub>
          </m:sSub>
          <m:r>
            <m:t>∈</m:t>
          </m:r>
          <m:r>
            <m:t>{</m:t>
          </m:r>
          <m:r>
            <m:t>0</m:t>
          </m:r>
          <m:r>
            <m:t>,</m:t>
          </m:r>
          <m:r>
            <m:t>1</m:t>
          </m:r>
          <m:r>
            <m:t>}</m:t>
          </m:r>
          <m:r>
            <m:t>,</m:t>
          </m:r>
          <m:r>
            <m:t>  </m:t>
          </m:r>
          <m:sSub>
            <m:e>
              <m:r>
                <m:t>u</m:t>
              </m:r>
            </m:e>
            <m:sub>
              <m:r>
                <m:t>k</m:t>
              </m:r>
              <m:r>
                <m:t>s</m:t>
              </m:r>
            </m:sub>
          </m:sSub>
          <m:r>
            <m:t>≥</m:t>
          </m:r>
          <m:r>
            <m:t>0</m:t>
          </m:r>
          <m:r>
            <m:t>.</m:t>
          </m:r>
        </m:oMath>
      </m:oMathPara>
    </w:p>
    <w:p>
      <w:pPr>
        <w:widowControl/>
      </w:pPr>
      <w:r>
        <w:rPr>
          <w:rFonts w:ascii="Calibri" w:hAnsi="Calibri" w:eastAsia="Microsoft YaHei"/>
          <w:sz w:val="21"/>
        </w:rPr>
        <w:pict>
          <v:rect style="width:0;height:1.5pt" o:hralign="center" o:hrstd="t" o:hr="t"/>
        </w:pict>
      </w:r>
    </w:p>
    <w:p>
      <w:pPr>
        <w:pStyle w:val="Heading2"/>
        <w:widowControl/>
      </w:pPr>
      <w:bookmarkStart w:id="46" w:name="解的还原"/>
      <w:bookmarkEnd w:id="46"/>
      <w:r>
        <w:t xml:space="preserve">11. 解的还原</w:t>
      </w:r>
    </w:p>
    <w:p>
      <w:pPr>
        <w:pStyle w:val="FirstParagraph"/>
        <w:widowControl/>
        <w:spacing w:before="100" w:after="140"/>
        <w:jc w:val="left"/>
      </w:pPr>
      <w:r>
        <w:t xml:space="preserve">模型求解后，每个位置</w:t>
      </w:r>
      <w:r>
        <w:t xml:space="preserve"> </w:t>
      </w:r>
      <m:oMath>
        <m:r>
          <m:t>t</m:t>
        </m:r>
      </m:oMath>
      <w:r>
        <w:t xml:space="preserve"> </w:t>
      </w:r>
      <w:r>
        <w:t xml:space="preserve">恰好有一个</w:t>
      </w:r>
      <w:r>
        <w:t xml:space="preserve"> </w:t>
      </w:r>
      <m:oMath>
        <m:sSub>
          <m:e>
            <m:r>
              <m:t>x</m:t>
            </m:r>
          </m:e>
          <m:sub>
            <m:r>
              <m:t>g</m:t>
            </m:r>
            <m:r>
              <m:t>t</m:t>
            </m:r>
          </m:sub>
        </m:sSub>
        <m:r>
          <m:t>=</m:t>
        </m:r>
        <m:r>
          <m:t>1</m:t>
        </m:r>
      </m:oMath>
      <w:r>
        <w:t xml:space="preserve">，由此得到车辆类型序列：</w:t>
      </w:r>
    </w:p>
    <w:p>
      <w:pPr>
        <w:pStyle w:val="BodyText"/>
        <w:widowControl/>
        <w:spacing w:before="100" w:after="140"/>
        <w:jc w:val="center"/>
      </w:pPr>
      <m:oMathPara>
        <m:oMathParaPr>
          <m:jc m:val="center"/>
        </m:oMathParaPr>
        <m:oMath>
          <m:r>
            <m:t>(</m:t>
          </m:r>
          <m:sSub>
            <m:e>
              <m:r>
                <m:t>g</m:t>
              </m:r>
            </m:e>
            <m:sub>
              <m:r>
                <m:t>0</m:t>
              </m:r>
            </m:sub>
          </m:sSub>
          <m:r>
            <m:t>,</m:t>
          </m:r>
          <m:sSub>
            <m:e>
              <m:r>
                <m:t>g</m:t>
              </m:r>
            </m:e>
            <m:sub>
              <m:r>
                <m:t>1</m:t>
              </m:r>
            </m:sub>
          </m:sSub>
          <m:r>
            <m:t>,</m:t>
          </m:r>
          <m:r>
            <m:t>…</m:t>
          </m:r>
          <m:r>
            <m:t>,</m:t>
          </m:r>
          <m:sSub>
            <m:e>
              <m:r>
                <m:t>g</m:t>
              </m:r>
            </m:e>
            <m:sub>
              <m:r>
                <m:t>n</m:t>
              </m:r>
              <m:r>
                <m:t>−</m:t>
              </m:r>
              <m:r>
                <m:t>1</m:t>
              </m:r>
            </m:sub>
          </m:sSub>
          <m:r>
            <m:t>)</m:t>
          </m:r>
          <m:r>
            <m:t>.</m:t>
          </m:r>
        </m:oMath>
      </m:oMathPara>
    </w:p>
    <w:p>
      <w:pPr>
        <w:pStyle w:val="FirstParagraph"/>
        <w:widowControl/>
        <w:spacing w:before="100" w:after="140"/>
        <w:jc w:val="left"/>
      </w:pPr>
      <w:r>
        <w:t xml:space="preserve">每个类型内部维护一个按</w:t>
      </w:r>
      <w:r>
        <w:t xml:space="preserve"> </w:t>
      </w:r>
      <w:r>
        <w:rPr>
          <w:rStyle w:val="VerbatimChar"/>
        </w:rPr>
        <w:t xml:space="preserve">(original_rank, ident)</w:t>
      </w:r>
      <w:r>
        <w:t xml:space="preserve"> </w:t>
      </w:r>
      <w:r>
        <w:t xml:space="preserve">排序的车辆队列。依次扫描类型序列，每遇到类型</w:t>
      </w:r>
      <w:r>
        <w:t xml:space="preserve"> </w:t>
      </w:r>
      <m:oMath>
        <m:r>
          <m:t>g</m:t>
        </m:r>
      </m:oMath>
      <w:r>
        <w:t xml:space="preserve">，从对应队列取出下一辆真实车辆，即可生成：</w:t>
      </w:r>
    </w:p>
    <w:p>
      <w:pPr>
        <w:pStyle w:val="BodyText"/>
        <w:widowControl/>
        <w:spacing w:before="100" w:after="140"/>
        <w:jc w:val="center"/>
      </w:pPr>
      <m:oMathPara>
        <m:oMathParaPr>
          <m:jc m:val="center"/>
        </m:oMathParaPr>
        <m:oMath>
          <m:r>
            <m:t>(</m:t>
          </m:r>
          <m:r>
            <m:t>v</m:t>
          </m:r>
          <m:r>
            <m:t>e</m:t>
          </m:r>
          <m:r>
            <m:t>h</m:t>
          </m:r>
          <m:r>
            <m:t>i</m:t>
          </m:r>
          <m:r>
            <m:t>c</m:t>
          </m:r>
          <m:r>
            <m:t>l</m:t>
          </m:r>
          <m:r>
            <m:t>e</m:t>
          </m:r>
          <m:r>
            <m:t>_</m:t>
          </m:r>
          <m:r>
            <m:t>i</m:t>
          </m:r>
          <m:sSub>
            <m:e>
              <m:r>
                <m:t>d</m:t>
              </m:r>
            </m:e>
            <m:sub>
              <m:r>
                <m:t>0</m:t>
              </m:r>
            </m:sub>
          </m:sSub>
          <m:r>
            <m:t>,</m:t>
          </m:r>
          <m:r>
            <m:t>v</m:t>
          </m:r>
          <m:r>
            <m:t>e</m:t>
          </m:r>
          <m:r>
            <m:t>h</m:t>
          </m:r>
          <m:r>
            <m:t>i</m:t>
          </m:r>
          <m:r>
            <m:t>c</m:t>
          </m:r>
          <m:r>
            <m:t>l</m:t>
          </m:r>
          <m:r>
            <m:t>e</m:t>
          </m:r>
          <m:r>
            <m:t>_</m:t>
          </m:r>
          <m:r>
            <m:t>i</m:t>
          </m:r>
          <m:sSub>
            <m:e>
              <m:r>
                <m:t>d</m:t>
              </m:r>
            </m:e>
            <m:sub>
              <m:r>
                <m:t>1</m:t>
              </m:r>
            </m:sub>
          </m:sSub>
          <m:r>
            <m:t>,</m:t>
          </m:r>
          <m:r>
            <m:t>…</m:t>
          </m:r>
          <m:r>
            <m:t>,</m:t>
          </m:r>
          <m:r>
            <m:t>v</m:t>
          </m:r>
          <m:r>
            <m:t>e</m:t>
          </m:r>
          <m:r>
            <m:t>h</m:t>
          </m:r>
          <m:r>
            <m:t>i</m:t>
          </m:r>
          <m:r>
            <m:t>c</m:t>
          </m:r>
          <m:r>
            <m:t>l</m:t>
          </m:r>
          <m:r>
            <m:t>e</m:t>
          </m:r>
          <m:r>
            <m:t>_</m:t>
          </m:r>
          <m:r>
            <m:t>i</m:t>
          </m:r>
          <m:sSub>
            <m:e>
              <m:r>
                <m:t>d</m:t>
              </m:r>
            </m:e>
            <m:sub>
              <m:r>
                <m:t>n</m:t>
              </m:r>
              <m:r>
                <m:t>−</m:t>
              </m:r>
              <m:r>
                <m:t>1</m:t>
              </m:r>
            </m:sub>
          </m:sSub>
          <m:r>
            <m:t>)</m:t>
          </m:r>
          <m:r>
            <m:t>.</m:t>
          </m:r>
        </m:oMath>
      </m:oMathPara>
    </w:p>
    <w:p>
      <w:pPr>
        <w:pStyle w:val="FirstParagraph"/>
        <w:widowControl/>
      </w:pPr>
      <w:r>
        <w:t xml:space="preserve">还原后的</w:t>
      </w:r>
      <w:r>
        <w:t xml:space="preserve"> </w:t>
      </w:r>
      <w:r>
        <w:rPr>
          <w:rStyle w:val="VerbatimChar"/>
        </w:rPr>
        <w:t xml:space="preserve">SequenceSolution</w:t>
      </w:r>
      <w:r>
        <w:t xml:space="preserve"> </w:t>
      </w:r>
      <w:r>
        <w:t xml:space="preserve">必须再次经过独立</w:t>
      </w:r>
      <w:r>
        <w:t xml:space="preserve"> </w:t>
      </w:r>
      <w:r>
        <w:rPr>
          <w:rStyle w:val="VerbatimChar"/>
        </w:rPr>
        <w:t xml:space="preserve">RenaultEvaluator</w:t>
      </w:r>
      <w:r>
        <w:t xml:space="preserve">，并在输出后交由官方 Checker 校验。MILP 模型内部目标值不能替代独立评估结果。</w:t>
      </w:r>
    </w:p>
    <w:p>
      <w:pPr>
        <w:widowControl/>
      </w:pPr>
      <w:r>
        <w:rPr>
          <w:rFonts w:ascii="Calibri" w:hAnsi="Calibri" w:eastAsia="Microsoft YaHei"/>
          <w:sz w:val="21"/>
        </w:rPr>
        <w:pict>
          <v:rect style="width:0;height:1.5pt" o:hralign="center" o:hrstd="t" o:hr="t"/>
        </w:pict>
      </w:r>
    </w:p>
    <w:p>
      <w:pPr>
        <w:pStyle w:val="Heading2"/>
        <w:widowControl/>
      </w:pPr>
      <w:bookmarkStart w:id="47" w:name="mip-start"/>
      <w:bookmarkEnd w:id="47"/>
      <w:r>
        <w:t xml:space="preserve">12. MIP Start</w:t>
      </w:r>
    </w:p>
    <w:p>
      <w:pPr>
        <w:pStyle w:val="FirstParagraph"/>
        <w:widowControl/>
        <w:spacing w:before="100" w:after="140"/>
        <w:jc w:val="left"/>
      </w:pPr>
      <w:r>
        <w:t xml:space="preserve">可以使用 SeqRank Baseline 为</w:t>
      </w:r>
      <w:r>
        <w:t xml:space="preserve"> </w:t>
      </w:r>
      <m:oMath>
        <m:sSub>
          <m:e>
            <m:r>
              <m:t>x</m:t>
            </m:r>
          </m:e>
          <m:sub>
            <m:r>
              <m:t>g</m:t>
            </m:r>
            <m:r>
              <m:t>t</m:t>
            </m:r>
          </m:sub>
        </m:sSub>
      </m:oMath>
      <w:r>
        <w:t xml:space="preserve"> </w:t>
      </w:r>
      <w:r>
        <w:t xml:space="preserve">提供初始值：</w:t>
      </w:r>
    </w:p>
    <w:p>
      <w:pPr>
        <w:pStyle w:val="Compact"/>
        <w:widowControl/>
        <w:numPr>
          <w:numId w:val="1004"/>
          <w:ilvl w:val="0"/>
        </w:numPr>
      </w:pPr>
      <w:r>
        <w:t xml:space="preserve">按原始</w:t>
      </w:r>
      <w:r>
        <w:t xml:space="preserve"> </w:t>
      </w:r>
      <w:r>
        <w:rPr>
          <w:rStyle w:val="VerbatimChar"/>
        </w:rPr>
        <w:t xml:space="preserve">SeqRank</w:t>
      </w:r>
      <w:r>
        <w:t xml:space="preserve"> </w:t>
      </w:r>
      <w:r>
        <w:t xml:space="preserve">获得车辆序列；</w:t>
      </w:r>
    </w:p>
    <w:p>
      <w:pPr>
        <w:pStyle w:val="Compact"/>
        <w:widowControl/>
        <w:numPr>
          <w:numId w:val="1004"/>
          <w:ilvl w:val="0"/>
        </w:numPr>
      </w:pPr>
      <w:r>
        <w:t xml:space="preserve">将每辆车映射到车辆类型；</w:t>
      </w:r>
    </w:p>
    <w:p>
      <w:pPr>
        <w:pStyle w:val="Compact"/>
        <w:widowControl/>
        <w:numPr>
          <w:numId w:val="1004"/>
          <w:ilvl w:val="0"/>
        </w:numPr>
        <w:spacing w:before="100" w:after="140"/>
        <w:jc w:val="left"/>
      </w:pPr>
      <w:r>
        <w:t xml:space="preserve">对相应的</w:t>
      </w:r>
      <w:r>
        <w:t xml:space="preserve"> </w:t>
      </w:r>
      <m:oMath>
        <m:sSub>
          <m:e>
            <m:r>
              <m:t>x</m:t>
            </m:r>
          </m:e>
          <m:sub>
            <m:r>
              <m:t>g</m:t>
            </m:r>
            <m:r>
              <m:t>t</m:t>
            </m:r>
          </m:sub>
        </m:sSub>
      </m:oMath>
      <w:r>
        <w:t xml:space="preserve"> </w:t>
      </w:r>
      <w:r>
        <w:t xml:space="preserve">设置 Start 值；</w:t>
      </w:r>
    </w:p>
    <w:p>
      <w:pPr>
        <w:pStyle w:val="Compact"/>
        <w:widowControl/>
        <w:numPr>
          <w:numId w:val="1004"/>
          <w:ilvl w:val="0"/>
        </w:numPr>
      </w:pPr>
      <w:r>
        <w:t xml:space="preserve">由初始序列推导颜色和违反变量的初始值，或交给求解器自动补全。</w:t>
      </w:r>
    </w:p>
    <w:p>
      <w:pPr>
        <w:pStyle w:val="FirstParagraph"/>
        <w:widowControl/>
      </w:pPr>
      <w:r>
        <w:t xml:space="preserve">MIP Start 不改变模型最优性，只帮助求解器更快获得首个可行上界。</w:t>
      </w:r>
    </w:p>
    <w:p>
      <w:pPr>
        <w:widowControl/>
      </w:pPr>
      <w:r>
        <w:rPr>
          <w:rFonts w:ascii="Calibri" w:hAnsi="Calibri" w:eastAsia="Microsoft YaHei"/>
          <w:sz w:val="21"/>
        </w:rPr>
        <w:pict>
          <v:rect style="width:0;height:1.5pt" o:hralign="center" o:hrstd="t" o:hr="t"/>
        </w:pict>
      </w:r>
    </w:p>
    <w:p>
      <w:pPr>
        <w:pStyle w:val="Heading2"/>
        <w:widowControl/>
      </w:pPr>
      <w:bookmarkStart w:id="48" w:name="模型规模与适用边界"/>
      <w:bookmarkEnd w:id="48"/>
      <w:r>
        <w:t xml:space="preserve">13. 模型规模与适用边界</w:t>
      </w:r>
    </w:p>
    <w:p>
      <w:pPr>
        <w:pStyle w:val="FirstParagraph"/>
        <w:widowControl/>
      </w:pPr>
      <w:r>
        <w:t xml:space="preserve">类型聚合模型主要包含：</w:t>
      </w:r>
    </w:p>
    <w:p>
      <w:pPr>
        <w:pStyle w:val="Compact"/>
        <w:widowControl/>
        <w:numPr>
          <w:numId w:val="1005"/>
          <w:ilvl w:val="0"/>
        </w:numPr>
        <w:spacing w:before="100" w:after="140"/>
        <w:jc w:val="left"/>
      </w:pPr>
      <m:oMath>
        <m:r>
          <m:t>|</m:t>
        </m:r>
        <m:r>
          <m:t>G</m:t>
        </m:r>
        <m:r>
          <m:t>|</m:t>
        </m:r>
        <m:r>
          <m:t>n</m:t>
        </m:r>
      </m:oMath>
      <w:r>
        <w:t xml:space="preserve"> </w:t>
      </w:r>
      <w:r>
        <w:t xml:space="preserve">个类型位置二进制变量；</w:t>
      </w:r>
    </w:p>
    <w:p>
      <w:pPr>
        <w:pStyle w:val="Compact"/>
        <w:widowControl/>
        <w:numPr>
          <w:numId w:val="1005"/>
          <w:ilvl w:val="0"/>
        </w:numPr>
        <w:spacing w:before="100" w:after="140"/>
        <w:jc w:val="left"/>
      </w:pPr>
      <m:oMath>
        <m:r>
          <m:t>|</m:t>
        </m:r>
        <m:r>
          <m:t>C</m:t>
        </m:r>
        <m:r>
          <m:t>|</m:t>
        </m:r>
        <m:r>
          <m:t>n</m:t>
        </m:r>
      </m:oMath>
      <w:r>
        <w:t xml:space="preserve"> </w:t>
      </w:r>
      <w:r>
        <w:t xml:space="preserve">个颜色变量或线性表达式；</w:t>
      </w:r>
    </w:p>
    <w:p>
      <w:pPr>
        <w:pStyle w:val="Compact"/>
        <w:widowControl/>
        <w:numPr>
          <w:numId w:val="1005"/>
          <w:ilvl w:val="0"/>
        </w:numPr>
        <w:spacing w:before="100" w:after="140"/>
        <w:jc w:val="left"/>
      </w:pPr>
      <m:oMath>
        <m:r>
          <m:t>n</m:t>
        </m:r>
      </m:oMath>
      <w:r>
        <w:t xml:space="preserve"> </w:t>
      </w:r>
      <w:r>
        <w:t xml:space="preserve">个颜色切换变量；</w:t>
      </w:r>
    </w:p>
    <w:p>
      <w:pPr>
        <w:pStyle w:val="Compact"/>
        <w:widowControl/>
        <w:numPr>
          <w:numId w:val="1005"/>
          <w:ilvl w:val="0"/>
        </w:numPr>
        <w:spacing w:before="100" w:after="140"/>
        <w:jc w:val="left"/>
      </w:pPr>
      <m:oMath>
        <m:nary>
          <m:naryPr>
            <m:chr m:val="∑"/>
            <m:limLoc m:val="undOvr"/>
            <m:subHide m:val="0"/>
            <m:supHide m:val="1"/>
          </m:naryPr>
          <m:sub>
            <m:r>
              <m:t>k</m:t>
            </m:r>
            <m:r>
              <m:t>∈</m:t>
            </m:r>
            <m:r>
              <m:t>K</m:t>
            </m:r>
          </m:sub>
          <m:sup/>
          <m:e>
            <m:r>
              <m:t>|</m:t>
            </m:r>
          </m:e>
        </m:nary>
        <m:sSub>
          <m:e>
            <m:r>
              <m:t>S</m:t>
            </m:r>
          </m:e>
          <m:sub>
            <m:r>
              <m:t>k</m:t>
            </m:r>
          </m:sub>
        </m:sSub>
        <m:r>
          <m:t>|</m:t>
        </m:r>
      </m:oMath>
      <w:r>
        <w:t xml:space="preserve"> </w:t>
      </w:r>
      <w:r>
        <w:t xml:space="preserve">个比例违反变量；</w:t>
      </w:r>
    </w:p>
    <w:p>
      <w:pPr>
        <w:pStyle w:val="Compact"/>
        <w:widowControl/>
        <w:numPr>
          <w:numId w:val="1005"/>
          <w:ilvl w:val="0"/>
        </w:numPr>
        <w:spacing w:before="100" w:after="140"/>
        <w:jc w:val="left"/>
      </w:pPr>
      <m:oMath>
        <m:r>
          <m:t>n</m:t>
        </m:r>
        <m:r>
          <m:t>+</m:t>
        </m:r>
        <m:r>
          <m:t>|</m:t>
        </m:r>
        <m:r>
          <m:t>G</m:t>
        </m:r>
        <m:r>
          <m:t>|</m:t>
        </m:r>
      </m:oMath>
      <w:r>
        <w:t xml:space="preserve"> </w:t>
      </w:r>
      <w:r>
        <w:t xml:space="preserve">条车辆分配约束；</w:t>
      </w:r>
    </w:p>
    <w:p>
      <w:pPr>
        <w:pStyle w:val="Compact"/>
        <w:widowControl/>
        <w:numPr>
          <w:numId w:val="1005"/>
          <w:ilvl w:val="0"/>
        </w:numPr>
      </w:pPr>
      <w:r>
        <w:t xml:space="preserve">颜色关联、颜色批次和比例窗口约束。</w:t>
      </w:r>
    </w:p>
    <w:p>
      <w:pPr>
        <w:pStyle w:val="FirstParagraph"/>
        <w:widowControl/>
      </w:pPr>
      <w:r>
        <w:t xml:space="preserve">即使经过类型聚合，上千辆车的完整实例仍可能形成较大的 MILP。因此 Exact 模块的合理定位是：</w:t>
      </w:r>
    </w:p>
    <w:p>
      <w:pPr>
        <w:pStyle w:val="Compact"/>
        <w:widowControl/>
        <w:numPr>
          <w:numId w:val="1006"/>
          <w:ilvl w:val="0"/>
        </w:numPr>
      </w:pPr>
      <w:r>
        <w:t xml:space="preserve">小规模实例求证最优解；</w:t>
      </w:r>
    </w:p>
    <w:p>
      <w:pPr>
        <w:pStyle w:val="Compact"/>
        <w:widowControl/>
        <w:numPr>
          <w:numId w:val="1006"/>
          <w:ilvl w:val="0"/>
        </w:numPr>
      </w:pPr>
      <w:r>
        <w:t xml:space="preserve">中等实例在统一时限下获得可行解、Best Bound 和 MIP Gap；</w:t>
      </w:r>
    </w:p>
    <w:p>
      <w:pPr>
        <w:pStyle w:val="Compact"/>
        <w:widowControl/>
        <w:numPr>
          <w:numId w:val="1006"/>
          <w:ilvl w:val="0"/>
        </w:numPr>
      </w:pPr>
      <w:r>
        <w:t xml:space="preserve">验证启发式算法的目标计算和解质量；</w:t>
      </w:r>
    </w:p>
    <w:p>
      <w:pPr>
        <w:pStyle w:val="Compact"/>
        <w:widowControl/>
        <w:numPr>
          <w:numId w:val="1006"/>
          <w:ilvl w:val="0"/>
        </w:numPr>
      </w:pPr>
      <w:r>
        <w:t xml:space="preserve">不承诺对所有 Set A/Set X 大实例证明最优。</w:t>
      </w:r>
    </w:p>
    <w:p>
      <w:pPr>
        <w:widowControl/>
      </w:pPr>
      <w:r>
        <w:rPr>
          <w:rFonts w:ascii="Calibri" w:hAnsi="Calibri" w:eastAsia="Microsoft YaHei"/>
          <w:sz w:val="21"/>
        </w:rPr>
        <w:pict>
          <v:rect style="width:0;height:1.5pt" o:hralign="center" o:hrstd="t" o:hr="t"/>
        </w:pict>
      </w:r>
    </w:p>
    <w:p>
      <w:pPr>
        <w:pStyle w:val="Heading2"/>
        <w:widowControl/>
      </w:pPr>
      <w:bookmarkStart w:id="49" w:name="实现验收标准"/>
      <w:bookmarkEnd w:id="49"/>
      <w:r>
        <w:t xml:space="preserve">14. 实现验收标准</w:t>
      </w:r>
    </w:p>
    <w:p>
      <w:pPr>
        <w:pStyle w:val="FirstParagraph"/>
        <w:widowControl/>
      </w:pPr>
      <w:r>
        <w:t xml:space="preserve">第一版 Exact 求解器应满足：</w:t>
      </w:r>
    </w:p>
    <w:p>
      <w:pPr>
        <w:pStyle w:val="Compact"/>
        <w:widowControl/>
        <w:numPr>
          <w:numId w:val="1007"/>
          <w:ilvl w:val="0"/>
        </w:numPr>
      </w:pPr>
      <w:r>
        <w:t xml:space="preserve">正确聚合并还原车辆类型；</w:t>
      </w:r>
    </w:p>
    <w:p>
      <w:pPr>
        <w:pStyle w:val="Compact"/>
        <w:widowControl/>
        <w:numPr>
          <w:numId w:val="1007"/>
          <w:ilvl w:val="0"/>
        </w:numPr>
      </w:pPr>
      <w:r>
        <w:t xml:space="preserve">支持 SeqRank MIP Start；</w:t>
      </w:r>
    </w:p>
    <w:p>
      <w:pPr>
        <w:pStyle w:val="Compact"/>
        <w:widowControl/>
        <w:numPr>
          <w:numId w:val="1007"/>
          <w:ilvl w:val="0"/>
        </w:numPr>
      </w:pPr>
      <w:r>
        <w:t xml:space="preserve">支持时间限制和随机种子；</w:t>
      </w:r>
    </w:p>
    <w:p>
      <w:pPr>
        <w:pStyle w:val="Compact"/>
        <w:widowControl/>
        <w:numPr>
          <w:numId w:val="1007"/>
          <w:ilvl w:val="0"/>
        </w:numPr>
      </w:pPr>
      <w:r>
        <w:t xml:space="preserve">返回求解状态、Incumbent、Best Bound、MIP Gap、节点数和运行时间；</w:t>
      </w:r>
    </w:p>
    <w:p>
      <w:pPr>
        <w:pStyle w:val="Compact"/>
        <w:widowControl/>
        <w:numPr>
          <w:numId w:val="1007"/>
          <w:ilvl w:val="0"/>
        </w:numPr>
      </w:pPr>
      <w:r>
        <w:t xml:space="preserve">无可行解时不生成伪造序列；</w:t>
      </w:r>
    </w:p>
    <w:p>
      <w:pPr>
        <w:pStyle w:val="Compact"/>
        <w:widowControl/>
        <w:numPr>
          <w:numId w:val="1007"/>
          <w:ilvl w:val="0"/>
        </w:numPr>
      </w:pPr>
      <w:r>
        <w:t xml:space="preserve">Gurobi 或许可证不可用时抛出明确的</w:t>
      </w:r>
      <w:r>
        <w:t xml:space="preserve"> </w:t>
      </w:r>
      <w:r>
        <w:rPr>
          <w:rStyle w:val="VerbatimChar"/>
        </w:rPr>
        <w:t xml:space="preserve">SolverUnavailableError</w:t>
      </w:r>
      <w:r>
        <w:t xml:space="preserve">；</w:t>
      </w:r>
    </w:p>
    <w:p>
      <w:pPr>
        <w:pStyle w:val="Compact"/>
        <w:widowControl/>
        <w:numPr>
          <w:numId w:val="1007"/>
          <w:ilvl w:val="0"/>
        </w:numPr>
      </w:pPr>
      <w:r>
        <w:t xml:space="preserve">输出序列通过独立</w:t>
      </w:r>
      <w:r>
        <w:t xml:space="preserve"> </w:t>
      </w:r>
      <w:r>
        <w:rPr>
          <w:rStyle w:val="VerbatimChar"/>
        </w:rPr>
        <w:t xml:space="preserve">RenaultEvaluator</w:t>
      </w:r>
      <w:r>
        <w:t xml:space="preserve">；</w:t>
      </w:r>
    </w:p>
    <w:p>
      <w:pPr>
        <w:pStyle w:val="Compact"/>
        <w:widowControl/>
        <w:numPr>
          <w:numId w:val="1007"/>
          <w:ilvl w:val="0"/>
        </w:numPr>
      </w:pPr>
      <w:r>
        <w:t xml:space="preserve">输出文件通过官方 Checker；</w:t>
      </w:r>
    </w:p>
    <w:p>
      <w:pPr>
        <w:pStyle w:val="Compact"/>
        <w:widowControl/>
        <w:numPr>
          <w:numId w:val="1007"/>
          <w:ilvl w:val="0"/>
        </w:numPr>
      </w:pPr>
      <w:r>
        <w:t xml:space="preserve">微型实例与人工最优值一致；</w:t>
      </w:r>
    </w:p>
    <w:p>
      <w:pPr>
        <w:pStyle w:val="Compact"/>
        <w:widowControl/>
        <w:numPr>
          <w:numId w:val="1007"/>
          <w:ilvl w:val="0"/>
        </w:numPr>
      </w:pPr>
      <w:r>
        <w:t xml:space="preserve">明确记录使用 Checker 加权模式还是严格字典序模式。</w:t>
      </w:r>
    </w:p>
    <w:p>
      <w:pPr>
        <w:pStyle w:val="FirstParagraph"/>
        <w:widowControl/>
      </w:pPr>
      <w:r>
        <w:t xml:space="preserve">该 MILP 文档是 Exact 模块的建模基线。后续若调整边界规则、目标权重或变量表达方式，应同步更新本文档、Evaluator 对齐测试和模型测试。</w:t>
      </w:r>
    </w:p>
    <w:sectPr>
      <w:headerReference w:type="default" r:id="rId8"/>
      <w:footerReference w:type="default" r:id="rId9"/>
      <w:pgSz w:w="12240" w:h="15840"/>
      <w:pgMar w:top="1181" w:bottom="1181" w:left="1267" w:right="1267" w:header="605" w:footer="605"/>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sz w:val="18"/>
      </w:rPr>
      <w:t xml:space="preserve">第 </w:t>
    </w:r>
    <w:fldSimple w:instr="PAGE"/>
    <w:r>
      <w:rPr>
        <w:rFonts w:ascii="Calibri" w:hAnsi="Calibri" w:eastAsia="Microsoft YaHei"/>
        <w:sz w:val="18"/>
      </w:rPr>
      <w:t xml:space="preserve"> 页</w:t>
    </w:r>
    <w:r>
      <w:rPr>
        <w:rFonts w:ascii="Calibri" w:hAnsi="Calibri" w:eastAsia="Microsoft YaHei"/>
        <w:sz w:val="18"/>
      </w:rPr>
      <w:t xml:space="preserve">第 </w:t>
    </w:r>
    <w:fldSimple w:instr="PAGE"/>
    <w:r>
      <w:rPr>
        <w:rFonts w:ascii="Calibri" w:hAnsi="Calibri" w:eastAsia="Microsoft YaHei"/>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46E78"/>
        <w:sz w:val="17"/>
      </w:rPr>
      <w:t>ROADEF 2005 · Renault Car Sequencing · MILP建模说明</w:t>
    </w:r>
  </w:p>
</w:hdr>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e705ce05"/>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9dd23439"/>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f2b6cd03"/>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00" w:line="288" w:lineRule="auto"/>
    </w:pPr>
    <w:rPr>
      <w:rFonts w:ascii="Calibri" w:hAnsi="Calibri" w:eastAsia="Microsoft YaHei"/>
      <w:sz w:val="2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32"/>
    </w:rPr>
  </w:style>
  <w:style w:type="paragraph" w:styleId="Heading2">
    <w:name w:val="Heading 2"/>
    <w:basedOn w:val="Normal"/>
    <w:next w:val="BodyText"/>
    <w:uiPriority w:val="9"/>
    <w:unhideWhenUsed/>
    <w:qFormat/>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32"/>
    </w:rPr>
  </w:style>
  <w:style w:type="paragraph" w:styleId="Heading3">
    <w:name w:val="Heading 3"/>
    <w:basedOn w:val="Normal"/>
    <w:next w:val="BodyText"/>
    <w:uiPriority w:val="9"/>
    <w:unhideWhenUsed/>
    <w:qFormat/>
    <w:pPr>
      <w:keepNext/>
      <w:keepLines/>
      <w:spacing w:before="180" w:after="80"/>
      <w:outlineLvl w:val="2"/>
    </w:pPr>
    <w:rPr>
      <w:rFonts w:asciiTheme="majorHAnsi" w:eastAsiaTheme="majorEastAsia" w:hAnsiTheme="majorHAnsi" w:cstheme="majorBidi" w:ascii="Calibri" w:hAnsi="Calibri" w:eastAsia="Microsoft YaHei"/>
      <w:b/>
      <w:bCs/>
      <w:color w:val="1F4D78"/>
      <w:sz w:val="23"/>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Renault Car Sequencing MILP 建模说明</dc:title>
  <dc:creator>Renault Car Sequencing Project</dc:creator>
  <dcterms:created xsi:type="dcterms:W3CDTF">2026-08-16T14:53:11Z</dcterms:created>
  <dcterms:modified xsi:type="dcterms:W3CDTF">2026-08-16T14:53:11Z</dcterms:modified>
  <dc:subject>ROADEF 2005 精确求解模型</dc:subject>
</cp:coreProperties>
</file>