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A4A9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王一如, 白姣姣, 秦雯, 等. 微环境pH值调适对糖尿病足溃疡创面康复的效果评价[J]. 军事护理, 2024, 41(5): 11-14. DOI:10.3969/j.issn.2097-1826.2024.05.003.（聚焦于糖尿病足溃疡创面微环境pH值的调控与康复效果）</w:t>
      </w:r>
    </w:p>
    <w:p w14:paraId="23DB6575">
      <w:pPr>
        <w:numPr>
          <w:numId w:val="0"/>
        </w:numPr>
        <w:rPr>
          <w:rFonts w:hint="eastAsia"/>
          <w:lang w:val="en-US" w:eastAsia="zh-CN"/>
        </w:rPr>
      </w:pPr>
    </w:p>
    <w:p w14:paraId="681562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王慧, 王静, 杨亚平, 等. SINBAD系统评分联合创面PH值对糖尿病足肌少症诊断的相关性研究[C]//上海市护理学会. 2024年学术年会论文集, 2024-12-05.（回答了“为什么要监测pH值”这一核心问题）</w:t>
      </w:r>
    </w:p>
    <w:p w14:paraId="11CE6FB8">
      <w:pPr>
        <w:numPr>
          <w:numId w:val="0"/>
        </w:numPr>
        <w:rPr>
          <w:rFonts w:hint="default"/>
          <w:lang w:val="en-US" w:eastAsia="zh-CN"/>
        </w:rPr>
      </w:pPr>
    </w:p>
    <w:p w14:paraId="5B2714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朱宏涛. 基于伤口检测的糖尿病足分类模型与量化方法研究[D]. 上海: 上海大学, 2023.（糖尿病足伤口检测、量化评估）</w:t>
      </w:r>
    </w:p>
    <w:p w14:paraId="3229C5E2">
      <w:pPr>
        <w:numPr>
          <w:numId w:val="0"/>
        </w:numPr>
        <w:rPr>
          <w:rFonts w:hint="default"/>
          <w:lang w:val="en-US" w:eastAsia="zh-CN"/>
        </w:rPr>
      </w:pPr>
    </w:p>
    <w:p w14:paraId="6865C98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叶增杰, 邓宝莹, 全小明. 慢性伤口检测方法的研究进展[J]. 护理学报, 2014, 21(18): 15-17. DOI:10.16460/j.issn1008-9969.2014.18.032.（“伤口pH检测”的研究背景、现有检测方法局限性）</w:t>
      </w:r>
    </w:p>
    <w:p w14:paraId="1FD289D9">
      <w:pPr>
        <w:numPr>
          <w:numId w:val="0"/>
        </w:numPr>
        <w:rPr>
          <w:rFonts w:hint="default"/>
          <w:lang w:val="en-US" w:eastAsia="zh-CN"/>
        </w:rPr>
      </w:pPr>
    </w:p>
    <w:p w14:paraId="1BA87A4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孙已岚, 臧露奉, 刘英慧, 等. 柔性电化学传感器的材料选择研究进展[J]. 复合材料学报, 2024, 41(05): 2249-2261. DOI:10.13801/j.cnki.fhclxb.20231205.002.（柔性电化学传感器的各类材料）</w:t>
      </w:r>
    </w:p>
    <w:p w14:paraId="21D1E24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72B8CA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曹梦祝. 基于碳纳米材料的柔性电化学传感器的构筑及应用研究[D]. 长春: 东北师范大学, 2025. DOI:10.27011/d.cnki.gdbsu.2025.000164.（提供具体的制备工艺和性能数据）</w:t>
      </w:r>
    </w:p>
    <w:p w14:paraId="5ABA76B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A170F8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常加忠, 王振领, 李敏, 等. 具有特殊形貌的氧化锌纳米结构材料[J]. 周口师范学院学报, 2006, 23(2): 55-58.（为什么特殊结构能提升pH响应灵敏度）</w:t>
      </w:r>
    </w:p>
    <w:p w14:paraId="339D03F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560A65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刘雪宁, 杨治中, 唐康泰, 等. 高分子模板法合成特殊形态的氧化锌纳米结构材料[J]. 化学通报, 2000, (11): 46-50. DOI:10.14159/j.cnki.0441-3776.2000.11.013.（如何可控合成特殊形貌的ZnO）</w:t>
      </w:r>
    </w:p>
    <w:p w14:paraId="0C52029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CE2FD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聂松, 陈建, 曾宪光, 等. 特殊结构螺旋纳米碳纤维的制备及电化学性能[J]. 化工新型材料, 2017, 45(2): 79-82.（能显著提升电化学传感性能，是柔性电极的理想材料）</w:t>
      </w:r>
    </w:p>
    <w:p w14:paraId="2E38BDA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48D36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林佳琪. 碳基过渡金属特殊结构纳米纤维电催化剂的制备与性能[D]. 长春: 长春理工大学, 2025. DOI:10.26977/d.cnki.gccgc.2024.000773.（- 糖尿病足适配：碳材料生物相容性好，纳米纤维透气性佳，能减少伤口闷湿，适合长期穿戴）</w:t>
      </w:r>
    </w:p>
    <w:p w14:paraId="6094588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0CA1A2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许厚明. 几种镍基特殊结构纳米材料的“软化学”合成策略及应用研究[D]. 合肥: 合肥工业大学, 2025. DOI:10.27101/d.cnki.ghfgu.2023.000185.（“软化学”合成法能精准控制纳米结构形貌）</w:t>
      </w:r>
    </w:p>
    <w:p w14:paraId="4D3E2F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1516EA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李磊. 纳米ZnO/PLA/PBAT复合材料的制备及力学、抗菌和生物相容性[D]. 南昌: 南昌大学, 2023. DOI:10.27232/d.cnki.gnchu.2022.002072.（ZnO纳米材料的生物相容性和制备方法）</w:t>
      </w:r>
    </w:p>
    <w:p w14:paraId="136E7D9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E62C40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胡灿. CaO/ZnO核-壳结构纳米材料的生物相容性研究[D]. 长春: 吉林大学, 2016.（研究ZnO基纳米材料的生物相容性）</w:t>
      </w:r>
    </w:p>
    <w:p w14:paraId="32263C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A2C69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高静. TiO₂/石墨烯纳米复合材料的制备及其生物相容性研究[D]. 兰州: 兰州大学, 2016.（材料的制备方法和生物相容性）</w:t>
      </w:r>
    </w:p>
    <w:p w14:paraId="52E6AE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F4C70B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韦力瑗. 特殊形貌ZnO和复合材料的制备及其光催化与气敏特性[D]. 福州: 福州大学, 2016.（“特殊形貌如何提升传感性能”提供了直接依据）</w:t>
      </w:r>
    </w:p>
    <w:p w14:paraId="583087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14B8A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刘晶, 宫元勋, 匡勤, 等. 特殊形貌纳米氧化锌的吸波性能研究[J]. 厦门大学学报(自然科学版), 2009, 48(6): 848-853.（理解“形貌如何影响材料本征性能”提供了理论参考）</w:t>
      </w:r>
    </w:p>
    <w:p w14:paraId="6BAA4D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9167E1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何梦瑶. 可用于慢性伤口监测的双靶点荧光探针pH-NO probe的合成研究[J]. 标准生活, 2025, (09): 136-138.（pH值是评估愈合状态的核心生物标志物）</w:t>
      </w:r>
    </w:p>
    <w:p w14:paraId="33B833D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7D40D8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梁原合, 朱笑宇, 郭泽鑫, 等. 微针递送系统用于慢性伤口管理的研究进展[J]. 中国药学杂志, 2026, 61(03): 240-249.（纳米/功能材料（如ZnO）应用于慢性伤口管理的可行性）</w:t>
      </w:r>
    </w:p>
    <w:p w14:paraId="4BA04BE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0104035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杨杰, 高鑫蕊, 高晨, 等. 多功能微针体系在慢性伤口治疗中的研究进展[J]. 重庆医科大学学报, 2025, 网络首发.（ZnO传感器不仅是监测工具，更是未来智能伤口管理系统的核心组件）</w:t>
      </w:r>
    </w:p>
    <w:p w14:paraId="73828CE0">
      <w:pPr>
        <w:numPr>
          <w:numId w:val="0"/>
        </w:numPr>
        <w:rPr>
          <w:rFonts w:hint="default"/>
          <w:lang w:val="en-US" w:eastAsia="zh-CN"/>
        </w:rPr>
      </w:pPr>
    </w:p>
    <w:p w14:paraId="7CA24A2A">
      <w:pPr>
        <w:numPr>
          <w:numId w:val="0"/>
        </w:numPr>
        <w:rPr>
          <w:rFonts w:hint="default"/>
          <w:lang w:val="en-US" w:eastAsia="zh-CN"/>
        </w:rPr>
      </w:pPr>
    </w:p>
    <w:p w14:paraId="640559BD">
      <w:pPr>
        <w:numPr>
          <w:numId w:val="0"/>
        </w:numPr>
        <w:rPr>
          <w:rFonts w:hint="default"/>
          <w:lang w:val="en-US" w:eastAsia="zh-CN"/>
        </w:rPr>
      </w:pPr>
    </w:p>
    <w:p w14:paraId="71403929">
      <w:pPr>
        <w:numPr>
          <w:numId w:val="0"/>
        </w:numPr>
        <w:rPr>
          <w:rFonts w:hint="default"/>
          <w:lang w:val="en-US" w:eastAsia="zh-CN"/>
        </w:rPr>
      </w:pPr>
    </w:p>
    <w:p w14:paraId="1D48C24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32B73"/>
    <w:multiLevelType w:val="singleLevel"/>
    <w:tmpl w:val="9C432B7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38CC5A"/>
    <w:multiLevelType w:val="singleLevel"/>
    <w:tmpl w:val="C138CC5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4409E5"/>
    <w:rsid w:val="7D44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2026-03-05T16:23:00Z</dcterms:created>
  <dc:creator>天橙党Y&amp;丶</dc:creator>
  <cp:lastModifiedBy>天橙党Y&amp;丶</cp:lastModifiedBy>
  <dcterms:modified xsi:type="dcterms:W3CDTF">2026-03-05T16:31:08Z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264D00A4E14E49789DE72506375D601D_11</vt:lpwstr>
  </property>
  <property fmtid="{D5CDD505-2E9C-101B-9397-08002B2CF9AE}" pid="4" name="KSOTemplateDocerSaveRecord">
    <vt:lpwstr>eyJoZGlkIjoiN2ZkOTg3YjUyN2I3MzhlZDkwYjBhMjVhZGNjZWMzYWIiLCJ1c2VySWQiOiIxNDg3MTcwMTg3In0=</vt:lpwstr>
  </property>
</Properties>
</file>