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0A5B0" w14:textId="77777777" w:rsidR="001E567D" w:rsidRDefault="00000000">
      <w:pPr>
        <w:pStyle w:val="1"/>
        <w:ind w:left="433" w:hanging="329"/>
      </w:pPr>
      <w:r>
        <w:t>Introduction</w:t>
      </w:r>
    </w:p>
    <w:p w14:paraId="3EE11533" w14:textId="77777777" w:rsidR="001E567D" w:rsidRDefault="00000000">
      <w:pPr>
        <w:spacing w:after="5" w:line="302" w:lineRule="auto"/>
        <w:ind w:left="119" w:right="152" w:firstLine="410"/>
        <w:jc w:val="both"/>
      </w:pPr>
      <w:r>
        <w:rPr>
          <w:rFonts w:hint="eastAsia"/>
        </w:rPr>
        <w:t>心力衰竭是全球重要的心血管疾病负担，2021 年全球患者约达 5,550 万，较 1990 年增加超过一倍[Yan S, Deng P, Chai K, et al. Global, regional, and national burden of heart failure and its risk factors between 1990 and 2021 and projections to 2050: an analysis of the global burden of disease]。心功能状态反映患者的症状负担和活动受限程度，是疾病评估、治疗决策和风险分层的重要依据。纽约心脏协会（New York Heart Association，NYHA）功能分级依据症状及体力活动受限程度将患者划分为 I–IV 级，至今仍广泛用于心力衰竭及其他心血管疾病的临床评价¹˒²。较差或恶化的功能状态与不良临床结局相关[Caraballo C, Desai NR, Mulder H, et al. Clinical Implications of the New York Heart Association Classification.Journal of the American Heart Association. 2019;8(23):e014240. doi:10.1161/JAHA.119.014240.]，因此，准确且可重复地识别心功能受限具有重要临床意义。</w:t>
      </w:r>
    </w:p>
    <w:p w14:paraId="5BF70B36" w14:textId="77777777" w:rsidR="001E567D" w:rsidRDefault="00000000">
      <w:pPr>
        <w:spacing w:after="5" w:line="302" w:lineRule="auto"/>
        <w:ind w:left="119" w:right="152" w:firstLine="410"/>
        <w:jc w:val="both"/>
      </w:pPr>
      <w:r>
        <w:rPr>
          <w:rFonts w:hint="eastAsia"/>
        </w:rPr>
        <w:t>目前，心功能状态评价主要依赖症状询问、活动耐量判断和临床医生综合评估。NYHA 分级简便且易于重复实施，但其结果受到患者症状感知、表达方式及观察者判断的影响，观察者间一致性并不完全稳定³。超声心动图、生物标志物和运动功能检查能够提供重要的客观补充¹˒²，但通常需要特定设备、专业人员或检查流程。因此，能够在常规就诊、随访和远程场景中低负担获取的辅助表型信息，可能为心功能状态评价提供新的补充。</w:t>
      </w:r>
    </w:p>
    <w:p w14:paraId="2F75ED9C" w14:textId="77777777" w:rsidR="001E567D" w:rsidRDefault="00000000">
      <w:pPr>
        <w:spacing w:after="5" w:line="302" w:lineRule="auto"/>
        <w:ind w:left="119" w:right="152" w:firstLine="410"/>
        <w:jc w:val="both"/>
      </w:pPr>
      <w:r>
        <w:rPr>
          <w:rFonts w:hint="eastAsia"/>
        </w:rPr>
        <w:t>面部是易于获取的体表区域，其颜色和光学表现受到皮肤血流、血红蛋白分布和循环状态等生理因素影响。既往研究显示，面部不同区域存在与心血管活动相关的时空变化⁴，静态面部照片也已被用于冠状动脉疾病和高血压识别⁶˒⁷；在心力衰竭相关研究中，连续面部视频和 remote photoplethysmography（rPPG）被用于分析心功能及左心室收缩功能⁸˒⁹。然而，现有证据主要集</w:t>
      </w:r>
      <w:r>
        <w:rPr>
          <w:rFonts w:hint="eastAsia"/>
        </w:rPr>
        <w:t>中于疾病标签或依赖时序信号，单幅静态 RGB 图像是否能够保留与拍照当次临床心功能状态相关的信息仍不清楚。更重要的是，静态图像中的颜色和纹理同时受到光照方向、阴影和亮度等采集条件影响¹⁰˒¹¹，姿态、背景及其他非面部信息也可能成为数据驱动模型的非目标判别线索。因此，在评价静态面部表型之前，需要尽可能约束这些非生理性视觉变异，使模型学习更集中于患者面部本身。</w:t>
      </w:r>
    </w:p>
    <w:p w14:paraId="5A294F17" w14:textId="77777777" w:rsidR="001E567D" w:rsidRDefault="00000000">
      <w:pPr>
        <w:spacing w:after="5" w:line="302" w:lineRule="auto"/>
        <w:ind w:left="119" w:right="152" w:firstLine="410"/>
        <w:jc w:val="both"/>
      </w:pPr>
      <w:r>
        <w:rPr>
          <w:rFonts w:hint="eastAsia"/>
        </w:rPr>
        <w:t>因此，单幅静态面部分析的关键在于，在保留潜在生理表型的同时，尽可能降低成像条件和非目标空间信息的影响。相比完全依赖数据驱动的端到端分类，</w:t>
      </w:r>
      <w:r>
        <w:rPr>
          <w:rFonts w:eastAsia="宋体" w:hint="eastAsia"/>
        </w:rPr>
        <w:t>我们将引入</w:t>
      </w:r>
      <w:r>
        <w:rPr>
          <w:rFonts w:hint="eastAsia"/>
        </w:rPr>
        <w:t>物理与解剖信息引导的表型分析策略</w:t>
      </w:r>
      <w:r>
        <w:rPr>
          <w:rFonts w:eastAsia="宋体" w:hint="eastAsia"/>
        </w:rPr>
        <w:t>，使</w:t>
      </w:r>
      <w:r>
        <w:rPr>
          <w:rFonts w:hint="eastAsia"/>
        </w:rPr>
        <w:t>物理信息用于规范由成像环境造成的外观变异，而解剖先验则限制模型对无关空间特征的依赖，并使不同面部区域所承载的信息能够被独立评估。这种策略既保留了单幅图像采集简便、低负担的优势，也为区分真实生理表型与非目标视觉线索、提高结果的生物学可解释性提供了更合理的分析框架。基于此，本研究旨在评估经物理与解剖信息约束后的静态面部表型是否能够识别临床心功能状态，并进一步探索相关判别信息在不同面部区域中的分布特征。</w:t>
      </w:r>
    </w:p>
    <w:p w14:paraId="73DB3FC4" w14:textId="77777777" w:rsidR="001E567D" w:rsidRDefault="00000000">
      <w:pPr>
        <w:pStyle w:val="1"/>
        <w:ind w:left="329" w:hanging="329"/>
      </w:pPr>
      <w:r>
        <w:t>Discussion</w:t>
      </w:r>
    </w:p>
    <w:p w14:paraId="3D2A367E" w14:textId="77777777" w:rsidR="001E567D" w:rsidRDefault="00000000">
      <w:pPr>
        <w:spacing w:after="5" w:line="302" w:lineRule="auto"/>
        <w:ind w:left="-15" w:right="174" w:firstLine="410"/>
        <w:jc w:val="both"/>
      </w:pPr>
      <w:r>
        <w:t>本研究从临床功能状态而非单一疾病诊断出发，评价了单幅静态面部图像中是否存在可被深度学习识别的心功能相关信息。总体结果显示，在统一光照标准化后，whole-face 图像能够提供中等程度的判别能力，而眼周和脸颊在显著缩小输入范围后仍保留了与完整面部相近的分类信息。与单纯报告模型性能相比，更值得关注的是这一结果提示：与临床功能状态相关的体表表型可能部分存在于静态面部图像中，并呈现一定的区域差异。</w:t>
      </w:r>
    </w:p>
    <w:p w14:paraId="17795605" w14:textId="77777777" w:rsidR="001E567D" w:rsidRDefault="00000000">
      <w:pPr>
        <w:spacing w:after="5" w:line="302" w:lineRule="auto"/>
        <w:ind w:left="-15" w:right="174" w:firstLine="410"/>
        <w:jc w:val="both"/>
      </w:pPr>
      <w:r>
        <w:t>这一观察与既往心血管面部研究形成了互补，但其临床问题并不相同。Lin et al.</w:t>
      </w:r>
      <w:r>
        <w:rPr>
          <w:vertAlign w:val="superscript"/>
        </w:rPr>
        <w:t>6</w:t>
      </w:r>
      <w:r>
        <w:t xml:space="preserve"> 与 Wang et al.</w:t>
      </w:r>
      <w:r>
        <w:rPr>
          <w:vertAlign w:val="superscript"/>
        </w:rPr>
        <w:t>7</w:t>
      </w:r>
      <w:r>
        <w:t xml:space="preserve"> 分别以阻塞性冠状动脉疾病和高血压等疾病标签为主要终点；CARDIOMIRROR</w:t>
      </w:r>
      <w:r>
        <w:rPr>
          <w:vertAlign w:val="superscript"/>
        </w:rPr>
        <w:t>8</w:t>
      </w:r>
      <w:r>
        <w:t xml:space="preserve"> 关注 HFrEF 患者的纵</w:t>
      </w:r>
      <w:r>
        <w:lastRenderedPageBreak/>
        <w:t>向预后及 NYHA 等临床变化，而 Chang et al.</w:t>
      </w:r>
      <w:r>
        <w:rPr>
          <w:vertAlign w:val="superscript"/>
        </w:rPr>
        <w:t>9</w:t>
      </w:r>
      <w:r>
        <w:t xml:space="preserve"> 则通过 rPPG 识别 LVEF &lt;50% 的左心室收缩功能异常。相比之下，本研究关注拍照当次的临床心功能状</w:t>
      </w:r>
      <w:r>
        <w:t>态，即一个更接近症状负担和活动受限的功能性表型。代表性研究的临床定位与采集特点见 Table 3。</w:t>
      </w:r>
    </w:p>
    <w:p w14:paraId="24E5B3EB" w14:textId="77777777" w:rsidR="001E567D" w:rsidRDefault="001E567D">
      <w:pPr>
        <w:sectPr w:rsidR="001E567D">
          <w:footerReference w:type="even" r:id="rId8"/>
          <w:footerReference w:type="default" r:id="rId9"/>
          <w:footerReference w:type="first" r:id="rId10"/>
          <w:type w:val="continuous"/>
          <w:pgSz w:w="11906" w:h="15874"/>
          <w:pgMar w:top="1034" w:right="852" w:bottom="997" w:left="907" w:header="720" w:footer="424" w:gutter="0"/>
          <w:cols w:num="2" w:space="226"/>
        </w:sectPr>
      </w:pPr>
    </w:p>
    <w:p w14:paraId="1B33F765" w14:textId="77777777" w:rsidR="001E567D" w:rsidRDefault="00000000">
      <w:pPr>
        <w:spacing w:before="80" w:after="40"/>
      </w:pPr>
      <w:r>
        <w:rPr>
          <w:b/>
          <w:sz w:val="16"/>
        </w:rPr>
        <w:t>Table 3</w:t>
      </w:r>
      <w:r>
        <w:rPr>
          <w:sz w:val="16"/>
        </w:rPr>
        <w:br/>
        <w:t>Clinical comparison of representative facial-imaging studies in cardiovascular assessment.</w:t>
      </w:r>
    </w:p>
    <w:tbl>
      <w:tblPr>
        <w:tblW w:w="0" w:type="auto"/>
        <w:jc w:val="center"/>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512"/>
        <w:gridCol w:w="792"/>
        <w:gridCol w:w="2088"/>
        <w:gridCol w:w="2448"/>
        <w:gridCol w:w="3240"/>
      </w:tblGrid>
      <w:tr w:rsidR="001E567D" w14:paraId="2E2281DE" w14:textId="77777777">
        <w:trPr>
          <w:tblHeader/>
          <w:jc w:val="center"/>
        </w:trPr>
        <w:tc>
          <w:tcPr>
            <w:tcW w:w="1512" w:type="dxa"/>
            <w:tcBorders>
              <w:bottom w:val="single" w:sz="6" w:space="0" w:color="000000"/>
            </w:tcBorders>
            <w:tcMar>
              <w:top w:w="60" w:type="dxa"/>
              <w:left w:w="80" w:type="dxa"/>
              <w:bottom w:w="60" w:type="dxa"/>
              <w:right w:w="80" w:type="dxa"/>
            </w:tcMar>
            <w:vAlign w:val="center"/>
          </w:tcPr>
          <w:p w14:paraId="33A699EF" w14:textId="77777777" w:rsidR="001E567D" w:rsidRDefault="00000000">
            <w:pPr>
              <w:spacing w:after="0" w:line="240" w:lineRule="auto"/>
            </w:pPr>
            <w:r>
              <w:rPr>
                <w:b/>
                <w:sz w:val="14"/>
              </w:rPr>
              <w:t>Study</w:t>
            </w:r>
          </w:p>
        </w:tc>
        <w:tc>
          <w:tcPr>
            <w:tcW w:w="792" w:type="dxa"/>
            <w:tcBorders>
              <w:bottom w:val="single" w:sz="6" w:space="0" w:color="000000"/>
            </w:tcBorders>
            <w:tcMar>
              <w:top w:w="60" w:type="dxa"/>
              <w:left w:w="80" w:type="dxa"/>
              <w:bottom w:w="60" w:type="dxa"/>
              <w:right w:w="80" w:type="dxa"/>
            </w:tcMar>
            <w:vAlign w:val="center"/>
          </w:tcPr>
          <w:p w14:paraId="196C412A" w14:textId="77777777" w:rsidR="001E567D" w:rsidRDefault="00000000">
            <w:pPr>
              <w:spacing w:after="0" w:line="240" w:lineRule="auto"/>
              <w:jc w:val="center"/>
            </w:pPr>
            <w:r>
              <w:rPr>
                <w:b/>
                <w:sz w:val="14"/>
              </w:rPr>
              <w:t>N</w:t>
            </w:r>
          </w:p>
        </w:tc>
        <w:tc>
          <w:tcPr>
            <w:tcW w:w="2088" w:type="dxa"/>
            <w:tcBorders>
              <w:bottom w:val="single" w:sz="6" w:space="0" w:color="000000"/>
            </w:tcBorders>
            <w:tcMar>
              <w:top w:w="60" w:type="dxa"/>
              <w:left w:w="80" w:type="dxa"/>
              <w:bottom w:w="60" w:type="dxa"/>
              <w:right w:w="80" w:type="dxa"/>
            </w:tcMar>
            <w:vAlign w:val="center"/>
          </w:tcPr>
          <w:p w14:paraId="690CABD7" w14:textId="77777777" w:rsidR="001E567D" w:rsidRDefault="00000000">
            <w:pPr>
              <w:spacing w:after="0" w:line="240" w:lineRule="auto"/>
            </w:pPr>
            <w:r>
              <w:rPr>
                <w:b/>
                <w:sz w:val="14"/>
              </w:rPr>
              <w:t>Clinical target</w:t>
            </w:r>
          </w:p>
        </w:tc>
        <w:tc>
          <w:tcPr>
            <w:tcW w:w="2448" w:type="dxa"/>
            <w:tcBorders>
              <w:bottom w:val="single" w:sz="6" w:space="0" w:color="000000"/>
            </w:tcBorders>
            <w:tcMar>
              <w:top w:w="60" w:type="dxa"/>
              <w:left w:w="80" w:type="dxa"/>
              <w:bottom w:w="60" w:type="dxa"/>
              <w:right w:w="80" w:type="dxa"/>
            </w:tcMar>
            <w:vAlign w:val="center"/>
          </w:tcPr>
          <w:p w14:paraId="2629512A" w14:textId="77777777" w:rsidR="001E567D" w:rsidRDefault="00000000">
            <w:pPr>
              <w:spacing w:after="0" w:line="240" w:lineRule="auto"/>
            </w:pPr>
            <w:r>
              <w:rPr>
                <w:b/>
                <w:sz w:val="14"/>
              </w:rPr>
              <w:t>Facial acquisition / signal</w:t>
            </w:r>
          </w:p>
        </w:tc>
        <w:tc>
          <w:tcPr>
            <w:tcW w:w="3240" w:type="dxa"/>
            <w:tcBorders>
              <w:bottom w:val="single" w:sz="6" w:space="0" w:color="000000"/>
            </w:tcBorders>
            <w:tcMar>
              <w:top w:w="60" w:type="dxa"/>
              <w:left w:w="80" w:type="dxa"/>
              <w:bottom w:w="60" w:type="dxa"/>
              <w:right w:w="80" w:type="dxa"/>
            </w:tcMar>
            <w:vAlign w:val="center"/>
          </w:tcPr>
          <w:p w14:paraId="1A1B8DFA" w14:textId="77777777" w:rsidR="001E567D" w:rsidRDefault="00000000">
            <w:pPr>
              <w:spacing w:after="0" w:line="240" w:lineRule="auto"/>
            </w:pPr>
            <w:r>
              <w:rPr>
                <w:b/>
                <w:sz w:val="14"/>
              </w:rPr>
              <w:t>Clinical distinction</w:t>
            </w:r>
          </w:p>
        </w:tc>
      </w:tr>
      <w:tr w:rsidR="001E567D" w14:paraId="70B709E3" w14:textId="77777777">
        <w:trPr>
          <w:jc w:val="center"/>
        </w:trPr>
        <w:tc>
          <w:tcPr>
            <w:tcW w:w="1512" w:type="dxa"/>
            <w:tcMar>
              <w:top w:w="60" w:type="dxa"/>
              <w:left w:w="80" w:type="dxa"/>
              <w:bottom w:w="60" w:type="dxa"/>
              <w:right w:w="80" w:type="dxa"/>
            </w:tcMar>
            <w:vAlign w:val="center"/>
          </w:tcPr>
          <w:p w14:paraId="7CDCF783" w14:textId="77777777" w:rsidR="001E567D" w:rsidRDefault="00000000">
            <w:pPr>
              <w:spacing w:after="0" w:line="240" w:lineRule="auto"/>
            </w:pPr>
            <w:r>
              <w:rPr>
                <w:sz w:val="14"/>
              </w:rPr>
              <w:t>Lin et al., 2020 [6]</w:t>
            </w:r>
          </w:p>
        </w:tc>
        <w:tc>
          <w:tcPr>
            <w:tcW w:w="792" w:type="dxa"/>
            <w:tcMar>
              <w:top w:w="60" w:type="dxa"/>
              <w:left w:w="80" w:type="dxa"/>
              <w:bottom w:w="60" w:type="dxa"/>
              <w:right w:w="80" w:type="dxa"/>
            </w:tcMar>
            <w:vAlign w:val="center"/>
          </w:tcPr>
          <w:p w14:paraId="441062F0" w14:textId="77777777" w:rsidR="001E567D" w:rsidRDefault="00000000">
            <w:pPr>
              <w:spacing w:after="0" w:line="240" w:lineRule="auto"/>
              <w:jc w:val="center"/>
            </w:pPr>
            <w:r>
              <w:rPr>
                <w:sz w:val="14"/>
              </w:rPr>
              <w:t>6,809</w:t>
            </w:r>
          </w:p>
        </w:tc>
        <w:tc>
          <w:tcPr>
            <w:tcW w:w="2088" w:type="dxa"/>
            <w:tcMar>
              <w:top w:w="60" w:type="dxa"/>
              <w:left w:w="80" w:type="dxa"/>
              <w:bottom w:w="60" w:type="dxa"/>
              <w:right w:w="80" w:type="dxa"/>
            </w:tcMar>
            <w:vAlign w:val="center"/>
          </w:tcPr>
          <w:p w14:paraId="43B05EE3" w14:textId="77777777" w:rsidR="001E567D" w:rsidRDefault="00000000">
            <w:pPr>
              <w:spacing w:after="0" w:line="240" w:lineRule="auto"/>
            </w:pPr>
            <w:r>
              <w:rPr>
                <w:sz w:val="14"/>
              </w:rPr>
              <w:t>Obstructive CAD (≥50% coronary stenosis)</w:t>
            </w:r>
          </w:p>
        </w:tc>
        <w:tc>
          <w:tcPr>
            <w:tcW w:w="2448" w:type="dxa"/>
            <w:tcMar>
              <w:top w:w="60" w:type="dxa"/>
              <w:left w:w="80" w:type="dxa"/>
              <w:bottom w:w="60" w:type="dxa"/>
              <w:right w:w="80" w:type="dxa"/>
            </w:tcMar>
            <w:vAlign w:val="center"/>
          </w:tcPr>
          <w:p w14:paraId="6035122A" w14:textId="77777777" w:rsidR="001E567D" w:rsidRDefault="00000000">
            <w:pPr>
              <w:spacing w:after="0" w:line="240" w:lineRule="auto"/>
            </w:pPr>
            <w:r>
              <w:rPr>
                <w:sz w:val="14"/>
              </w:rPr>
              <w:t>Multiple static facial photographs acquired using a standardized protocol</w:t>
            </w:r>
          </w:p>
        </w:tc>
        <w:tc>
          <w:tcPr>
            <w:tcW w:w="3240" w:type="dxa"/>
            <w:tcMar>
              <w:top w:w="60" w:type="dxa"/>
              <w:left w:w="80" w:type="dxa"/>
              <w:bottom w:w="60" w:type="dxa"/>
              <w:right w:w="80" w:type="dxa"/>
            </w:tcMar>
            <w:vAlign w:val="center"/>
          </w:tcPr>
          <w:p w14:paraId="6F06BE14" w14:textId="77777777" w:rsidR="001E567D" w:rsidRDefault="00000000">
            <w:pPr>
              <w:spacing w:after="0" w:line="240" w:lineRule="auto"/>
            </w:pPr>
            <w:r>
              <w:rPr>
                <w:sz w:val="14"/>
              </w:rPr>
              <w:t>Large multicentre diagnostic study with an independent test cohort; focused on anatomical disease presence rather than functional status.</w:t>
            </w:r>
          </w:p>
        </w:tc>
      </w:tr>
      <w:tr w:rsidR="001E567D" w14:paraId="4EB1B742" w14:textId="77777777">
        <w:trPr>
          <w:jc w:val="center"/>
        </w:trPr>
        <w:tc>
          <w:tcPr>
            <w:tcW w:w="1512" w:type="dxa"/>
            <w:tcMar>
              <w:top w:w="60" w:type="dxa"/>
              <w:left w:w="80" w:type="dxa"/>
              <w:bottom w:w="60" w:type="dxa"/>
              <w:right w:w="80" w:type="dxa"/>
            </w:tcMar>
            <w:vAlign w:val="center"/>
          </w:tcPr>
          <w:p w14:paraId="390336C9" w14:textId="77777777" w:rsidR="001E567D" w:rsidRDefault="00000000">
            <w:pPr>
              <w:spacing w:after="0" w:line="240" w:lineRule="auto"/>
            </w:pPr>
            <w:r>
              <w:rPr>
                <w:sz w:val="14"/>
              </w:rPr>
              <w:t>Wang et al., 2026 [7]</w:t>
            </w:r>
          </w:p>
        </w:tc>
        <w:tc>
          <w:tcPr>
            <w:tcW w:w="792" w:type="dxa"/>
            <w:tcMar>
              <w:top w:w="60" w:type="dxa"/>
              <w:left w:w="80" w:type="dxa"/>
              <w:bottom w:w="60" w:type="dxa"/>
              <w:right w:w="80" w:type="dxa"/>
            </w:tcMar>
            <w:vAlign w:val="center"/>
          </w:tcPr>
          <w:p w14:paraId="4B599775" w14:textId="77777777" w:rsidR="001E567D" w:rsidRDefault="00000000">
            <w:pPr>
              <w:spacing w:after="0" w:line="240" w:lineRule="auto"/>
              <w:jc w:val="center"/>
            </w:pPr>
            <w:r>
              <w:rPr>
                <w:sz w:val="14"/>
              </w:rPr>
              <w:t>506</w:t>
            </w:r>
          </w:p>
        </w:tc>
        <w:tc>
          <w:tcPr>
            <w:tcW w:w="2088" w:type="dxa"/>
            <w:tcMar>
              <w:top w:w="60" w:type="dxa"/>
              <w:left w:w="80" w:type="dxa"/>
              <w:bottom w:w="60" w:type="dxa"/>
              <w:right w:w="80" w:type="dxa"/>
            </w:tcMar>
            <w:vAlign w:val="center"/>
          </w:tcPr>
          <w:p w14:paraId="4714468F" w14:textId="77777777" w:rsidR="001E567D" w:rsidRDefault="00000000">
            <w:pPr>
              <w:spacing w:after="0" w:line="240" w:lineRule="auto"/>
            </w:pPr>
            <w:r>
              <w:rPr>
                <w:sz w:val="14"/>
              </w:rPr>
              <w:t>Hypertension</w:t>
            </w:r>
          </w:p>
        </w:tc>
        <w:tc>
          <w:tcPr>
            <w:tcW w:w="2448" w:type="dxa"/>
            <w:tcMar>
              <w:top w:w="60" w:type="dxa"/>
              <w:left w:w="80" w:type="dxa"/>
              <w:bottom w:w="60" w:type="dxa"/>
              <w:right w:w="80" w:type="dxa"/>
            </w:tcMar>
            <w:vAlign w:val="center"/>
          </w:tcPr>
          <w:p w14:paraId="6FE3BABB" w14:textId="77777777" w:rsidR="001E567D" w:rsidRDefault="00000000">
            <w:pPr>
              <w:spacing w:after="0" w:line="240" w:lineRule="auto"/>
            </w:pPr>
            <w:r>
              <w:rPr>
                <w:sz w:val="14"/>
              </w:rPr>
              <w:t>Static facial images under standardized lighting; whole face and anatomically segmented regions</w:t>
            </w:r>
          </w:p>
        </w:tc>
        <w:tc>
          <w:tcPr>
            <w:tcW w:w="3240" w:type="dxa"/>
            <w:tcMar>
              <w:top w:w="60" w:type="dxa"/>
              <w:left w:w="80" w:type="dxa"/>
              <w:bottom w:w="60" w:type="dxa"/>
              <w:right w:w="80" w:type="dxa"/>
            </w:tcMar>
            <w:vAlign w:val="center"/>
          </w:tcPr>
          <w:p w14:paraId="0E7F8F86" w14:textId="77777777" w:rsidR="001E567D" w:rsidRDefault="00000000">
            <w:pPr>
              <w:spacing w:after="0" w:line="240" w:lineRule="auto"/>
            </w:pPr>
            <w:r>
              <w:rPr>
                <w:sz w:val="14"/>
              </w:rPr>
              <w:t>Demonstrated regional facial information for disease identification; endpoint remained a disease label rather than a dynamic functional phenotype.</w:t>
            </w:r>
          </w:p>
        </w:tc>
      </w:tr>
      <w:tr w:rsidR="001E567D" w14:paraId="5ECFC71E" w14:textId="77777777">
        <w:trPr>
          <w:jc w:val="center"/>
        </w:trPr>
        <w:tc>
          <w:tcPr>
            <w:tcW w:w="1512" w:type="dxa"/>
            <w:tcMar>
              <w:top w:w="60" w:type="dxa"/>
              <w:left w:w="80" w:type="dxa"/>
              <w:bottom w:w="60" w:type="dxa"/>
              <w:right w:w="80" w:type="dxa"/>
            </w:tcMar>
            <w:vAlign w:val="center"/>
          </w:tcPr>
          <w:p w14:paraId="12D045EE" w14:textId="77777777" w:rsidR="001E567D" w:rsidRDefault="00000000">
            <w:pPr>
              <w:spacing w:after="0" w:line="240" w:lineRule="auto"/>
            </w:pPr>
            <w:r>
              <w:rPr>
                <w:sz w:val="14"/>
              </w:rPr>
              <w:t>CARDIOMIRROR, 2021 [8]</w:t>
            </w:r>
          </w:p>
        </w:tc>
        <w:tc>
          <w:tcPr>
            <w:tcW w:w="792" w:type="dxa"/>
            <w:tcMar>
              <w:top w:w="60" w:type="dxa"/>
              <w:left w:w="80" w:type="dxa"/>
              <w:bottom w:w="60" w:type="dxa"/>
              <w:right w:w="80" w:type="dxa"/>
            </w:tcMar>
            <w:vAlign w:val="center"/>
          </w:tcPr>
          <w:p w14:paraId="5B1784F7" w14:textId="77777777" w:rsidR="001E567D" w:rsidRDefault="00000000">
            <w:pPr>
              <w:spacing w:after="0" w:line="240" w:lineRule="auto"/>
              <w:jc w:val="center"/>
            </w:pPr>
            <w:r>
              <w:rPr>
                <w:sz w:val="14"/>
              </w:rPr>
              <w:t>100 planned</w:t>
            </w:r>
          </w:p>
        </w:tc>
        <w:tc>
          <w:tcPr>
            <w:tcW w:w="2088" w:type="dxa"/>
            <w:tcMar>
              <w:top w:w="60" w:type="dxa"/>
              <w:left w:w="80" w:type="dxa"/>
              <w:bottom w:w="60" w:type="dxa"/>
              <w:right w:w="80" w:type="dxa"/>
            </w:tcMar>
            <w:vAlign w:val="center"/>
          </w:tcPr>
          <w:p w14:paraId="3054D8D7" w14:textId="77777777" w:rsidR="001E567D" w:rsidRDefault="00000000">
            <w:pPr>
              <w:spacing w:after="0" w:line="240" w:lineRule="auto"/>
            </w:pPr>
            <w:r>
              <w:rPr>
                <w:sz w:val="14"/>
              </w:rPr>
              <w:t>HFrEF prognosis (MACE); NYHA and biomarkers as secondary outcomes</w:t>
            </w:r>
          </w:p>
        </w:tc>
        <w:tc>
          <w:tcPr>
            <w:tcW w:w="2448" w:type="dxa"/>
            <w:tcMar>
              <w:top w:w="60" w:type="dxa"/>
              <w:left w:w="80" w:type="dxa"/>
              <w:bottom w:w="60" w:type="dxa"/>
              <w:right w:w="80" w:type="dxa"/>
            </w:tcMar>
            <w:vAlign w:val="center"/>
          </w:tcPr>
          <w:p w14:paraId="420F732B" w14:textId="77777777" w:rsidR="001E567D" w:rsidRDefault="00000000">
            <w:pPr>
              <w:spacing w:after="0" w:line="240" w:lineRule="auto"/>
            </w:pPr>
            <w:r>
              <w:rPr>
                <w:sz w:val="14"/>
              </w:rPr>
              <w:t>Daily 7-s facial video during 12-month follow-up</w:t>
            </w:r>
          </w:p>
        </w:tc>
        <w:tc>
          <w:tcPr>
            <w:tcW w:w="3240" w:type="dxa"/>
            <w:tcMar>
              <w:top w:w="60" w:type="dxa"/>
              <w:left w:w="80" w:type="dxa"/>
              <w:bottom w:w="60" w:type="dxa"/>
              <w:right w:w="80" w:type="dxa"/>
            </w:tcMar>
            <w:vAlign w:val="center"/>
          </w:tcPr>
          <w:p w14:paraId="65C201E6" w14:textId="77777777" w:rsidR="001E567D" w:rsidRDefault="00000000">
            <w:pPr>
              <w:spacing w:after="0" w:line="240" w:lineRule="auto"/>
            </w:pPr>
            <w:r>
              <w:rPr>
                <w:sz w:val="14"/>
              </w:rPr>
              <w:t>Longitudinally oriented and clinically prognostic, but requires repeated video acquisition; published as a study-design report.</w:t>
            </w:r>
          </w:p>
        </w:tc>
      </w:tr>
      <w:tr w:rsidR="001E567D" w14:paraId="6B05D314" w14:textId="77777777">
        <w:trPr>
          <w:jc w:val="center"/>
        </w:trPr>
        <w:tc>
          <w:tcPr>
            <w:tcW w:w="1512" w:type="dxa"/>
            <w:tcMar>
              <w:top w:w="60" w:type="dxa"/>
              <w:left w:w="80" w:type="dxa"/>
              <w:bottom w:w="60" w:type="dxa"/>
              <w:right w:w="80" w:type="dxa"/>
            </w:tcMar>
            <w:vAlign w:val="center"/>
          </w:tcPr>
          <w:p w14:paraId="6416BFAF" w14:textId="77777777" w:rsidR="001E567D" w:rsidRDefault="00000000">
            <w:pPr>
              <w:spacing w:after="0" w:line="240" w:lineRule="auto"/>
            </w:pPr>
            <w:r>
              <w:rPr>
                <w:sz w:val="14"/>
              </w:rPr>
              <w:t>Chang et al., 2026 [9]</w:t>
            </w:r>
          </w:p>
        </w:tc>
        <w:tc>
          <w:tcPr>
            <w:tcW w:w="792" w:type="dxa"/>
            <w:tcMar>
              <w:top w:w="60" w:type="dxa"/>
              <w:left w:w="80" w:type="dxa"/>
              <w:bottom w:w="60" w:type="dxa"/>
              <w:right w:w="80" w:type="dxa"/>
            </w:tcMar>
            <w:vAlign w:val="center"/>
          </w:tcPr>
          <w:p w14:paraId="57C48B18" w14:textId="77777777" w:rsidR="001E567D" w:rsidRDefault="00000000">
            <w:pPr>
              <w:spacing w:after="0" w:line="240" w:lineRule="auto"/>
              <w:jc w:val="center"/>
            </w:pPr>
            <w:r>
              <w:rPr>
                <w:sz w:val="14"/>
              </w:rPr>
              <w:t>68</w:t>
            </w:r>
          </w:p>
        </w:tc>
        <w:tc>
          <w:tcPr>
            <w:tcW w:w="2088" w:type="dxa"/>
            <w:tcMar>
              <w:top w:w="60" w:type="dxa"/>
              <w:left w:w="80" w:type="dxa"/>
              <w:bottom w:w="60" w:type="dxa"/>
              <w:right w:w="80" w:type="dxa"/>
            </w:tcMar>
            <w:vAlign w:val="center"/>
          </w:tcPr>
          <w:p w14:paraId="2A18EE7D" w14:textId="77777777" w:rsidR="001E567D" w:rsidRDefault="00000000">
            <w:pPr>
              <w:spacing w:after="0" w:line="240" w:lineRule="auto"/>
            </w:pPr>
            <w:r>
              <w:rPr>
                <w:sz w:val="14"/>
              </w:rPr>
              <w:t>HF with LVEF &lt;50%</w:t>
            </w:r>
          </w:p>
        </w:tc>
        <w:tc>
          <w:tcPr>
            <w:tcW w:w="2448" w:type="dxa"/>
            <w:tcMar>
              <w:top w:w="60" w:type="dxa"/>
              <w:left w:w="80" w:type="dxa"/>
              <w:bottom w:w="60" w:type="dxa"/>
              <w:right w:w="80" w:type="dxa"/>
            </w:tcMar>
            <w:vAlign w:val="center"/>
          </w:tcPr>
          <w:p w14:paraId="1981F1ED" w14:textId="77777777" w:rsidR="001E567D" w:rsidRDefault="00000000">
            <w:pPr>
              <w:spacing w:after="0" w:line="240" w:lineRule="auto"/>
            </w:pPr>
            <w:r>
              <w:rPr>
                <w:sz w:val="14"/>
              </w:rPr>
              <w:t>Facial video with rPPG-derived pulsatile signals</w:t>
            </w:r>
          </w:p>
        </w:tc>
        <w:tc>
          <w:tcPr>
            <w:tcW w:w="3240" w:type="dxa"/>
            <w:tcMar>
              <w:top w:w="60" w:type="dxa"/>
              <w:left w:w="80" w:type="dxa"/>
              <w:bottom w:w="60" w:type="dxa"/>
              <w:right w:w="80" w:type="dxa"/>
            </w:tcMar>
            <w:vAlign w:val="center"/>
          </w:tcPr>
          <w:p w14:paraId="292AD3A3" w14:textId="77777777" w:rsidR="001E567D" w:rsidRDefault="00000000">
            <w:pPr>
              <w:spacing w:after="0" w:line="240" w:lineRule="auto"/>
            </w:pPr>
            <w:r>
              <w:rPr>
                <w:sz w:val="14"/>
              </w:rPr>
              <w:t>Targets objective LV systolic dysfunction and directly uses dynamic cardiovascular signals, but depends on time-series video.</w:t>
            </w:r>
          </w:p>
        </w:tc>
      </w:tr>
      <w:tr w:rsidR="001E567D" w14:paraId="3E2C1EBF" w14:textId="77777777">
        <w:trPr>
          <w:jc w:val="center"/>
        </w:trPr>
        <w:tc>
          <w:tcPr>
            <w:tcW w:w="1512" w:type="dxa"/>
            <w:tcMar>
              <w:top w:w="60" w:type="dxa"/>
              <w:left w:w="80" w:type="dxa"/>
              <w:bottom w:w="60" w:type="dxa"/>
              <w:right w:w="80" w:type="dxa"/>
            </w:tcMar>
            <w:vAlign w:val="center"/>
          </w:tcPr>
          <w:p w14:paraId="597F8F50" w14:textId="77777777" w:rsidR="001E567D" w:rsidRDefault="00000000">
            <w:pPr>
              <w:spacing w:after="0" w:line="240" w:lineRule="auto"/>
            </w:pPr>
            <w:r>
              <w:rPr>
                <w:b/>
                <w:sz w:val="14"/>
              </w:rPr>
              <w:t>Our study</w:t>
            </w:r>
          </w:p>
        </w:tc>
        <w:tc>
          <w:tcPr>
            <w:tcW w:w="792" w:type="dxa"/>
            <w:tcMar>
              <w:top w:w="60" w:type="dxa"/>
              <w:left w:w="80" w:type="dxa"/>
              <w:bottom w:w="60" w:type="dxa"/>
              <w:right w:w="80" w:type="dxa"/>
            </w:tcMar>
            <w:vAlign w:val="center"/>
          </w:tcPr>
          <w:p w14:paraId="0DA9E361" w14:textId="77777777" w:rsidR="001E567D" w:rsidRDefault="00000000">
            <w:pPr>
              <w:spacing w:after="0" w:line="240" w:lineRule="auto"/>
              <w:jc w:val="center"/>
            </w:pPr>
            <w:r>
              <w:rPr>
                <w:sz w:val="14"/>
              </w:rPr>
              <w:t>500</w:t>
            </w:r>
          </w:p>
        </w:tc>
        <w:tc>
          <w:tcPr>
            <w:tcW w:w="2088" w:type="dxa"/>
            <w:tcMar>
              <w:top w:w="60" w:type="dxa"/>
              <w:left w:w="80" w:type="dxa"/>
              <w:bottom w:w="60" w:type="dxa"/>
              <w:right w:w="80" w:type="dxa"/>
            </w:tcMar>
            <w:vAlign w:val="center"/>
          </w:tcPr>
          <w:p w14:paraId="4984C89E" w14:textId="77777777" w:rsidR="001E567D" w:rsidRDefault="00000000">
            <w:pPr>
              <w:spacing w:after="0" w:line="240" w:lineRule="auto"/>
            </w:pPr>
            <w:r>
              <w:rPr>
                <w:sz w:val="14"/>
              </w:rPr>
              <w:t>Clinical cardiac functional-status record (normal code 0 vs NYHA I–IV)</w:t>
            </w:r>
          </w:p>
        </w:tc>
        <w:tc>
          <w:tcPr>
            <w:tcW w:w="2448" w:type="dxa"/>
            <w:tcMar>
              <w:top w:w="60" w:type="dxa"/>
              <w:left w:w="80" w:type="dxa"/>
              <w:bottom w:w="60" w:type="dxa"/>
              <w:right w:w="80" w:type="dxa"/>
            </w:tcMar>
            <w:vAlign w:val="center"/>
          </w:tcPr>
          <w:p w14:paraId="06114113" w14:textId="77777777" w:rsidR="001E567D" w:rsidRDefault="00000000">
            <w:pPr>
              <w:spacing w:after="0" w:line="240" w:lineRule="auto"/>
            </w:pPr>
            <w:r>
              <w:rPr>
                <w:sz w:val="14"/>
              </w:rPr>
              <w:t>Single frontal static RGB image with illumination standardization and predefined facial regions</w:t>
            </w:r>
          </w:p>
        </w:tc>
        <w:tc>
          <w:tcPr>
            <w:tcW w:w="3240" w:type="dxa"/>
            <w:tcMar>
              <w:top w:w="60" w:type="dxa"/>
              <w:left w:w="80" w:type="dxa"/>
              <w:bottom w:w="60" w:type="dxa"/>
              <w:right w:w="80" w:type="dxa"/>
            </w:tcMar>
            <w:vAlign w:val="center"/>
          </w:tcPr>
          <w:p w14:paraId="5EFA2A0D" w14:textId="77777777" w:rsidR="001E567D" w:rsidRDefault="00000000">
            <w:pPr>
              <w:spacing w:after="0" w:line="240" w:lineRule="auto"/>
            </w:pPr>
            <w:r>
              <w:rPr>
                <w:sz w:val="14"/>
              </w:rPr>
              <w:t>Evaluates functional phenotype rather than a single disease label; low-burden single-image acquisition, reduced non-physiological visual variation, and anatomically localized interpretation.</w:t>
            </w:r>
          </w:p>
        </w:tc>
      </w:tr>
    </w:tbl>
    <w:p w14:paraId="3DA4600D" w14:textId="77777777" w:rsidR="001E567D" w:rsidRDefault="00000000">
      <w:pPr>
        <w:spacing w:before="40" w:after="80"/>
      </w:pPr>
      <w:r>
        <w:rPr>
          <w:i/>
          <w:sz w:val="13"/>
        </w:rPr>
        <w:t>Note: CAD, coronary artery disease; HFrEF, heart failure with reduced ejection fraction; MACE, major adverse cardiovascular events; rPPG, remote photoplethysmography; LVEF, left ventricular ejection fraction. Because the clinical endpoints and cohorts differ substantially, model performance should not be compared directly across studies.</w:t>
      </w:r>
    </w:p>
    <w:p w14:paraId="6605A451" w14:textId="77777777" w:rsidR="001E567D" w:rsidRDefault="00000000">
      <w:pPr>
        <w:spacing w:before="40" w:after="5" w:line="302" w:lineRule="auto"/>
        <w:ind w:left="-15" w:right="174" w:firstLine="410"/>
        <w:jc w:val="both"/>
      </w:pPr>
      <w:r>
        <w:t>从医学应用角度看，本研究的差异主要体现在评价对象和信息获取方式，而非与既往模型进行直接性能竞争。与以冠脉狭窄、高血压或 LVEF 阈值定义疾病或器官功能异常的研究不同，本研究评价的是拍照当次的临床功能状态；与视频或 rPPG 路径相比，单幅静态照片无需连续记录或脉搏波提取，因此更便于在门诊、床旁及随访场景中重复获取。同时，对自然光照进行统一标准化，并在训练前限定具有明确解剖边界的面部区域，旨在减少采集环境和非面部线索对表型判断的干扰，并将模型结果与可讨论的局部临床表型联系起来。因此，本研究更接近一种低负担的辅助功能表型评估，而非针对某一疾病的替代性诊断工具。</w:t>
      </w:r>
    </w:p>
    <w:p w14:paraId="017DB037" w14:textId="77777777" w:rsidR="001E567D" w:rsidRDefault="001E567D">
      <w:pPr>
        <w:sectPr w:rsidR="001E567D">
          <w:footerReference w:type="even" r:id="rId11"/>
          <w:footerReference w:type="default" r:id="rId12"/>
          <w:footerReference w:type="first" r:id="rId13"/>
          <w:type w:val="continuous"/>
          <w:pgSz w:w="11906" w:h="15874"/>
          <w:pgMar w:top="1034" w:right="852" w:bottom="997" w:left="907" w:header="720" w:footer="424" w:gutter="0"/>
          <w:cols w:space="226"/>
        </w:sectPr>
      </w:pPr>
    </w:p>
    <w:p w14:paraId="4DDDD9F6" w14:textId="77777777" w:rsidR="001E567D" w:rsidRDefault="00000000">
      <w:pPr>
        <w:spacing w:after="5" w:line="302" w:lineRule="auto"/>
        <w:ind w:left="-15" w:right="174" w:firstLine="410"/>
        <w:jc w:val="both"/>
      </w:pPr>
      <w:r>
        <w:lastRenderedPageBreak/>
        <w:t>从生理学角度看，外周灌注和微循环改变为上述结果提供了一定的合理性。慢性心力衰竭患者可出现皮肤微循环功能受损、血液流变学异常及组织灌注改变</w:t>
      </w:r>
      <w:r>
        <w:rPr>
          <w:vertAlign w:val="superscript"/>
        </w:rPr>
        <w:t>17–19</w:t>
      </w:r>
      <w:r>
        <w:t>；面部皮肤血流和血红蛋白分布的变化又能够影响局部光学表现</w:t>
      </w:r>
      <w:r>
        <w:rPr>
          <w:vertAlign w:val="superscript"/>
        </w:rPr>
        <w:t>4</w:t>
      </w:r>
      <w:r>
        <w:t>。因此，模型在眼周和脸颊区域保留较多判别信息并非缺乏生物学基础。但本研究并未同步测量面部血流、组织氧合或血红蛋白浓度，无法判断模型究竟利用了颜色、纹理、局部形态，还是上述信息的组合。尤其需要强调的是，区域分类和 Grad-CAM 所提供的是与预测相关的空间证据，而不是微循环异常的直接测量。</w:t>
      </w:r>
    </w:p>
    <w:p w14:paraId="52FFA41C" w14:textId="77777777" w:rsidR="001E567D" w:rsidRDefault="00000000">
      <w:pPr>
        <w:spacing w:after="5" w:line="302" w:lineRule="auto"/>
        <w:ind w:left="-15" w:right="174" w:firstLine="410"/>
        <w:jc w:val="both"/>
      </w:pPr>
      <w:r>
        <w:t>眼周和脸颊的区域结果也值得从临床表型角度进一步讨论。Wang et al. 在高血压面部识别中观察到颧部和脸颊能够保留接近完整面部的分类能力</w:t>
      </w:r>
      <w:r>
        <w:rPr>
          <w:vertAlign w:val="superscript"/>
        </w:rPr>
        <w:t>7</w:t>
      </w:r>
      <w:r>
        <w:t>，而面部光学研究显示心血管活动在不同面部区域具有非均质的时空分布</w:t>
      </w:r>
      <w:r>
        <w:rPr>
          <w:vertAlign w:val="superscript"/>
        </w:rPr>
        <w:t>4</w:t>
      </w:r>
      <w:r>
        <w:t>。本研究中，Eye 和 Cheek 在独立限制输入后仍保持较强判别能力，并与 whole-face 模型的主要 Grad-CAM 响应区域相互呼应。这种一致性支持这些区域可能富集了与循环状态相关的视觉信息，但不能据此认定某一区域具有特异性，也不能将不同区域之间的数值差异解释为统计学上的优劣。未来更有价值的方向是评价不同区域信息是否具有互补性，以及多区域联合是否能够在保持可解释性的同时改善临床判别。</w:t>
      </w:r>
    </w:p>
    <w:p w14:paraId="3447A123" w14:textId="77777777" w:rsidR="001E567D" w:rsidRDefault="00000000">
      <w:pPr>
        <w:spacing w:after="5" w:line="302" w:lineRule="auto"/>
        <w:ind w:left="-15" w:right="174" w:firstLine="410"/>
        <w:jc w:val="both"/>
      </w:pPr>
      <w:r>
        <w:t>本研究采用自然光条件下的普通智能手机照片，这一采集方式更接近常规就诊和远程场景，但也带来了明显的照明异质性。考虑到面部颜色和纹理既可能包含生理信息，也高度依赖环境光照</w:t>
      </w:r>
      <w:r>
        <w:rPr>
          <w:vertAlign w:val="superscript"/>
        </w:rPr>
        <w:t>10,11</w:t>
      </w:r>
      <w:r>
        <w:t>，本研究采用 R3DPR 将图像统一至预先确定的目标照明条件</w:t>
      </w:r>
      <w:r>
        <w:rPr>
          <w:vertAlign w:val="superscript"/>
        </w:rPr>
        <w:t>12</w:t>
      </w:r>
      <w:r>
        <w:t>，并进一步去除头发、背景、衣物和饰品等非目标区域。其医学意义在于尽可能减少采集环境和非面部信息对表型判断的干扰，使模型分析更集中于患者面部本身。需要指出的是，重光照过程也可能改变部分原始颜色或纹理，因此后续仍应通过原始图像与标准化图像的平行</w:t>
      </w:r>
      <w:r>
        <w:t>分析，确认该步骤是否改善了稳定性而未削弱潜在生理信息。</w:t>
      </w:r>
    </w:p>
    <w:p w14:paraId="3AFD82D3" w14:textId="77777777" w:rsidR="001E567D" w:rsidRDefault="00000000">
      <w:pPr>
        <w:spacing w:after="5" w:line="302" w:lineRule="auto"/>
        <w:ind w:left="-15" w:right="174" w:firstLine="410"/>
        <w:jc w:val="both"/>
      </w:pPr>
      <w:r>
        <w:t>对这类面部模型而言，临床人群构成是解释结果的关键。年龄、性别、主要心血管疾病、贫血、低氧、肾功能异常、容量状态及药物治疗均可能同时影响心功能状态和面部外观，因此应在 Table 1 中充分呈现两组的人口学及临床特征。特别是年龄、血红蛋白、血氧饱和度、肾功能、LVEF 和 NT-proBNP 等指标，有助于判断模型表现是否可能受到非目标临床差异影响。后续研究还应通过分层分析或结合临床变量的多变量模型，进一步评价面部信息是否能够在常规临床特征之外提供增量判别价值。</w:t>
      </w:r>
    </w:p>
    <w:p w14:paraId="2A909A97" w14:textId="77777777" w:rsidR="001E567D" w:rsidRDefault="00000000">
      <w:pPr>
        <w:spacing w:after="5" w:line="302" w:lineRule="auto"/>
        <w:ind w:left="-15" w:right="174" w:firstLine="410"/>
        <w:jc w:val="both"/>
      </w:pPr>
      <w:r>
        <w:t>与一次性疾病识别相比，心功能状态具有动态变化的临床属性，这也为静态面部图像提供了更具医学意义的后续研究方向。本研究目前采用每名受试者单一时间点的照片，只能评价横断面的状态相关性。若未来能够在同一患者治疗前后或不同随访节点重复采集面部图像，并同步记录 NYHA 状态、LVEF、NT-proBNP、容量负荷和症状变化，则可以进一步判断面部表型是否随临床改善或恶化而发生相应变化。这样的纵向、个体内验证将比单纯扩大横断面分类模型更能说明其临床监测价值。</w:t>
      </w:r>
    </w:p>
    <w:p w14:paraId="088766B4" w14:textId="77777777" w:rsidR="001E567D" w:rsidRDefault="00000000">
      <w:pPr>
        <w:spacing w:after="5" w:line="302" w:lineRule="auto"/>
        <w:ind w:left="-15" w:right="174" w:firstLine="410"/>
        <w:jc w:val="both"/>
      </w:pPr>
      <w:r>
        <w:t>本研究具有若干设计特点。所有面部图像均由同一设备和相对统一的方式采集，每名受试者仅纳入一张照片，并以受试者为单位进行数据划分，从而减少身份信息泄漏的可能；whole-face 和不同 ROI 使用一致的数据划分，便于进行区域间内部比较。与此同时，局部区域在模型训练前预先确定，而非根据分类结果事后筛选；评价指标同时包括 AUC、Balanced Accuracy、Macro-F1、Sensitivity 和 Specificity，避免在类别不平衡情况下仅依赖总体 Accuracy。上述设计提高了本研究作为概念验证的内部一致性。</w:t>
      </w:r>
    </w:p>
    <w:p w14:paraId="4D7BC4AE" w14:textId="77777777" w:rsidR="001E567D" w:rsidRDefault="00000000">
      <w:pPr>
        <w:spacing w:after="5" w:line="302" w:lineRule="auto"/>
        <w:ind w:left="-15" w:right="174" w:firstLine="410"/>
        <w:jc w:val="both"/>
      </w:pPr>
      <w:r>
        <w:t>本研究仍存在若干医学层面的局限。首先，研究对象来自单一心外科中心，且临床疾病谱可能较为复杂，当前结果能否推广至普通心内科患</w:t>
      </w:r>
      <w:r>
        <w:lastRenderedPageBreak/>
        <w:t>者、社区人群或其他医疗系统尚不明确。其次，受试者的人口学、基础疾病、实验室指标和治疗状态可能构成重要混杂因素，目前尚未完成系统调整。再次，本研究没有同步获取面部灌注、组织氧合或其他能够直接验证视觉表型机制的生理测量，因此目前只能提出循环和微循环相关的生理学解释，而不能建立机制性结论。此外，本研究主要评价判别能力，尚未系统评价概率校准、临床阈值及决策获益，这些内容在进入真实临床应用前仍需进一步研究。</w:t>
      </w:r>
    </w:p>
    <w:p w14:paraId="20353761" w14:textId="77777777" w:rsidR="001E567D" w:rsidRDefault="00000000">
      <w:pPr>
        <w:spacing w:after="5" w:line="302" w:lineRule="auto"/>
        <w:ind w:left="-15" w:right="174" w:firstLine="410"/>
        <w:jc w:val="both"/>
      </w:pPr>
      <w:r>
        <w:t>因此，当前结果更适合被视为对“静态面部是否包含心功能状态相关信息”的初步临床验证，而非已经形成可用于筛查或诊断的工具。下一阶段应优先在独立中心和不同设备条件下验证模型，并完善 Table 1 所示的临床特征描述和混杂控制；进一步结合纵向随访、客观心功能指标及局部生理测量，才能判断该面部表型究竟反映疾病负荷、循环状态还是更广泛的患者特征。</w:t>
      </w:r>
    </w:p>
    <w:p w14:paraId="349A5ADB" w14:textId="77777777" w:rsidR="001E567D" w:rsidRDefault="001E567D">
      <w:pPr>
        <w:spacing w:after="5" w:line="302" w:lineRule="auto"/>
        <w:ind w:left="-15" w:right="174" w:firstLine="410"/>
        <w:jc w:val="both"/>
      </w:pPr>
    </w:p>
    <w:p w14:paraId="209C5C80" w14:textId="77777777" w:rsidR="001E567D" w:rsidRDefault="00000000">
      <w:pPr>
        <w:spacing w:after="5" w:line="302" w:lineRule="auto"/>
        <w:ind w:left="-15" w:right="174" w:firstLine="410"/>
        <w:jc w:val="both"/>
      </w:pPr>
      <w:r>
        <w:t>总体而言，本研究提示单幅标准化静态面部图像可能承载与临床心功能状态相关的视觉信息，并且这种信息在眼周和脸颊等区域相对集中。其潜在价值不在于替代现有心功能评价，而在于为低负担、非接触的辅助表型评估提供新的研究方向。只有在充分描述临床人群、控制主要混杂因素并完成外部及纵向验证后，才能进一步评价其在随访和远程医疗中的实际意义。</w:t>
      </w:r>
    </w:p>
    <w:p w14:paraId="29956548" w14:textId="77777777" w:rsidR="001E567D" w:rsidRDefault="00000000">
      <w:pPr>
        <w:pStyle w:val="1"/>
        <w:ind w:left="433" w:hanging="329"/>
      </w:pPr>
      <w:r>
        <w:t>Conclusion</w:t>
      </w:r>
    </w:p>
    <w:p w14:paraId="635B3945" w14:textId="77777777" w:rsidR="001E567D" w:rsidRDefault="00000000">
      <w:pPr>
        <w:spacing w:after="5" w:line="302" w:lineRule="auto"/>
        <w:ind w:left="119" w:right="7" w:firstLine="410"/>
        <w:jc w:val="both"/>
      </w:pPr>
      <w:r>
        <w:t>本研究提供了初步证据，表明基于深度学习的单幅静态面部图像分析能够识别与临床心功能状态相关的视觉信息。通过对自然光条件下采集的面部图像进行统一光照标准化，并比较 whole-face 与不同局部面部区域，本研究观察到完整面部具有稳定的判别能力，而 Eye 和 Cheek 在明显减少输入范围后仍保留较多分类信息，提示相关视觉表型可能具有一定的区域差异。</w:t>
      </w:r>
    </w:p>
    <w:p w14:paraId="3DB0FC29" w14:textId="77777777" w:rsidR="001E567D" w:rsidRDefault="00000000">
      <w:pPr>
        <w:spacing w:after="314" w:line="290" w:lineRule="auto"/>
        <w:ind w:left="104" w:firstLine="410"/>
      </w:pPr>
      <w:r>
        <w:t>这些结果支持静态面部图像作为低负担、非接触辅助表型的进一步研究价值，但现阶段不应被解</w:t>
      </w:r>
      <w:r>
        <w:t>释为对 NYHA 功能分级、超声心动图或其他标准临床评价的替代。后续需要在更完整的临床特征描述基础上控制潜在混杂因素，并通过多中心、不同设备及纵向随访队列验证其稳定性和临床增量价值。</w:t>
      </w:r>
    </w:p>
    <w:p w14:paraId="49C6808B" w14:textId="77777777" w:rsidR="001E567D" w:rsidRDefault="00000000">
      <w:pPr>
        <w:pStyle w:val="1"/>
        <w:numPr>
          <w:ilvl w:val="0"/>
          <w:numId w:val="0"/>
        </w:numPr>
        <w:spacing w:after="41"/>
        <w:ind w:left="114"/>
      </w:pPr>
      <w:r>
        <w:t>References</w:t>
      </w:r>
    </w:p>
    <w:p w14:paraId="5F3E318E" w14:textId="77777777" w:rsidR="001E567D" w:rsidRDefault="00000000">
      <w:pPr>
        <w:numPr>
          <w:ilvl w:val="0"/>
          <w:numId w:val="2"/>
        </w:numPr>
        <w:spacing w:after="4" w:line="344" w:lineRule="auto"/>
        <w:ind w:right="159" w:hanging="278"/>
        <w:jc w:val="both"/>
      </w:pPr>
      <w:r>
        <w:rPr>
          <w:rFonts w:ascii="Times New Roman" w:eastAsia="Times New Roman" w:hAnsi="Times New Roman" w:cs="Times New Roman"/>
          <w:sz w:val="16"/>
        </w:rPr>
        <w:t>T. A. McDonagh, M. Metra, M. Adamo, et al., 2021 ESC guidelines for the diagnosis and treatment of acute and chronic heart failure, European Heart Journal 42 (2021)</w:t>
      </w:r>
    </w:p>
    <w:p w14:paraId="7000055A" w14:textId="77777777" w:rsidR="001E567D" w:rsidRDefault="00000000">
      <w:pPr>
        <w:spacing w:after="62"/>
        <w:ind w:left="477" w:hanging="10"/>
      </w:pPr>
      <w:r>
        <w:rPr>
          <w:rFonts w:ascii="Times New Roman" w:eastAsia="Times New Roman" w:hAnsi="Times New Roman" w:cs="Times New Roman"/>
          <w:sz w:val="16"/>
        </w:rPr>
        <w:t>3599–3726. doi:</w:t>
      </w:r>
      <w:hyperlink r:id="rId14">
        <w:r>
          <w:rPr>
            <w:rFonts w:ascii="Courier New" w:eastAsia="Courier New" w:hAnsi="Courier New" w:cs="Courier New"/>
            <w:color w:val="2F4F4F"/>
            <w:sz w:val="16"/>
          </w:rPr>
          <w:t>10.1093/eurheartj/ehab368</w:t>
        </w:r>
      </w:hyperlink>
      <w:r>
        <w:rPr>
          <w:rFonts w:ascii="Times New Roman" w:eastAsia="Times New Roman" w:hAnsi="Times New Roman" w:cs="Times New Roman"/>
          <w:sz w:val="16"/>
        </w:rPr>
        <w:t>.</w:t>
      </w:r>
    </w:p>
    <w:p w14:paraId="4BDA35B2" w14:textId="77777777" w:rsidR="001E567D" w:rsidRDefault="00000000">
      <w:pPr>
        <w:numPr>
          <w:ilvl w:val="0"/>
          <w:numId w:val="2"/>
        </w:numPr>
        <w:spacing w:after="4" w:line="344" w:lineRule="auto"/>
        <w:ind w:right="159" w:hanging="278"/>
        <w:jc w:val="both"/>
      </w:pPr>
      <w:r>
        <w:rPr>
          <w:rFonts w:ascii="Times New Roman" w:eastAsia="Times New Roman" w:hAnsi="Times New Roman" w:cs="Times New Roman"/>
          <w:sz w:val="16"/>
        </w:rPr>
        <w:t>P. A. Heidenreich, B. Bozkurt, D. Aguilar, et al., 2022 AHA/ACC/HFSA guideline for the management of heart failure: A report of the american college of cardiology/american heart association joint committee on clinical practice guidelines, Circulation 145 (2022). doi:</w:t>
      </w:r>
      <w:hyperlink r:id="rId15">
        <w:r>
          <w:rPr>
            <w:rFonts w:ascii="Courier New" w:eastAsia="Courier New" w:hAnsi="Courier New" w:cs="Courier New"/>
            <w:color w:val="2F4F4F"/>
            <w:sz w:val="16"/>
          </w:rPr>
          <w:t>10.1161/</w:t>
        </w:r>
      </w:hyperlink>
    </w:p>
    <w:p w14:paraId="0D4ACC01" w14:textId="77777777" w:rsidR="001E567D" w:rsidRDefault="00000000">
      <w:pPr>
        <w:spacing w:after="62"/>
        <w:ind w:left="477" w:hanging="10"/>
      </w:pPr>
      <w:hyperlink r:id="rId16">
        <w:r>
          <w:rPr>
            <w:rFonts w:ascii="Courier New" w:eastAsia="Courier New" w:hAnsi="Courier New" w:cs="Courier New"/>
            <w:color w:val="2F4F4F"/>
            <w:sz w:val="16"/>
          </w:rPr>
          <w:t>CIR.0000000000001063</w:t>
        </w:r>
      </w:hyperlink>
      <w:hyperlink r:id="rId17">
        <w:r>
          <w:rPr>
            <w:rFonts w:ascii="Times New Roman" w:eastAsia="Times New Roman" w:hAnsi="Times New Roman" w:cs="Times New Roman"/>
            <w:sz w:val="16"/>
          </w:rPr>
          <w:t>.</w:t>
        </w:r>
      </w:hyperlink>
    </w:p>
    <w:p w14:paraId="0980E9C7" w14:textId="77777777" w:rsidR="001E567D" w:rsidRDefault="00000000">
      <w:pPr>
        <w:numPr>
          <w:ilvl w:val="0"/>
          <w:numId w:val="2"/>
        </w:numPr>
        <w:spacing w:after="4" w:line="344" w:lineRule="auto"/>
        <w:ind w:right="159" w:hanging="278"/>
        <w:jc w:val="both"/>
      </w:pPr>
      <w:r>
        <w:rPr>
          <w:rFonts w:ascii="Times New Roman" w:eastAsia="Times New Roman" w:hAnsi="Times New Roman" w:cs="Times New Roman"/>
          <w:sz w:val="16"/>
        </w:rPr>
        <w:t>J. A. Bennett, B. Riegel, V. Bittner, J. Nichols, Validity and reliability of the NYHA classes for measuring research outcomes in patients with cardiac disease, Heart &amp; Lung 31 (2002) 262–270. doi:</w:t>
      </w:r>
      <w:hyperlink r:id="rId18">
        <w:r>
          <w:rPr>
            <w:rFonts w:ascii="Courier New" w:eastAsia="Courier New" w:hAnsi="Courier New" w:cs="Courier New"/>
            <w:color w:val="2F4F4F"/>
            <w:sz w:val="16"/>
          </w:rPr>
          <w:t>10.1067/mhl.2002.124554</w:t>
        </w:r>
      </w:hyperlink>
      <w:r>
        <w:rPr>
          <w:rFonts w:ascii="Times New Roman" w:eastAsia="Times New Roman" w:hAnsi="Times New Roman" w:cs="Times New Roman"/>
          <w:sz w:val="16"/>
        </w:rPr>
        <w:t>.</w:t>
      </w:r>
    </w:p>
    <w:p w14:paraId="31953F9A" w14:textId="77777777" w:rsidR="001E567D" w:rsidRDefault="00000000">
      <w:pPr>
        <w:numPr>
          <w:ilvl w:val="0"/>
          <w:numId w:val="2"/>
        </w:numPr>
        <w:spacing w:after="4" w:line="344" w:lineRule="auto"/>
        <w:ind w:right="159" w:hanging="278"/>
        <w:jc w:val="both"/>
      </w:pPr>
      <w:r>
        <w:rPr>
          <w:rFonts w:ascii="Times New Roman" w:eastAsia="Times New Roman" w:hAnsi="Times New Roman" w:cs="Times New Roman"/>
          <w:sz w:val="16"/>
        </w:rPr>
        <w:t>J. Liu, H. Luo, P. P. Zheng, S. J. Wu, K. Lee, Transdermal optical imaging revealed different spatiotemporal patterns of facial cardiovascular activities, Scientific Reports 8 (2018) 10588. doi:</w:t>
      </w:r>
      <w:hyperlink r:id="rId19">
        <w:r>
          <w:rPr>
            <w:rFonts w:ascii="Courier New" w:eastAsia="Courier New" w:hAnsi="Courier New" w:cs="Courier New"/>
            <w:color w:val="2F4F4F"/>
            <w:sz w:val="16"/>
          </w:rPr>
          <w:t>10.1038/s41598-018-28804-0</w:t>
        </w:r>
      </w:hyperlink>
      <w:r>
        <w:rPr>
          <w:rFonts w:ascii="Times New Roman" w:eastAsia="Times New Roman" w:hAnsi="Times New Roman" w:cs="Times New Roman"/>
          <w:sz w:val="16"/>
        </w:rPr>
        <w:t>. [5] Y. LeCun, Y. Bengio, G. Hinton, Deep learning, Nature 521 (2015) 436–444. doi:</w:t>
      </w:r>
      <w:hyperlink r:id="rId20">
        <w:r>
          <w:rPr>
            <w:rFonts w:ascii="Courier New" w:eastAsia="Courier New" w:hAnsi="Courier New" w:cs="Courier New"/>
            <w:color w:val="2F4F4F"/>
            <w:sz w:val="16"/>
          </w:rPr>
          <w:t>10.1038/nature14539</w:t>
        </w:r>
      </w:hyperlink>
      <w:r>
        <w:rPr>
          <w:rFonts w:ascii="Times New Roman" w:eastAsia="Times New Roman" w:hAnsi="Times New Roman" w:cs="Times New Roman"/>
          <w:sz w:val="16"/>
        </w:rPr>
        <w:t>.</w:t>
      </w:r>
    </w:p>
    <w:p w14:paraId="45B5B549"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S. Lin, Z. Li, B. Fu, et al., Feasibility of using deep learning to detect coronary artery disease based on facial photo, European Heart Journal 41 (2020) 4400–4411. doi:</w:t>
      </w:r>
      <w:hyperlink r:id="rId21">
        <w:r>
          <w:rPr>
            <w:rFonts w:ascii="Courier New" w:eastAsia="Courier New" w:hAnsi="Courier New" w:cs="Courier New"/>
            <w:color w:val="2F4F4F"/>
            <w:sz w:val="16"/>
          </w:rPr>
          <w:t xml:space="preserve">10.1093/ </w:t>
        </w:r>
      </w:hyperlink>
      <w:hyperlink r:id="rId22">
        <w:r>
          <w:rPr>
            <w:rFonts w:ascii="Courier New" w:eastAsia="Courier New" w:hAnsi="Courier New" w:cs="Courier New"/>
            <w:color w:val="2F4F4F"/>
            <w:sz w:val="16"/>
          </w:rPr>
          <w:t>eurheartj/ehaa640</w:t>
        </w:r>
      </w:hyperlink>
      <w:r>
        <w:rPr>
          <w:rFonts w:ascii="Times New Roman" w:eastAsia="Times New Roman" w:hAnsi="Times New Roman" w:cs="Times New Roman"/>
          <w:sz w:val="16"/>
        </w:rPr>
        <w:t>.</w:t>
      </w:r>
    </w:p>
    <w:p w14:paraId="66F89027"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J. Wang, M. Zhao, H. Zhou, M. Liu, M. Zhao, X. Zhang, Application and accuracy analysis of different facial regions based on deep learning in the diagnosis of hypertension, Scientific Reports 16 (2026) 1218. doi:</w:t>
      </w:r>
      <w:hyperlink r:id="rId23">
        <w:r>
          <w:rPr>
            <w:rFonts w:ascii="Courier New" w:eastAsia="Courier New" w:hAnsi="Courier New" w:cs="Courier New"/>
            <w:color w:val="2F4F4F"/>
            <w:sz w:val="16"/>
          </w:rPr>
          <w:t xml:space="preserve">10.1038/ </w:t>
        </w:r>
      </w:hyperlink>
      <w:hyperlink r:id="rId24">
        <w:r>
          <w:rPr>
            <w:rFonts w:ascii="Courier New" w:eastAsia="Courier New" w:hAnsi="Courier New" w:cs="Courier New"/>
            <w:color w:val="2F4F4F"/>
            <w:sz w:val="16"/>
          </w:rPr>
          <w:t>s41598-025-30936-z</w:t>
        </w:r>
      </w:hyperlink>
      <w:r>
        <w:rPr>
          <w:rFonts w:ascii="Times New Roman" w:eastAsia="Times New Roman" w:hAnsi="Times New Roman" w:cs="Times New Roman"/>
          <w:sz w:val="16"/>
        </w:rPr>
        <w:t>.</w:t>
      </w:r>
    </w:p>
    <w:p w14:paraId="68BF11D1"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M. Jimenez-Blanco Bravo, J. Alvarez Garcia, S. Del Prado Diaz, A. Esteban Fernandez, D. Cordero Pereda, J. L. Zamorano Gomez, Prediction of major adverse cardiovascular events in heart failure patients using face recognition: rationale and study design of the CARDIOMIRROR trial, European Heart Journal 42 (2021) ehab724.0794. doi:</w:t>
      </w:r>
      <w:hyperlink r:id="rId25">
        <w:r>
          <w:rPr>
            <w:rFonts w:ascii="Courier New" w:eastAsia="Courier New" w:hAnsi="Courier New" w:cs="Courier New"/>
            <w:color w:val="2F4F4F"/>
            <w:sz w:val="16"/>
          </w:rPr>
          <w:t>10.</w:t>
        </w:r>
      </w:hyperlink>
    </w:p>
    <w:p w14:paraId="051B5D1D" w14:textId="77777777" w:rsidR="001E567D" w:rsidRDefault="00000000">
      <w:pPr>
        <w:spacing w:after="62"/>
        <w:ind w:left="373" w:hanging="10"/>
      </w:pPr>
      <w:hyperlink r:id="rId26">
        <w:r>
          <w:rPr>
            <w:rFonts w:ascii="Courier New" w:eastAsia="Courier New" w:hAnsi="Courier New" w:cs="Courier New"/>
            <w:color w:val="2F4F4F"/>
            <w:sz w:val="16"/>
          </w:rPr>
          <w:t>1093/eurheartj/ehab724.0794</w:t>
        </w:r>
      </w:hyperlink>
      <w:r>
        <w:rPr>
          <w:rFonts w:ascii="Times New Roman" w:eastAsia="Times New Roman" w:hAnsi="Times New Roman" w:cs="Times New Roman"/>
          <w:sz w:val="16"/>
        </w:rPr>
        <w:t>.</w:t>
      </w:r>
    </w:p>
    <w:p w14:paraId="05CFE161"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T.-Y. Chang, Y.-C. Wu, M.-L. Chung, B.-F. Wu, H.-M. Cheng, W.-C. Lee, S.-L. Chang, Novel application of contactless remote photoplethysmography in identifying heart failure with left ventricular systolic dysfunction, Journal of Cardiology 87 (2026) 489–495. doi:</w:t>
      </w:r>
      <w:hyperlink r:id="rId27">
        <w:r>
          <w:rPr>
            <w:rFonts w:ascii="Courier New" w:eastAsia="Courier New" w:hAnsi="Courier New" w:cs="Courier New"/>
            <w:color w:val="2F4F4F"/>
            <w:sz w:val="16"/>
          </w:rPr>
          <w:t xml:space="preserve">10.1016/j.jjcc.2025. </w:t>
        </w:r>
      </w:hyperlink>
      <w:hyperlink r:id="rId28">
        <w:r>
          <w:rPr>
            <w:rFonts w:ascii="Courier New" w:eastAsia="Courier New" w:hAnsi="Courier New" w:cs="Courier New"/>
            <w:color w:val="2F4F4F"/>
            <w:sz w:val="16"/>
          </w:rPr>
          <w:t>10.007</w:t>
        </w:r>
      </w:hyperlink>
      <w:r>
        <w:rPr>
          <w:rFonts w:ascii="Times New Roman" w:eastAsia="Times New Roman" w:hAnsi="Times New Roman" w:cs="Times New Roman"/>
          <w:sz w:val="16"/>
        </w:rPr>
        <w:t>.</w:t>
      </w:r>
    </w:p>
    <w:p w14:paraId="1305F06D"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K. Shirai, T. Baba, S. Ono, M. Okuda, Y. Tatesumi, P. Perrotin, Guided facial skin color correction, Signals 2 (2021) 540–558. doi:</w:t>
      </w:r>
      <w:hyperlink r:id="rId29">
        <w:r>
          <w:rPr>
            <w:rFonts w:ascii="Courier New" w:eastAsia="Courier New" w:hAnsi="Courier New" w:cs="Courier New"/>
            <w:color w:val="2F4F4F"/>
            <w:sz w:val="16"/>
          </w:rPr>
          <w:t>10.3390/signals2030033</w:t>
        </w:r>
      </w:hyperlink>
      <w:r>
        <w:rPr>
          <w:rFonts w:ascii="Times New Roman" w:eastAsia="Times New Roman" w:hAnsi="Times New Roman" w:cs="Times New Roman"/>
          <w:sz w:val="16"/>
        </w:rPr>
        <w:t>.</w:t>
      </w:r>
    </w:p>
    <w:p w14:paraId="65E54330"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 xml:space="preserve">S. Li, M. Elgendi, Y. Zhu, E. Y. Lam, C. Menon, Lighting effects on optimal facial regions for remote heart rate measurement, npj </w:t>
      </w:r>
      <w:r>
        <w:rPr>
          <w:rFonts w:ascii="Times New Roman" w:eastAsia="Times New Roman" w:hAnsi="Times New Roman" w:cs="Times New Roman"/>
          <w:sz w:val="16"/>
        </w:rPr>
        <w:lastRenderedPageBreak/>
        <w:t>Cardiovascular Health 3 (2026) 40. doi:</w:t>
      </w:r>
      <w:hyperlink r:id="rId30">
        <w:r>
          <w:rPr>
            <w:rFonts w:ascii="Courier New" w:eastAsia="Courier New" w:hAnsi="Courier New" w:cs="Courier New"/>
            <w:color w:val="2F4F4F"/>
            <w:sz w:val="16"/>
          </w:rPr>
          <w:t>10.1038/s44325-026-00140-7</w:t>
        </w:r>
      </w:hyperlink>
      <w:r>
        <w:rPr>
          <w:rFonts w:ascii="Times New Roman" w:eastAsia="Times New Roman" w:hAnsi="Times New Roman" w:cs="Times New Roman"/>
          <w:sz w:val="16"/>
        </w:rPr>
        <w:t>.</w:t>
      </w:r>
    </w:p>
    <w:p w14:paraId="274F6E1E"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Z. Cai, K. Jiang, S.-Y. Chen, Y.-K. Lai, H. Fu, B. Shi, L. Gao, Real-time 3d-aware portrait video relighting, in: 2024 IEEE/CVF Conference on Computer Vision and Pattern Recognition (CVPR), 2024, pp. 6221–6231. doi:</w:t>
      </w:r>
      <w:hyperlink r:id="rId31">
        <w:r>
          <w:rPr>
            <w:rFonts w:ascii="Courier New" w:eastAsia="Courier New" w:hAnsi="Courier New" w:cs="Courier New"/>
            <w:color w:val="2F4F4F"/>
            <w:sz w:val="16"/>
          </w:rPr>
          <w:t xml:space="preserve">10. </w:t>
        </w:r>
      </w:hyperlink>
      <w:hyperlink r:id="rId32">
        <w:r>
          <w:rPr>
            <w:rFonts w:ascii="Courier New" w:eastAsia="Courier New" w:hAnsi="Courier New" w:cs="Courier New"/>
            <w:color w:val="2F4F4F"/>
            <w:sz w:val="16"/>
          </w:rPr>
          <w:t>1109/CVPR52733.2024.00595</w:t>
        </w:r>
      </w:hyperlink>
      <w:r>
        <w:rPr>
          <w:rFonts w:ascii="Times New Roman" w:eastAsia="Times New Roman" w:hAnsi="Times New Roman" w:cs="Times New Roman"/>
          <w:sz w:val="16"/>
        </w:rPr>
        <w:t>.</w:t>
      </w:r>
    </w:p>
    <w:p w14:paraId="2D403B08"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K. He, X. Zhang, S. Ren, J. Sun, Deep residual learning for image recognition, in: 2016 IEEE Conference on Computer Vision and Pattern Recognition (CVPR), IEEE, 2016, pp. 770–778. doi:</w:t>
      </w:r>
      <w:hyperlink r:id="rId33">
        <w:r>
          <w:rPr>
            <w:rFonts w:ascii="Courier New" w:eastAsia="Courier New" w:hAnsi="Courier New" w:cs="Courier New"/>
            <w:color w:val="2F4F4F"/>
            <w:sz w:val="16"/>
          </w:rPr>
          <w:t>10.1109/CVPR.2016.90</w:t>
        </w:r>
      </w:hyperlink>
      <w:r>
        <w:rPr>
          <w:rFonts w:ascii="Times New Roman" w:eastAsia="Times New Roman" w:hAnsi="Times New Roman" w:cs="Times New Roman"/>
          <w:sz w:val="16"/>
        </w:rPr>
        <w:t>.</w:t>
      </w:r>
    </w:p>
    <w:p w14:paraId="14257C59"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R. R. Selvaraju, M. Cogswell, A. Das, R. Vedantam, D. Parikh, D. Batra, Grad-CAM: Visual explanations from deep networks via gradient-based localization, in: 2017 IEEE International Conference on Computer Vision (ICCV), 2017, pp. 618–626. doi:</w:t>
      </w:r>
      <w:hyperlink r:id="rId34">
        <w:r>
          <w:rPr>
            <w:rFonts w:ascii="Courier New" w:eastAsia="Courier New" w:hAnsi="Courier New" w:cs="Courier New"/>
            <w:color w:val="2F4F4F"/>
            <w:sz w:val="16"/>
          </w:rPr>
          <w:t>10.1109/ICCV.2017.74</w:t>
        </w:r>
      </w:hyperlink>
      <w:r>
        <w:rPr>
          <w:rFonts w:ascii="Times New Roman" w:eastAsia="Times New Roman" w:hAnsi="Times New Roman" w:cs="Times New Roman"/>
          <w:sz w:val="16"/>
        </w:rPr>
        <w:t>.</w:t>
      </w:r>
    </w:p>
    <w:p w14:paraId="7D201F05"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 xml:space="preserve">C. Lugaresi, J. Tang, H. Nash, C. McClanahan, E. Uboweja, M. Hays, F. Zhang, C.-L. Chang, M. G. Yong, J. Lee, W.-T. Chang, W. Hua, M. Georg, M. Grundmann, MediaPipe: A framework for building perception pipelines, arXiv preprint arXiv:1906.08172 (2019). URL: </w:t>
      </w:r>
      <w:hyperlink r:id="rId35">
        <w:r>
          <w:rPr>
            <w:rFonts w:ascii="Courier New" w:eastAsia="Courier New" w:hAnsi="Courier New" w:cs="Courier New"/>
            <w:color w:val="2F4F4F"/>
            <w:sz w:val="16"/>
          </w:rPr>
          <w:t xml:space="preserve">https://arxiv.org/abs/ </w:t>
        </w:r>
      </w:hyperlink>
      <w:hyperlink r:id="rId36">
        <w:r>
          <w:rPr>
            <w:rFonts w:ascii="Courier New" w:eastAsia="Courier New" w:hAnsi="Courier New" w:cs="Courier New"/>
            <w:color w:val="2F4F4F"/>
            <w:sz w:val="16"/>
          </w:rPr>
          <w:t>1906.08172</w:t>
        </w:r>
      </w:hyperlink>
      <w:r>
        <w:rPr>
          <w:rFonts w:ascii="Times New Roman" w:eastAsia="Times New Roman" w:hAnsi="Times New Roman" w:cs="Times New Roman"/>
          <w:sz w:val="16"/>
        </w:rPr>
        <w:t xml:space="preserve">. </w:t>
      </w:r>
      <w:hyperlink r:id="rId37">
        <w:r>
          <w:rPr>
            <w:rFonts w:ascii="Courier New" w:eastAsia="Courier New" w:hAnsi="Courier New" w:cs="Courier New"/>
            <w:color w:val="2F4F4F"/>
            <w:sz w:val="16"/>
          </w:rPr>
          <w:t>arXiv:1906.08172</w:t>
        </w:r>
      </w:hyperlink>
      <w:r>
        <w:rPr>
          <w:rFonts w:ascii="Times New Roman" w:eastAsia="Times New Roman" w:hAnsi="Times New Roman" w:cs="Times New Roman"/>
          <w:sz w:val="16"/>
        </w:rPr>
        <w:t>.</w:t>
      </w:r>
    </w:p>
    <w:p w14:paraId="545307F7"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C. Yu, J. Wang, C. Peng, C. Gao, G. Yu, N. Sang, BiSeNet: Bilateral segmentation network for real-time semantic segmentation, in: Computer Vision – ECCV 2018, 2018, pp. 334–349. doi:</w:t>
      </w:r>
      <w:hyperlink r:id="rId38">
        <w:r>
          <w:rPr>
            <w:rFonts w:ascii="Courier New" w:eastAsia="Courier New" w:hAnsi="Courier New" w:cs="Courier New"/>
            <w:color w:val="2F4F4F"/>
            <w:sz w:val="16"/>
          </w:rPr>
          <w:t>10.1007/978-3-030-01261-8_20</w:t>
        </w:r>
      </w:hyperlink>
      <w:r>
        <w:rPr>
          <w:rFonts w:ascii="Times New Roman" w:eastAsia="Times New Roman" w:hAnsi="Times New Roman" w:cs="Times New Roman"/>
          <w:sz w:val="16"/>
        </w:rPr>
        <w:t>.</w:t>
      </w:r>
    </w:p>
    <w:p w14:paraId="10656008"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M.-L. Edvinsson, E. Uddman, S. E. Andersson, Deteriorated function of cutaneous microcirculation in chronic congestive heart failure, Journal of Geriatric Cardiology 8 (2011) 82– 87. doi:</w:t>
      </w:r>
      <w:hyperlink r:id="rId39">
        <w:r>
          <w:rPr>
            <w:rFonts w:ascii="Courier New" w:eastAsia="Courier New" w:hAnsi="Courier New" w:cs="Courier New"/>
            <w:color w:val="2F4F4F"/>
            <w:sz w:val="16"/>
          </w:rPr>
          <w:t>10.3724/SP.J.1263.2011.00082</w:t>
        </w:r>
      </w:hyperlink>
      <w:r>
        <w:rPr>
          <w:rFonts w:ascii="Times New Roman" w:eastAsia="Times New Roman" w:hAnsi="Times New Roman" w:cs="Times New Roman"/>
          <w:sz w:val="16"/>
        </w:rPr>
        <w:t>.</w:t>
      </w:r>
    </w:p>
    <w:p w14:paraId="1C21C975"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I. Tikhomirova, E. Petrochenko, A. Muravyov, Y. Malysheva, A. Petrochenko, V. Yakusevich, A. Oslyakova, Microcirculation and blood rheology abnormalities in chronic heart failure, Clinical Hemorheology and Microcirculation 65 (2017) 383–391. doi:</w:t>
      </w:r>
      <w:hyperlink r:id="rId40">
        <w:r>
          <w:rPr>
            <w:rFonts w:ascii="Courier New" w:eastAsia="Courier New" w:hAnsi="Courier New" w:cs="Courier New"/>
            <w:color w:val="2F4F4F"/>
            <w:sz w:val="16"/>
          </w:rPr>
          <w:t>10.3233/CH-16206</w:t>
        </w:r>
      </w:hyperlink>
      <w:r>
        <w:rPr>
          <w:rFonts w:ascii="Times New Roman" w:eastAsia="Times New Roman" w:hAnsi="Times New Roman" w:cs="Times New Roman"/>
          <w:sz w:val="16"/>
        </w:rPr>
        <w:t>.</w:t>
      </w:r>
    </w:p>
    <w:p w14:paraId="573A49F8"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A. J. H. M. Houben, J. H. Beljaars, L. Hofstra, A. A. Kroon, P. W. De Leeuw, Microvascular abnormalities in chronic heart failure: A cross-sectional analysis, Microcirculation 10 (2003) 471–478. doi:</w:t>
      </w:r>
      <w:hyperlink r:id="rId41">
        <w:r>
          <w:rPr>
            <w:rFonts w:ascii="Courier New" w:eastAsia="Courier New" w:hAnsi="Courier New" w:cs="Courier New"/>
            <w:color w:val="2F4F4F"/>
            <w:sz w:val="16"/>
          </w:rPr>
          <w:t>10.1038/sj.mn.7800211</w:t>
        </w:r>
      </w:hyperlink>
      <w:r>
        <w:rPr>
          <w:rFonts w:ascii="Times New Roman" w:eastAsia="Times New Roman" w:hAnsi="Times New Roman" w:cs="Times New Roman"/>
          <w:sz w:val="16"/>
        </w:rPr>
        <w:t>.</w:t>
      </w:r>
    </w:p>
    <w:p w14:paraId="72349F55"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C. J. Hogan, K. R. Ward, D. S. Franzen, B. Rajendran, L. R. Thacker, Sublingual tissue perfusion improves during emergency treatment of acute decompensated heart failure, The American Journal of Emergency Medicine 30 (2012) 872–880. doi:</w:t>
      </w:r>
      <w:hyperlink r:id="rId42">
        <w:r>
          <w:rPr>
            <w:rFonts w:ascii="Courier New" w:eastAsia="Courier New" w:hAnsi="Courier New" w:cs="Courier New"/>
            <w:color w:val="2F4F4F"/>
            <w:sz w:val="16"/>
          </w:rPr>
          <w:t>10.1016/j.ajem.2011.06.005</w:t>
        </w:r>
      </w:hyperlink>
      <w:r>
        <w:rPr>
          <w:rFonts w:ascii="Times New Roman" w:eastAsia="Times New Roman" w:hAnsi="Times New Roman" w:cs="Times New Roman"/>
          <w:sz w:val="16"/>
        </w:rPr>
        <w:t>.</w:t>
      </w:r>
    </w:p>
    <w:p w14:paraId="67D183D3" w14:textId="77777777" w:rsidR="001E567D" w:rsidRDefault="00000000">
      <w:pPr>
        <w:numPr>
          <w:ilvl w:val="0"/>
          <w:numId w:val="3"/>
        </w:numPr>
        <w:spacing w:after="4" w:line="344" w:lineRule="auto"/>
        <w:ind w:right="159" w:hanging="363"/>
        <w:jc w:val="both"/>
      </w:pPr>
      <w:r>
        <w:rPr>
          <w:rFonts w:ascii="Times New Roman" w:eastAsia="Times New Roman" w:hAnsi="Times New Roman" w:cs="Times New Roman"/>
          <w:sz w:val="16"/>
        </w:rPr>
        <w:t>K. G. M. Moons, A. P. Kengne, D. E. Grobbee, P. Royston, Y. Vergouwe, D. G. Altman, M. Woodward, Risk prediction models: II. external validation, model updating, and impact assessment, Heart 98 (2012) 691–698. doi:</w:t>
      </w:r>
      <w:hyperlink r:id="rId43">
        <w:r>
          <w:rPr>
            <w:rFonts w:ascii="Courier New" w:eastAsia="Courier New" w:hAnsi="Courier New" w:cs="Courier New"/>
            <w:color w:val="2F4F4F"/>
            <w:sz w:val="16"/>
          </w:rPr>
          <w:t xml:space="preserve">10.1136/ </w:t>
        </w:r>
      </w:hyperlink>
      <w:hyperlink r:id="rId44">
        <w:r>
          <w:rPr>
            <w:rFonts w:ascii="Courier New" w:eastAsia="Courier New" w:hAnsi="Courier New" w:cs="Courier New"/>
            <w:color w:val="2F4F4F"/>
            <w:sz w:val="16"/>
          </w:rPr>
          <w:t>heartjnl-2011-301247</w:t>
        </w:r>
      </w:hyperlink>
      <w:r>
        <w:rPr>
          <w:rFonts w:ascii="Times New Roman" w:eastAsia="Times New Roman" w:hAnsi="Times New Roman" w:cs="Times New Roman"/>
          <w:sz w:val="16"/>
        </w:rPr>
        <w:t>.</w:t>
      </w:r>
    </w:p>
    <w:sectPr w:rsidR="001E567D">
      <w:footerReference w:type="even" r:id="rId45"/>
      <w:footerReference w:type="default" r:id="rId46"/>
      <w:footerReference w:type="first" r:id="rId47"/>
      <w:pgSz w:w="11906" w:h="15874"/>
      <w:pgMar w:top="1034" w:right="852" w:bottom="997" w:left="907" w:header="720" w:footer="424" w:gutter="0"/>
      <w:cols w:num="2" w:space="2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E1A59" w14:textId="77777777" w:rsidR="00B954D8" w:rsidRDefault="00B954D8">
      <w:pPr>
        <w:spacing w:line="240" w:lineRule="auto"/>
      </w:pPr>
      <w:r>
        <w:separator/>
      </w:r>
    </w:p>
  </w:endnote>
  <w:endnote w:type="continuationSeparator" w:id="0">
    <w:p w14:paraId="4438D5C3" w14:textId="77777777" w:rsidR="00B954D8" w:rsidRDefault="00B95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CC078" w14:textId="77777777" w:rsidR="001E567D" w:rsidRDefault="00000000">
    <w:pPr>
      <w:tabs>
        <w:tab w:val="right" w:pos="10027"/>
      </w:tabs>
      <w:spacing w:after="0"/>
    </w:pPr>
    <w:r>
      <w:rPr>
        <w:noProof/>
      </w:rPr>
      <mc:AlternateContent>
        <mc:Choice Requires="wpg">
          <w:drawing>
            <wp:anchor distT="0" distB="0" distL="114300" distR="114300" simplePos="0" relativeHeight="251653632" behindDoc="0" locked="0" layoutInCell="1" allowOverlap="1" wp14:anchorId="425173F0" wp14:editId="49D98E36">
              <wp:simplePos x="0" y="0"/>
              <wp:positionH relativeFrom="page">
                <wp:posOffset>651510</wp:posOffset>
              </wp:positionH>
              <wp:positionV relativeFrom="page">
                <wp:posOffset>9575165</wp:posOffset>
              </wp:positionV>
              <wp:extent cx="6256655" cy="254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833" name="Shape 23833"/>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32" o:spid="_x0000_s1026" o:spt="203" style="position:absolute;left:0pt;margin-left:51.3pt;margin-top:753.95pt;height:0.2pt;width:492.65pt;mso-position-horizontal-relative:page;mso-position-vertical-relative:page;mso-wrap-distance-bottom:0pt;mso-wrap-distance-left:9pt;mso-wrap-distance-right:9pt;mso-wrap-distance-top:0pt;z-index:251659264;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JzUU2gAAAA4B&#10;AAAPAAAAAAAAAAEAIAAAACIAAABkcnMvZG93bnJldi54bWxQSwECFAAUAAAACACHTuJAvnQlfVIC&#10;AACbBQAADgAAAAAAAAABACAAAAApAQAAZHJzL2Uyb0RvYy54bWxQSwUGAAAAAAYABgBZAQAA7QUA&#10;AAAA&#10;">
              <o:lock v:ext="edit" aspectratio="f"/>
              <v:shape id="Shape 23833" o:spid="_x0000_s1026" o:spt="100" style="position:absolute;left:0;top:0;height:0;width:6256807;" filled="f" stroked="t" coordsize="6256807,1" o:gfxdata="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Vgn&#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ACBF2" w14:textId="77777777" w:rsidR="001E567D" w:rsidRDefault="00000000">
    <w:pPr>
      <w:tabs>
        <w:tab w:val="right" w:pos="10027"/>
      </w:tabs>
      <w:spacing w:after="0"/>
    </w:pPr>
    <w:r>
      <w:rPr>
        <w:noProof/>
      </w:rPr>
      <mc:AlternateContent>
        <mc:Choice Requires="wpg">
          <w:drawing>
            <wp:anchor distT="0" distB="0" distL="114300" distR="114300" simplePos="0" relativeHeight="251656704" behindDoc="0" locked="0" layoutInCell="1" allowOverlap="1" wp14:anchorId="3A318728" wp14:editId="191AE5B2">
              <wp:simplePos x="0" y="0"/>
              <wp:positionH relativeFrom="page">
                <wp:posOffset>651510</wp:posOffset>
              </wp:positionH>
              <wp:positionV relativeFrom="page">
                <wp:posOffset>9575165</wp:posOffset>
              </wp:positionV>
              <wp:extent cx="6256655" cy="2540"/>
              <wp:effectExtent l="0" t="0" r="0" b="0"/>
              <wp:wrapSquare wrapText="bothSides"/>
              <wp:docPr id="23814" name="Group 23814"/>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815" name="Shape 23815"/>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14" o:spid="_x0000_s1026" o:spt="203" style="position:absolute;left:0pt;margin-left:51.3pt;margin-top:753.95pt;height:0.2pt;width:492.65pt;mso-position-horizontal-relative:page;mso-position-vertical-relative:page;mso-wrap-distance-bottom:0pt;mso-wrap-distance-left:9pt;mso-wrap-distance-right:9pt;mso-wrap-distance-top:0pt;z-index:251660288;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ayc1FNoAAAAO&#10;AQAADwAAAAAAAAABACAAAAAiAAAAZHJzL2Rvd25yZXYueG1sUEsBAhQAFAAAAAgAh07iQPeqoINT&#10;AgAAmwUAAA4AAAAAAAAAAQAgAAAAKQEAAGRycy9lMm9Eb2MueG1sUEsFBgAAAAAGAAYAWQEAAO4F&#10;AAAAAA==&#10;">
              <o:lock v:ext="edit" aspectratio="f"/>
              <v:shape id="Shape 23815" o:spid="_x0000_s1026" o:spt="100" style="position:absolute;left:0;top:0;height:0;width:6256807;" filled="f" stroked="t" coordsize="6256807,1" o:gfxdata="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uTmo&#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9CCF7" w14:textId="77777777" w:rsidR="001E567D" w:rsidRDefault="00000000">
    <w:pPr>
      <w:tabs>
        <w:tab w:val="right" w:pos="10027"/>
      </w:tabs>
      <w:spacing w:after="0"/>
    </w:pPr>
    <w:r>
      <w:rPr>
        <w:noProof/>
      </w:rPr>
      <mc:AlternateContent>
        <mc:Choice Requires="wpg">
          <w:drawing>
            <wp:anchor distT="0" distB="0" distL="114300" distR="114300" simplePos="0" relativeHeight="251659776" behindDoc="0" locked="0" layoutInCell="1" allowOverlap="1" wp14:anchorId="37EAA12D" wp14:editId="3F360813">
              <wp:simplePos x="0" y="0"/>
              <wp:positionH relativeFrom="page">
                <wp:posOffset>651510</wp:posOffset>
              </wp:positionH>
              <wp:positionV relativeFrom="page">
                <wp:posOffset>9575165</wp:posOffset>
              </wp:positionV>
              <wp:extent cx="6256655" cy="2540"/>
              <wp:effectExtent l="0" t="0" r="0" b="0"/>
              <wp:wrapSquare wrapText="bothSides"/>
              <wp:docPr id="23796" name="Group 23796"/>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797" name="Shape 23797"/>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796" o:spid="_x0000_s1026" o:spt="203" style="position:absolute;left:0pt;margin-left:51.3pt;margin-top:753.95pt;height:0.2pt;width:492.65pt;mso-position-horizontal-relative:page;mso-position-vertical-relative:page;mso-wrap-distance-bottom:0pt;mso-wrap-distance-left:9pt;mso-wrap-distance-right:9pt;mso-wrap-distance-top:0pt;z-index:251661312;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snNRTaAAAA&#10;DgEAAA8AAAAAAAAAAQAgAAAAIgAAAGRycy9kb3ducmV2LnhtbFBLAQIUABQAAAAIAIdO4kD4QRqk&#10;VAIAAJsFAAAOAAAAAAAAAAEAIAAAACkBAABkcnMvZTJvRG9jLnhtbFBLBQYAAAAABgAGAFkBAADv&#10;BQAAAAA=&#10;">
              <o:lock v:ext="edit" aspectratio="f"/>
              <v:shape id="Shape 23797" o:spid="_x0000_s1026" o:spt="100" style="position:absolute;left:0;top:0;height:0;width:6256807;" filled="f" stroked="t" coordsize="6256807,1" o:gfxdata="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QJVI&#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1DBF6" w14:textId="77777777" w:rsidR="001E567D" w:rsidRDefault="00000000">
    <w:pPr>
      <w:tabs>
        <w:tab w:val="right" w:pos="10027"/>
      </w:tabs>
      <w:spacing w:after="0"/>
    </w:pPr>
    <w:r>
      <w:rPr>
        <w:noProof/>
      </w:rPr>
      <mc:AlternateContent>
        <mc:Choice Requires="wpg">
          <w:drawing>
            <wp:anchor distT="0" distB="0" distL="114300" distR="114300" simplePos="0" relativeHeight="251654656" behindDoc="0" locked="0" layoutInCell="1" allowOverlap="1" wp14:anchorId="16E09ABF" wp14:editId="419D3CB2">
              <wp:simplePos x="0" y="0"/>
              <wp:positionH relativeFrom="page">
                <wp:posOffset>651510</wp:posOffset>
              </wp:positionH>
              <wp:positionV relativeFrom="page">
                <wp:posOffset>9575165</wp:posOffset>
              </wp:positionV>
              <wp:extent cx="6256655" cy="2540"/>
              <wp:effectExtent l="0" t="0" r="0" b="0"/>
              <wp:wrapSquare wrapText="bothSides"/>
              <wp:docPr id="1353545209" name="Group 23832"/>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1800240400" name="Shape 23833"/>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32" o:spid="_x0000_s1026" o:spt="203" style="position:absolute;left:0pt;margin-left:51.3pt;margin-top:753.95pt;height:0.2pt;width:492.65pt;mso-position-horizontal-relative:page;mso-position-vertical-relative:page;mso-wrap-distance-bottom:0pt;mso-wrap-distance-left:9pt;mso-wrap-distance-right:9pt;mso-wrap-distance-top:0pt;z-index:251659264;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JzUU2gAAAA4B&#10;AAAPAAAAAAAAAAEAIAAAACIAAABkcnMvZG93bnJldi54bWxQSwECFAAUAAAACACHTuJAvnQlfVIC&#10;AACbBQAADgAAAAAAAAABACAAAAApAQAAZHJzL2Uyb0RvYy54bWxQSwUGAAAAAAYABgBZAQAA7QUA&#10;AAAA&#10;">
              <o:lock v:ext="edit" aspectratio="f"/>
              <v:shape id="Shape 23833" o:spid="_x0000_s1026" o:spt="100" style="position:absolute;left:0;top:0;height:0;width:6256807;" filled="f" stroked="t" coordsize="6256807,1" o:gfxdata="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Vgn&#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B9989" w14:textId="77777777" w:rsidR="001E567D" w:rsidRDefault="00000000">
    <w:pPr>
      <w:tabs>
        <w:tab w:val="right" w:pos="10027"/>
      </w:tabs>
      <w:spacing w:after="0"/>
    </w:pPr>
    <w:r>
      <w:rPr>
        <w:noProof/>
      </w:rPr>
      <mc:AlternateContent>
        <mc:Choice Requires="wpg">
          <w:drawing>
            <wp:anchor distT="0" distB="0" distL="114300" distR="114300" simplePos="0" relativeHeight="251658752" behindDoc="0" locked="0" layoutInCell="1" allowOverlap="1" wp14:anchorId="482E520E" wp14:editId="340EB150">
              <wp:simplePos x="0" y="0"/>
              <wp:positionH relativeFrom="page">
                <wp:posOffset>651510</wp:posOffset>
              </wp:positionH>
              <wp:positionV relativeFrom="page">
                <wp:posOffset>9575165</wp:posOffset>
              </wp:positionV>
              <wp:extent cx="6256655" cy="2540"/>
              <wp:effectExtent l="0" t="0" r="0" b="0"/>
              <wp:wrapSquare wrapText="bothSides"/>
              <wp:docPr id="1189320400" name="Group 23814"/>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365882828" name="Shape 23815"/>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14" o:spid="_x0000_s1026" o:spt="203" style="position:absolute;left:0pt;margin-left:51.3pt;margin-top:753.95pt;height:0.2pt;width:492.65pt;mso-position-horizontal-relative:page;mso-position-vertical-relative:page;mso-wrap-distance-bottom:0pt;mso-wrap-distance-left:9pt;mso-wrap-distance-right:9pt;mso-wrap-distance-top:0pt;z-index:251660288;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ayc1FNoAAAAO&#10;AQAADwAAAAAAAAABACAAAAAiAAAAZHJzL2Rvd25yZXYueG1sUEsBAhQAFAAAAAgAh07iQPeqoINT&#10;AgAAmwUAAA4AAAAAAAAAAQAgAAAAKQEAAGRycy9lMm9Eb2MueG1sUEsFBgAAAAAGAAYAWQEAAO4F&#10;AAAAAA==&#10;">
              <o:lock v:ext="edit" aspectratio="f"/>
              <v:shape id="Shape 23815" o:spid="_x0000_s1026" o:spt="100" style="position:absolute;left:0;top:0;height:0;width:6256807;" filled="f" stroked="t" coordsize="6256807,1" o:gfxdata="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uTmo&#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CA2F7" w14:textId="77777777" w:rsidR="001E567D" w:rsidRDefault="00000000">
    <w:pPr>
      <w:tabs>
        <w:tab w:val="right" w:pos="10027"/>
      </w:tabs>
      <w:spacing w:after="0"/>
    </w:pPr>
    <w:r>
      <w:rPr>
        <w:noProof/>
      </w:rPr>
      <mc:AlternateContent>
        <mc:Choice Requires="wpg">
          <w:drawing>
            <wp:anchor distT="0" distB="0" distL="114300" distR="114300" simplePos="0" relativeHeight="251661824" behindDoc="0" locked="0" layoutInCell="1" allowOverlap="1" wp14:anchorId="32B515D1" wp14:editId="6812BEE7">
              <wp:simplePos x="0" y="0"/>
              <wp:positionH relativeFrom="page">
                <wp:posOffset>651510</wp:posOffset>
              </wp:positionH>
              <wp:positionV relativeFrom="page">
                <wp:posOffset>9575165</wp:posOffset>
              </wp:positionV>
              <wp:extent cx="6256655" cy="2540"/>
              <wp:effectExtent l="0" t="0" r="0" b="0"/>
              <wp:wrapSquare wrapText="bothSides"/>
              <wp:docPr id="17878694" name="Group 23796"/>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60901898" name="Shape 23797"/>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796" o:spid="_x0000_s1026" o:spt="203" style="position:absolute;left:0pt;margin-left:51.3pt;margin-top:753.95pt;height:0.2pt;width:492.65pt;mso-position-horizontal-relative:page;mso-position-vertical-relative:page;mso-wrap-distance-bottom:0pt;mso-wrap-distance-left:9pt;mso-wrap-distance-right:9pt;mso-wrap-distance-top:0pt;z-index:251661312;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snNRTaAAAA&#10;DgEAAA8AAAAAAAAAAQAgAAAAIgAAAGRycy9kb3ducmV2LnhtbFBLAQIUABQAAAAIAIdO4kD4QRqk&#10;VAIAAJsFAAAOAAAAAAAAAAEAIAAAACkBAABkcnMvZTJvRG9jLnhtbFBLBQYAAAAABgAGAFkBAADv&#10;BQAAAAA=&#10;">
              <o:lock v:ext="edit" aspectratio="f"/>
              <v:shape id="Shape 23797" o:spid="_x0000_s1026" o:spt="100" style="position:absolute;left:0;top:0;height:0;width:6256807;" filled="f" stroked="t" coordsize="6256807,1" o:gfxdata="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QJVI&#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3CF74" w14:textId="77777777" w:rsidR="001E567D" w:rsidRDefault="00000000">
    <w:pPr>
      <w:tabs>
        <w:tab w:val="right" w:pos="10027"/>
      </w:tabs>
      <w:spacing w:after="0"/>
    </w:pPr>
    <w:r>
      <w:rPr>
        <w:noProof/>
      </w:rPr>
      <mc:AlternateContent>
        <mc:Choice Requires="wpg">
          <w:drawing>
            <wp:anchor distT="0" distB="0" distL="114300" distR="114300" simplePos="0" relativeHeight="251655680" behindDoc="0" locked="0" layoutInCell="1" allowOverlap="1" wp14:anchorId="323284CD" wp14:editId="571D80FE">
              <wp:simplePos x="0" y="0"/>
              <wp:positionH relativeFrom="page">
                <wp:posOffset>651510</wp:posOffset>
              </wp:positionH>
              <wp:positionV relativeFrom="page">
                <wp:posOffset>9575165</wp:posOffset>
              </wp:positionV>
              <wp:extent cx="6256655" cy="2540"/>
              <wp:effectExtent l="0" t="0" r="0" b="0"/>
              <wp:wrapSquare wrapText="bothSides"/>
              <wp:docPr id="1330186537" name="Group 23832"/>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833" name="Shape 23833"/>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32" o:spid="_x0000_s1026" o:spt="203" style="position:absolute;left:0pt;margin-left:51.3pt;margin-top:753.95pt;height:0.2pt;width:492.65pt;mso-position-horizontal-relative:page;mso-position-vertical-relative:page;mso-wrap-distance-bottom:0pt;mso-wrap-distance-left:9pt;mso-wrap-distance-right:9pt;mso-wrap-distance-top:0pt;z-index:251659264;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JzUU2gAAAA4B&#10;AAAPAAAAAAAAAAEAIAAAACIAAABkcnMvZG93bnJldi54bWxQSwECFAAUAAAACACHTuJAvnQlfVIC&#10;AACbBQAADgAAAAAAAAABACAAAAApAQAAZHJzL2Uyb0RvYy54bWxQSwUGAAAAAAYABgBZAQAA7QUA&#10;AAAA&#10;">
              <o:lock v:ext="edit" aspectratio="f"/>
              <v:shape id="Shape 23833" o:spid="_x0000_s1026" o:spt="100" style="position:absolute;left:0;top:0;height:0;width:6256807;" filled="f" stroked="t" coordsize="6256807,1" o:gfxdata="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Vgn&#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630E7" w14:textId="77777777" w:rsidR="001E567D" w:rsidRDefault="00000000">
    <w:pPr>
      <w:tabs>
        <w:tab w:val="right" w:pos="10027"/>
      </w:tabs>
      <w:spacing w:after="0"/>
    </w:pPr>
    <w:r>
      <w:rPr>
        <w:noProof/>
      </w:rPr>
      <mc:AlternateContent>
        <mc:Choice Requires="wpg">
          <w:drawing>
            <wp:anchor distT="0" distB="0" distL="114300" distR="114300" simplePos="0" relativeHeight="251657728" behindDoc="0" locked="0" layoutInCell="1" allowOverlap="1" wp14:anchorId="21EA65EB" wp14:editId="3854B373">
              <wp:simplePos x="0" y="0"/>
              <wp:positionH relativeFrom="page">
                <wp:posOffset>651510</wp:posOffset>
              </wp:positionH>
              <wp:positionV relativeFrom="page">
                <wp:posOffset>9575165</wp:posOffset>
              </wp:positionV>
              <wp:extent cx="6256655" cy="2540"/>
              <wp:effectExtent l="0" t="0" r="0" b="0"/>
              <wp:wrapSquare wrapText="bothSides"/>
              <wp:docPr id="103313822" name="Group 23814"/>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815" name="Shape 23815"/>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814" o:spid="_x0000_s1026" o:spt="203" style="position:absolute;left:0pt;margin-left:51.3pt;margin-top:753.95pt;height:0.2pt;width:492.65pt;mso-position-horizontal-relative:page;mso-position-vertical-relative:page;mso-wrap-distance-bottom:0pt;mso-wrap-distance-left:9pt;mso-wrap-distance-right:9pt;mso-wrap-distance-top:0pt;z-index:251660288;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ayc1FNoAAAAO&#10;AQAADwAAAAAAAAABACAAAAAiAAAAZHJzL2Rvd25yZXYueG1sUEsBAhQAFAAAAAgAh07iQPeqoINT&#10;AgAAmwUAAA4AAAAAAAAAAQAgAAAAKQEAAGRycy9lMm9Eb2MueG1sUEsFBgAAAAAGAAYAWQEAAO4F&#10;AAAAAA==&#10;">
              <o:lock v:ext="edit" aspectratio="f"/>
              <v:shape id="Shape 23815" o:spid="_x0000_s1026" o:spt="100" style="position:absolute;left:0;top:0;height:0;width:6256807;" filled="f" stroked="t" coordsize="6256807,1" o:gfxdata="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uTmo&#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E4747" w14:textId="77777777" w:rsidR="001E567D" w:rsidRDefault="00000000">
    <w:pPr>
      <w:tabs>
        <w:tab w:val="right" w:pos="10027"/>
      </w:tabs>
      <w:spacing w:after="0"/>
    </w:pPr>
    <w:r>
      <w:rPr>
        <w:noProof/>
      </w:rPr>
      <mc:AlternateContent>
        <mc:Choice Requires="wpg">
          <w:drawing>
            <wp:anchor distT="0" distB="0" distL="114300" distR="114300" simplePos="0" relativeHeight="251660800" behindDoc="0" locked="0" layoutInCell="1" allowOverlap="1" wp14:anchorId="24751CC5" wp14:editId="3BDD6AD0">
              <wp:simplePos x="0" y="0"/>
              <wp:positionH relativeFrom="page">
                <wp:posOffset>651510</wp:posOffset>
              </wp:positionH>
              <wp:positionV relativeFrom="page">
                <wp:posOffset>9575165</wp:posOffset>
              </wp:positionV>
              <wp:extent cx="6256655" cy="2540"/>
              <wp:effectExtent l="0" t="0" r="0" b="0"/>
              <wp:wrapSquare wrapText="bothSides"/>
              <wp:docPr id="338902549" name="Group 23796"/>
              <wp:cNvGraphicFramePr/>
              <a:graphic xmlns:a="http://schemas.openxmlformats.org/drawingml/2006/main">
                <a:graphicData uri="http://schemas.microsoft.com/office/word/2010/wordprocessingGroup">
                  <wpg:wgp>
                    <wpg:cNvGrpSpPr/>
                    <wpg:grpSpPr>
                      <a:xfrm>
                        <a:off x="0" y="0"/>
                        <a:ext cx="6256807" cy="2530"/>
                        <a:chOff x="0" y="0"/>
                        <a:chExt cx="6256807" cy="2530"/>
                      </a:xfrm>
                    </wpg:grpSpPr>
                    <wps:wsp>
                      <wps:cNvPr id="23797" name="Shape 23797"/>
                      <wps:cNvSpPr/>
                      <wps:spPr>
                        <a:xfrm>
                          <a:off x="0" y="0"/>
                          <a:ext cx="6256807" cy="0"/>
                        </a:xfrm>
                        <a:custGeom>
                          <a:avLst/>
                          <a:gdLst/>
                          <a:ahLst/>
                          <a:cxnLst/>
                          <a:rect l="0" t="0" r="0" b="0"/>
                          <a:pathLst>
                            <a:path w="6256807">
                              <a:moveTo>
                                <a:pt x="0" y="0"/>
                              </a:moveTo>
                              <a:lnTo>
                                <a:pt x="6256807"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3796" o:spid="_x0000_s1026" o:spt="203" style="position:absolute;left:0pt;margin-left:51.3pt;margin-top:753.95pt;height:0.2pt;width:492.65pt;mso-position-horizontal-relative:page;mso-position-vertical-relative:page;mso-wrap-distance-bottom:0pt;mso-wrap-distance-left:9pt;mso-wrap-distance-right:9pt;mso-wrap-distance-top:0pt;z-index:251661312;mso-width-relative:page;mso-height-relative:page;" coordsize="6256807,2530" o:gfxdata="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snNRTaAAAA&#10;DgEAAA8AAAAAAAAAAQAgAAAAIgAAAGRycy9kb3ducmV2LnhtbFBLAQIUABQAAAAIAIdO4kD4QRqk&#10;VAIAAJsFAAAOAAAAAAAAAAEAIAAAACkBAABkcnMvZTJvRG9jLnhtbFBLBQYAAAAABgAGAFkBAADv&#10;BQAAAAA=&#10;">
              <o:lock v:ext="edit" aspectratio="f"/>
              <v:shape id="Shape 23797" o:spid="_x0000_s1026" o:spt="100" style="position:absolute;left:0;top:0;height:0;width:6256807;" filled="f" stroked="t" coordsize="6256807,1" o:gfxdata="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QJVI&#10;wAAAAN4AAAAPAAAAAAAAAAEAIAAAACIAAABkcnMvZG93bnJldi54bWxQSwECFAAUAAAACACHTuJA&#10;My8FnjsAAAA5AAAAEAAAAAAAAAABACAAAAAPAQAAZHJzL3NoYXBleG1sLnhtbFBLBQYAAAAABgAG&#10;AFsBAAC5AwAAAAA=&#10;" path="m0,0l6256807,0e">
                <v:fill on="f" focussize="0,0"/>
                <v:stroke weight="0.199212598425197pt" color="#000000" miterlimit="1" joinstyle="miter"/>
                <v:imagedata o:title=""/>
                <o:lock v:ext="edit" aspectratio="f"/>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i/>
        <w:sz w:val="18"/>
      </w:rPr>
      <w:t>Preprint submitted to Elsevier</w:t>
    </w:r>
    <w:r>
      <w:rPr>
        <w:rFonts w:ascii="Times New Roman" w:eastAsia="Times New Roman" w:hAnsi="Times New Roman" w:cs="Times New Roman"/>
        <w:i/>
        <w:sz w:val="18"/>
      </w:rPr>
      <w:tab/>
    </w:r>
    <w:r>
      <w:rPr>
        <w:rFonts w:ascii="微软雅黑" w:eastAsia="微软雅黑" w:hAnsi="微软雅黑" w:cs="微软雅黑"/>
        <w:sz w:val="21"/>
      </w:rPr>
      <w:t xml:space="preserve">Page </w:t>
    </w:r>
    <w:r>
      <w:fldChar w:fldCharType="begin"/>
    </w:r>
    <w:r>
      <w:instrText xml:space="preserve"> PAGE   \* MERGEFORMAT </w:instrText>
    </w:r>
    <w:r>
      <w:fldChar w:fldCharType="separate"/>
    </w:r>
    <w:r>
      <w:rPr>
        <w:rFonts w:ascii="微软雅黑" w:eastAsia="微软雅黑" w:hAnsi="微软雅黑" w:cs="微软雅黑"/>
        <w:sz w:val="21"/>
      </w:rPr>
      <w:t>1</w:t>
    </w:r>
    <w:r>
      <w:rPr>
        <w:rFonts w:ascii="微软雅黑" w:eastAsia="微软雅黑" w:hAnsi="微软雅黑" w:cs="微软雅黑"/>
        <w:sz w:val="21"/>
      </w:rPr>
      <w:fldChar w:fldCharType="end"/>
    </w:r>
    <w:r>
      <w:rPr>
        <w:rFonts w:ascii="微软雅黑" w:eastAsia="微软雅黑" w:hAnsi="微软雅黑" w:cs="微软雅黑"/>
        <w:sz w:val="21"/>
      </w:rPr>
      <w:t xml:space="preserve"> of </w:t>
    </w:r>
    <w:fldSimple w:instr=" NUMPAGES   \* MERGEFORMAT ">
      <w:r>
        <w:rPr>
          <w:rFonts w:ascii="微软雅黑" w:eastAsia="微软雅黑" w:hAnsi="微软雅黑" w:cs="微软雅黑"/>
          <w:sz w:val="21"/>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4BDF3" w14:textId="77777777" w:rsidR="00B954D8" w:rsidRDefault="00B954D8">
      <w:pPr>
        <w:spacing w:after="0"/>
      </w:pPr>
      <w:r>
        <w:separator/>
      </w:r>
    </w:p>
  </w:footnote>
  <w:footnote w:type="continuationSeparator" w:id="0">
    <w:p w14:paraId="2A8EB41F" w14:textId="77777777" w:rsidR="00B954D8" w:rsidRDefault="00B954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70ED4"/>
    <w:multiLevelType w:val="multilevel"/>
    <w:tmpl w:val="18970ED4"/>
    <w:lvl w:ilvl="0">
      <w:start w:val="1"/>
      <w:numFmt w:val="decimal"/>
      <w:lvlText w:val="[%1]"/>
      <w:lvlJc w:val="left"/>
      <w:pPr>
        <w:ind w:left="422"/>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16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2">
      <w:start w:val="1"/>
      <w:numFmt w:val="lowerRoman"/>
      <w:lvlText w:val="%3"/>
      <w:lvlJc w:val="left"/>
      <w:pPr>
        <w:ind w:left="188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3">
      <w:start w:val="1"/>
      <w:numFmt w:val="decimal"/>
      <w:lvlText w:val="%4"/>
      <w:lvlJc w:val="left"/>
      <w:pPr>
        <w:ind w:left="260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4">
      <w:start w:val="1"/>
      <w:numFmt w:val="lowerLetter"/>
      <w:lvlText w:val="%5"/>
      <w:lvlJc w:val="left"/>
      <w:pPr>
        <w:ind w:left="332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5">
      <w:start w:val="1"/>
      <w:numFmt w:val="lowerRoman"/>
      <w:lvlText w:val="%6"/>
      <w:lvlJc w:val="left"/>
      <w:pPr>
        <w:ind w:left="404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6">
      <w:start w:val="1"/>
      <w:numFmt w:val="decimal"/>
      <w:lvlText w:val="%7"/>
      <w:lvlJc w:val="left"/>
      <w:pPr>
        <w:ind w:left="476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7">
      <w:start w:val="1"/>
      <w:numFmt w:val="lowerLetter"/>
      <w:lvlText w:val="%8"/>
      <w:lvlJc w:val="left"/>
      <w:pPr>
        <w:ind w:left="548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8">
      <w:start w:val="1"/>
      <w:numFmt w:val="lowerRoman"/>
      <w:lvlText w:val="%9"/>
      <w:lvlJc w:val="left"/>
      <w:pPr>
        <w:ind w:left="6205"/>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abstractNum>
  <w:abstractNum w:abstractNumId="1" w15:restartNumberingAfterBreak="0">
    <w:nsid w:val="49674629"/>
    <w:multiLevelType w:val="multilevel"/>
    <w:tmpl w:val="49674629"/>
    <w:lvl w:ilvl="0">
      <w:start w:val="6"/>
      <w:numFmt w:val="decimal"/>
      <w:lvlText w:val="[%1]"/>
      <w:lvlJc w:val="left"/>
      <w:pPr>
        <w:ind w:left="363"/>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lowerLetter"/>
      <w:lvlText w:val="%2"/>
      <w:lvlJc w:val="left"/>
      <w:pPr>
        <w:ind w:left="110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2">
      <w:start w:val="1"/>
      <w:numFmt w:val="lowerRoman"/>
      <w:lvlText w:val="%3"/>
      <w:lvlJc w:val="left"/>
      <w:pPr>
        <w:ind w:left="182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3">
      <w:start w:val="1"/>
      <w:numFmt w:val="decimal"/>
      <w:lvlText w:val="%4"/>
      <w:lvlJc w:val="left"/>
      <w:pPr>
        <w:ind w:left="254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4">
      <w:start w:val="1"/>
      <w:numFmt w:val="lowerLetter"/>
      <w:lvlText w:val="%5"/>
      <w:lvlJc w:val="left"/>
      <w:pPr>
        <w:ind w:left="326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5">
      <w:start w:val="1"/>
      <w:numFmt w:val="lowerRoman"/>
      <w:lvlText w:val="%6"/>
      <w:lvlJc w:val="left"/>
      <w:pPr>
        <w:ind w:left="398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6">
      <w:start w:val="1"/>
      <w:numFmt w:val="decimal"/>
      <w:lvlText w:val="%7"/>
      <w:lvlJc w:val="left"/>
      <w:pPr>
        <w:ind w:left="470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7">
      <w:start w:val="1"/>
      <w:numFmt w:val="lowerLetter"/>
      <w:lvlText w:val="%8"/>
      <w:lvlJc w:val="left"/>
      <w:pPr>
        <w:ind w:left="542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8">
      <w:start w:val="1"/>
      <w:numFmt w:val="lowerRoman"/>
      <w:lvlText w:val="%9"/>
      <w:lvlJc w:val="left"/>
      <w:pPr>
        <w:ind w:left="614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abstractNum>
  <w:abstractNum w:abstractNumId="2" w15:restartNumberingAfterBreak="0">
    <w:nsid w:val="7C03434D"/>
    <w:multiLevelType w:val="multilevel"/>
    <w:tmpl w:val="7C03434D"/>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2"/>
        <w:szCs w:val="22"/>
        <w:u w:val="none" w:color="000000"/>
        <w:shd w:val="clear" w:color="auto" w:fill="auto"/>
        <w:vertAlign w:val="baseline"/>
      </w:rPr>
    </w:lvl>
    <w:lvl w:ilvl="2">
      <w:start w:val="1"/>
      <w:numFmt w:val="decimal"/>
      <w:pStyle w:val="3"/>
      <w:lvlText w:val="%1.%2.%3."/>
      <w:lvlJc w:val="left"/>
      <w:pPr>
        <w:ind w:left="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iCs/>
        <w:strike w:val="0"/>
        <w:dstrike w:val="0"/>
        <w:color w:val="000000"/>
        <w:sz w:val="21"/>
        <w:szCs w:val="21"/>
        <w:u w:val="none" w:color="000000"/>
        <w:shd w:val="clear" w:color="auto" w:fill="auto"/>
        <w:vertAlign w:val="baseline"/>
      </w:rPr>
    </w:lvl>
  </w:abstractNum>
  <w:num w:numId="1" w16cid:durableId="1406344080">
    <w:abstractNumId w:val="2"/>
  </w:num>
  <w:num w:numId="2" w16cid:durableId="1162507390">
    <w:abstractNumId w:val="0"/>
  </w:num>
  <w:num w:numId="3" w16cid:durableId="826671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2D5"/>
    <w:rsid w:val="FFF70951"/>
    <w:rsid w:val="001E567D"/>
    <w:rsid w:val="0027523F"/>
    <w:rsid w:val="00457B7C"/>
    <w:rsid w:val="0055684A"/>
    <w:rsid w:val="005A559A"/>
    <w:rsid w:val="0060241D"/>
    <w:rsid w:val="00654558"/>
    <w:rsid w:val="006C64DD"/>
    <w:rsid w:val="007472D5"/>
    <w:rsid w:val="009B4FEE"/>
    <w:rsid w:val="009E569F"/>
    <w:rsid w:val="00A13C62"/>
    <w:rsid w:val="00A65688"/>
    <w:rsid w:val="00AA31F1"/>
    <w:rsid w:val="00B64561"/>
    <w:rsid w:val="00B954D8"/>
    <w:rsid w:val="00BF55F9"/>
    <w:rsid w:val="00C328F2"/>
    <w:rsid w:val="00E82AFC"/>
    <w:rsid w:val="577B2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DB18"/>
  <w15:docId w15:val="{4A5A4F6F-ED9C-475F-9C73-F76370FC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1">
    <w:name w:val="heading 1"/>
    <w:next w:val="a"/>
    <w:link w:val="10"/>
    <w:uiPriority w:val="9"/>
    <w:qFormat/>
    <w:pPr>
      <w:keepNext/>
      <w:keepLines/>
      <w:numPr>
        <w:numId w:val="1"/>
      </w:numPr>
      <w:spacing w:after="113" w:line="259" w:lineRule="auto"/>
      <w:ind w:left="129" w:hanging="10"/>
      <w:outlineLvl w:val="0"/>
    </w:pPr>
    <w:rPr>
      <w:rFonts w:eastAsia="Times New Roman"/>
      <w:b/>
      <w:color w:val="000000"/>
      <w:kern w:val="2"/>
      <w:sz w:val="24"/>
      <w:szCs w:val="24"/>
      <w14:ligatures w14:val="standardContextual"/>
    </w:rPr>
  </w:style>
  <w:style w:type="paragraph" w:styleId="2">
    <w:name w:val="heading 2"/>
    <w:next w:val="a"/>
    <w:link w:val="20"/>
    <w:uiPriority w:val="9"/>
    <w:unhideWhenUsed/>
    <w:qFormat/>
    <w:pPr>
      <w:keepNext/>
      <w:keepLines/>
      <w:numPr>
        <w:ilvl w:val="1"/>
        <w:numId w:val="1"/>
      </w:numPr>
      <w:spacing w:after="58" w:line="259" w:lineRule="auto"/>
      <w:ind w:left="129" w:hanging="10"/>
      <w:jc w:val="both"/>
      <w:outlineLvl w:val="1"/>
    </w:pPr>
    <w:rPr>
      <w:rFonts w:eastAsia="Times New Roman"/>
      <w:b/>
      <w:color w:val="000000"/>
      <w:kern w:val="2"/>
      <w:sz w:val="22"/>
      <w:szCs w:val="24"/>
      <w14:ligatures w14:val="standardContextual"/>
    </w:rPr>
  </w:style>
  <w:style w:type="paragraph" w:styleId="3">
    <w:name w:val="heading 3"/>
    <w:next w:val="a"/>
    <w:link w:val="30"/>
    <w:uiPriority w:val="9"/>
    <w:unhideWhenUsed/>
    <w:qFormat/>
    <w:pPr>
      <w:keepNext/>
      <w:keepLines/>
      <w:numPr>
        <w:ilvl w:val="2"/>
        <w:numId w:val="1"/>
      </w:numPr>
      <w:spacing w:after="68" w:line="259" w:lineRule="auto"/>
      <w:ind w:left="129" w:hanging="10"/>
      <w:outlineLvl w:val="2"/>
    </w:pPr>
    <w:rPr>
      <w:rFonts w:eastAsia="Times New Roman"/>
      <w:i/>
      <w:color w:val="000000"/>
      <w:kern w:val="2"/>
      <w:sz w:val="2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character" w:styleId="a4">
    <w:name w:val="Strong"/>
    <w:basedOn w:val="a0"/>
    <w:uiPriority w:val="22"/>
    <w:qFormat/>
    <w:rPr>
      <w:b/>
    </w:rPr>
  </w:style>
  <w:style w:type="character" w:styleId="a5">
    <w:name w:val="Emphasis"/>
    <w:basedOn w:val="a0"/>
    <w:uiPriority w:val="20"/>
    <w:qFormat/>
    <w:rPr>
      <w:i/>
    </w:rPr>
  </w:style>
  <w:style w:type="character" w:customStyle="1" w:styleId="30">
    <w:name w:val="标题 3 字符"/>
    <w:link w:val="3"/>
    <w:rPr>
      <w:rFonts w:ascii="Times New Roman" w:eastAsia="Times New Roman" w:hAnsi="Times New Roman" w:cs="Times New Roman"/>
      <w:i/>
      <w:color w:val="000000"/>
      <w:sz w:val="21"/>
    </w:rPr>
  </w:style>
  <w:style w:type="character" w:customStyle="1" w:styleId="20">
    <w:name w:val="标题 2 字符"/>
    <w:link w:val="2"/>
    <w:rPr>
      <w:rFonts w:ascii="Times New Roman" w:eastAsia="Times New Roman" w:hAnsi="Times New Roman" w:cs="Times New Roman"/>
      <w:b/>
      <w:color w:val="000000"/>
      <w:sz w:val="22"/>
    </w:rPr>
  </w:style>
  <w:style w:type="character" w:customStyle="1" w:styleId="10">
    <w:name w:val="标题 1 字符"/>
    <w:link w:val="1"/>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hyperlink" Target="http://dx.doi.org/10.1067/mhl.2002.124554" TargetMode="External"/><Relationship Id="rId26" Type="http://schemas.openxmlformats.org/officeDocument/2006/relationships/hyperlink" Target="http://dx.doi.org/10.1093/eurheartj/ehab724.0794" TargetMode="External"/><Relationship Id="rId39" Type="http://schemas.openxmlformats.org/officeDocument/2006/relationships/hyperlink" Target="http://dx.doi.org/10.3724/SP.J.1263.2011.00082" TargetMode="External"/><Relationship Id="rId21" Type="http://schemas.openxmlformats.org/officeDocument/2006/relationships/hyperlink" Target="http://dx.doi.org/10.1093/eurheartj/ehaa640" TargetMode="External"/><Relationship Id="rId34" Type="http://schemas.openxmlformats.org/officeDocument/2006/relationships/hyperlink" Target="http://dx.doi.org/10.1109/ICCV.2017.74" TargetMode="External"/><Relationship Id="rId42" Type="http://schemas.openxmlformats.org/officeDocument/2006/relationships/hyperlink" Target="http://dx.doi.org/10.1016/j.ajem.2011.06.005" TargetMode="External"/><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x.doi.org/10.1161/CIR.0000000000001063" TargetMode="External"/><Relationship Id="rId29" Type="http://schemas.openxmlformats.org/officeDocument/2006/relationships/hyperlink" Target="http://dx.doi.org/10.3390/signals2030033" TargetMode="External"/><Relationship Id="rId11" Type="http://schemas.openxmlformats.org/officeDocument/2006/relationships/footer" Target="footer4.xml"/><Relationship Id="rId24" Type="http://schemas.openxmlformats.org/officeDocument/2006/relationships/hyperlink" Target="http://dx.doi.org/10.1038/s41598-025-30936-z" TargetMode="External"/><Relationship Id="rId32" Type="http://schemas.openxmlformats.org/officeDocument/2006/relationships/hyperlink" Target="http://dx.doi.org/10.1109/CVPR52733.2024.00595" TargetMode="External"/><Relationship Id="rId37" Type="http://schemas.openxmlformats.org/officeDocument/2006/relationships/hyperlink" Target="http://arxiv.org/abs/1906.08172" TargetMode="External"/><Relationship Id="rId40" Type="http://schemas.openxmlformats.org/officeDocument/2006/relationships/hyperlink" Target="http://dx.doi.org/10.3233/CH-16206" TargetMode="Externa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yperlink" Target="http://dx.doi.org/10.1161/CIR.0000000000001063" TargetMode="External"/><Relationship Id="rId23" Type="http://schemas.openxmlformats.org/officeDocument/2006/relationships/hyperlink" Target="http://dx.doi.org/10.1038/s41598-025-30936-z" TargetMode="External"/><Relationship Id="rId28" Type="http://schemas.openxmlformats.org/officeDocument/2006/relationships/hyperlink" Target="http://dx.doi.org/10.1016/j.jjcc.2025.10.007" TargetMode="External"/><Relationship Id="rId36" Type="http://schemas.openxmlformats.org/officeDocument/2006/relationships/hyperlink" Target="https://arxiv.org/abs/1906.08172" TargetMode="External"/><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dx.doi.org/10.1038/s41598-018-28804-0" TargetMode="External"/><Relationship Id="rId31" Type="http://schemas.openxmlformats.org/officeDocument/2006/relationships/hyperlink" Target="http://dx.doi.org/10.1109/CVPR52733.2024.00595" TargetMode="External"/><Relationship Id="rId44" Type="http://schemas.openxmlformats.org/officeDocument/2006/relationships/hyperlink" Target="http://dx.doi.org/10.1136/heartjnl-2011-301247"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dx.doi.org/10.1093/eurheartj/ehab368" TargetMode="External"/><Relationship Id="rId22" Type="http://schemas.openxmlformats.org/officeDocument/2006/relationships/hyperlink" Target="http://dx.doi.org/10.1093/eurheartj/ehaa640" TargetMode="External"/><Relationship Id="rId27" Type="http://schemas.openxmlformats.org/officeDocument/2006/relationships/hyperlink" Target="http://dx.doi.org/10.1016/j.jjcc.2025.10.007" TargetMode="External"/><Relationship Id="rId30" Type="http://schemas.openxmlformats.org/officeDocument/2006/relationships/hyperlink" Target="http://dx.doi.org/10.1038/s44325-026-00140-7" TargetMode="External"/><Relationship Id="rId35" Type="http://schemas.openxmlformats.org/officeDocument/2006/relationships/hyperlink" Target="https://arxiv.org/abs/1906.08172" TargetMode="External"/><Relationship Id="rId43" Type="http://schemas.openxmlformats.org/officeDocument/2006/relationships/hyperlink" Target="http://dx.doi.org/10.1136/heartjnl-2011-301247"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hyperlink" Target="http://dx.doi.org/10.1161/CIR.0000000000001063" TargetMode="External"/><Relationship Id="rId25" Type="http://schemas.openxmlformats.org/officeDocument/2006/relationships/hyperlink" Target="http://dx.doi.org/10.1093/eurheartj/ehab724.0794" TargetMode="External"/><Relationship Id="rId33" Type="http://schemas.openxmlformats.org/officeDocument/2006/relationships/hyperlink" Target="http://dx.doi.org/10.1109/CVPR.2016.90" TargetMode="External"/><Relationship Id="rId38" Type="http://schemas.openxmlformats.org/officeDocument/2006/relationships/hyperlink" Target="http://dx.doi.org/10.1007/978-3-030-01261-8_20" TargetMode="External"/><Relationship Id="rId46" Type="http://schemas.openxmlformats.org/officeDocument/2006/relationships/footer" Target="footer8.xml"/><Relationship Id="rId20" Type="http://schemas.openxmlformats.org/officeDocument/2006/relationships/hyperlink" Target="http://dx.doi.org/10.1038/nature14539" TargetMode="External"/><Relationship Id="rId41" Type="http://schemas.openxmlformats.org/officeDocument/2006/relationships/hyperlink" Target="http://dx.doi.org/10.1038/sj.mn.780021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2018</Words>
  <Characters>11507</Characters>
  <Application>Microsoft Office Word</Application>
  <DocSecurity>0</DocSecurity>
  <Lines>95</Lines>
  <Paragraphs>26</Paragraphs>
  <ScaleCrop>false</ScaleCrop>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Complex STM Content</dc:subject>
  <dc:creator>, , </dc:creator>
  <dc:description>Discussion revised; in-text citation numbers preserve whole-manuscript first-appearance ordering and the existing reference list order.</dc:description>
  <cp:lastModifiedBy>庆浩 李</cp:lastModifiedBy>
  <cp:revision>12</cp:revision>
  <dcterms:created xsi:type="dcterms:W3CDTF">2026-08-15T14:45:00Z</dcterms:created>
  <dcterms:modified xsi:type="dcterms:W3CDTF">2026-08-19T06:31:00Z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91E8D7A4368E6B9C49B4816A4F027D34_42</vt:lpwstr>
  </property>
</Properties>
</file>