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7EA" w:rsidRDefault="00AE4196" w:rsidP="00F373D5">
      <w:pPr>
        <w:pStyle w:val="Heading1"/>
        <w:keepNext w:val="0"/>
        <w:keepLines w:val="0"/>
        <w:spacing w:before="480" w:after="120"/>
        <w:ind w:left="0" w:firstLine="0"/>
        <w:rPr>
          <w:b/>
          <w:sz w:val="46"/>
          <w:szCs w:val="46"/>
        </w:rPr>
      </w:pPr>
      <w:r>
        <w:rPr>
          <w:b/>
          <w:sz w:val="46"/>
          <w:szCs w:val="46"/>
        </w:rPr>
        <w:t>1 Introduction and Literature Review</w:t>
      </w:r>
    </w:p>
    <w:p w:rsidR="003267EA" w:rsidRPr="00491E37" w:rsidRDefault="00AE4196">
      <w:pPr>
        <w:pBdr>
          <w:top w:val="nil"/>
          <w:left w:val="nil"/>
          <w:bottom w:val="nil"/>
          <w:right w:val="nil"/>
          <w:between w:val="nil"/>
        </w:pBdr>
        <w:spacing w:before="240" w:after="240"/>
        <w:rPr>
          <w:rFonts w:hint="eastAsia"/>
        </w:rPr>
      </w:pPr>
      <w:r>
        <w:t>Though widely used in portfolio selection, mean-variance (MV) optimization has raised much debate since first introduced by Markowitz (1952). A significant limitation of MV optimization is it is very sensitive to errors in input parameters, particularly th</w:t>
      </w:r>
      <w:r>
        <w:t xml:space="preserve">e expected return and the covariance matrix for the returns. Chopra and </w:t>
      </w:r>
      <w:proofErr w:type="spellStart"/>
      <w:r>
        <w:t>Ziemba</w:t>
      </w:r>
      <w:proofErr w:type="spellEnd"/>
      <w:r>
        <w:t xml:space="preserve"> (1993) examine the effect of misspecification in mean, variance and covariance in terms of cash equivalent loss under the assumptions that no short selling, a negative exponenti</w:t>
      </w:r>
      <w:r>
        <w:t>al utility function, a joint normal distribution of returns, and investors have constant absolute risk aversion. They find that loss resulting from misspecification in mean is the most substantial and errors in mean are even more important at higher risk t</w:t>
      </w:r>
      <w:r>
        <w:t xml:space="preserve">olerance levels. Specifically, errors in mean are around ten times as important as errors in variance, and 20 times as errors in covariance. </w:t>
      </w:r>
    </w:p>
    <w:p w:rsidR="003267EA" w:rsidRDefault="00AE4196">
      <w:r>
        <w:t>Attempts have been made to reduce the effects of estimation errors and reach a more stable and better mean-varian</w:t>
      </w:r>
      <w:r>
        <w:t>ce optimal portfolio. Ceria and Stubbs (2006) discuss robust optimization, a methodology that directly and explicitly considers estimation errors in unknown parameters in the optimization problem, and largely reduces the negative effect of errors in estima</w:t>
      </w:r>
      <w:r>
        <w:t xml:space="preserve">ted expected returns. They argue that particularly for commonly used constraints, optimal portfolio calculated using </w:t>
      </w:r>
      <w:proofErr w:type="spellStart"/>
      <w:r>
        <w:t>misspecified</w:t>
      </w:r>
      <w:proofErr w:type="spellEnd"/>
      <w:r>
        <w:t xml:space="preserve"> expected return estimates gives significantly different weights as the true optimal portfolio and overestimates expected retur</w:t>
      </w:r>
      <w:r>
        <w:t xml:space="preserve">n. In addition, they introduce deviations of robust optimization that alleviate the ill-effects of estimation error more effectively than standard form. </w:t>
      </w:r>
    </w:p>
    <w:p w:rsidR="003267EA" w:rsidRDefault="003267EA"/>
    <w:p w:rsidR="003267EA" w:rsidRDefault="00AE4196">
      <w:r>
        <w:t xml:space="preserve">We first tested effects of errors in inputs using Chopra and </w:t>
      </w:r>
      <w:proofErr w:type="spellStart"/>
      <w:r>
        <w:t>Ziemba’s</w:t>
      </w:r>
      <w:proofErr w:type="spellEnd"/>
      <w:r>
        <w:t xml:space="preserve"> (1993) data, and affirmed that </w:t>
      </w:r>
      <w:r>
        <w:t xml:space="preserve">errors in mean have a larger impact on optimal portfolio than errors in variance and </w:t>
      </w:r>
      <w:proofErr w:type="gramStart"/>
      <w:r>
        <w:t>covariance</w:t>
      </w:r>
      <w:proofErr w:type="gramEnd"/>
      <w:r>
        <w:t>. We also conducted robust optimization and calculated efficient frontiers accordingly, and showed improvements in effects of errors in mean using standard robus</w:t>
      </w:r>
      <w:r>
        <w:t xml:space="preserve">t optimization and covariance using shrinkage estimates of covariance matrix. Finally we </w:t>
      </w:r>
      <w:proofErr w:type="spellStart"/>
      <w:r>
        <w:t>backtested</w:t>
      </w:r>
      <w:proofErr w:type="spellEnd"/>
      <w:r>
        <w:t xml:space="preserve"> our results using selected ETFs. </w:t>
      </w:r>
    </w:p>
    <w:p w:rsidR="003267EA" w:rsidRDefault="00AE4196">
      <w:pPr>
        <w:pStyle w:val="Heading1"/>
        <w:keepNext w:val="0"/>
        <w:keepLines w:val="0"/>
        <w:spacing w:before="480" w:after="120"/>
        <w:ind w:left="0" w:firstLine="0"/>
        <w:rPr>
          <w:b/>
          <w:sz w:val="46"/>
          <w:szCs w:val="46"/>
        </w:rPr>
      </w:pPr>
      <w:bookmarkStart w:id="0" w:name="_r1je1u8h8wqj" w:colFirst="0" w:colLast="0"/>
      <w:bookmarkEnd w:id="0"/>
      <w:r>
        <w:rPr>
          <w:b/>
          <w:sz w:val="46"/>
          <w:szCs w:val="46"/>
        </w:rPr>
        <w:t>2 Empirical Study and Results</w:t>
      </w:r>
    </w:p>
    <w:p w:rsidR="003267EA" w:rsidRDefault="00AE4196">
      <w:pPr>
        <w:pStyle w:val="Heading2"/>
        <w:keepNext w:val="0"/>
        <w:keepLines w:val="0"/>
        <w:spacing w:after="80"/>
        <w:rPr>
          <w:b/>
          <w:sz w:val="34"/>
          <w:szCs w:val="34"/>
        </w:rPr>
      </w:pPr>
      <w:bookmarkStart w:id="1" w:name="_nzvl80r3mend" w:colFirst="0" w:colLast="0"/>
      <w:bookmarkEnd w:id="1"/>
      <w:r>
        <w:rPr>
          <w:b/>
          <w:sz w:val="34"/>
          <w:szCs w:val="34"/>
        </w:rPr>
        <w:t>2.1 Data and Working Environment</w:t>
      </w:r>
    </w:p>
    <w:p w:rsidR="003267EA" w:rsidRDefault="00AE4196">
      <w:pPr>
        <w:spacing w:before="240" w:after="240"/>
      </w:pPr>
      <w:r>
        <w:t>For empirical study, we used 2 datasets in this part. The f</w:t>
      </w:r>
      <w:r>
        <w:t xml:space="preserve">irst one is a simulated dataset, whose return series is generated according to the given mean vector and covariance matrix. The second one is collected from Yahoo Finance, consisting of monthly closing price data of 9 </w:t>
      </w:r>
      <w:proofErr w:type="gramStart"/>
      <w:r>
        <w:t>ETFs[</w:t>
      </w:r>
      <w:proofErr w:type="gramEnd"/>
      <w:r>
        <w:t>1] from January 2011 to July 2020</w:t>
      </w:r>
      <w:r>
        <w:t>.</w:t>
      </w:r>
    </w:p>
    <w:p w:rsidR="003267EA" w:rsidRDefault="00AE4196">
      <w:pPr>
        <w:spacing w:before="240" w:after="240"/>
      </w:pPr>
      <w:r>
        <w:lastRenderedPageBreak/>
        <w:t>To deal with all of the optimization problems in our study, we applied the CVXOPT package for convex optimization based on the Python programming language.</w:t>
      </w:r>
    </w:p>
    <w:p w:rsidR="003267EA" w:rsidRDefault="00AE4196">
      <w:pPr>
        <w:pStyle w:val="Heading2"/>
        <w:keepNext w:val="0"/>
        <w:keepLines w:val="0"/>
        <w:spacing w:after="80"/>
        <w:rPr>
          <w:b/>
          <w:sz w:val="34"/>
          <w:szCs w:val="34"/>
        </w:rPr>
      </w:pPr>
      <w:bookmarkStart w:id="2" w:name="_fyki39jc4szw" w:colFirst="0" w:colLast="0"/>
      <w:bookmarkEnd w:id="2"/>
      <w:r>
        <w:rPr>
          <w:b/>
          <w:sz w:val="34"/>
          <w:szCs w:val="34"/>
        </w:rPr>
        <w:t>2.2 The Effects of Errors in Inputs</w:t>
      </w:r>
    </w:p>
    <w:p w:rsidR="003267EA" w:rsidRDefault="00AE4196">
      <w:pPr>
        <w:spacing w:before="240" w:after="240"/>
      </w:pPr>
      <w:r>
        <w:t>Similar to Chopra (1993), we used cash equivalent loss (CEL) t</w:t>
      </w:r>
      <w:r>
        <w:t xml:space="preserve">o measure the effects of errors in means, variances and </w:t>
      </w:r>
      <w:proofErr w:type="spellStart"/>
      <w:r>
        <w:t>covariances</w:t>
      </w:r>
      <w:proofErr w:type="spellEnd"/>
      <w:r>
        <w:t xml:space="preserve"> separately. Assuming a negative exponential utility function, the cash equivalent (CE) value of the portfolio is calculated as the inverse function of the utility function:</w:t>
      </w:r>
    </w:p>
    <w:p w:rsidR="003267EA" w:rsidRDefault="00AE4196">
      <w:pPr>
        <w:spacing w:before="240" w:after="240"/>
        <w:jc w:val="center"/>
      </w:pPr>
      <m:oMathPara>
        <m:oMath>
          <m:r>
            <w:rPr>
              <w:rFonts w:ascii="Cambria Math" w:hAnsi="Cambria Math"/>
            </w:rPr>
            <m:t>CE</m:t>
          </m:r>
          <m:r>
            <w:rPr>
              <w:rFonts w:ascii="Cambria Math" w:hAnsi="Cambria Math"/>
            </w:rPr>
            <m:t xml:space="preserve"> = </m:t>
          </m:r>
          <m:sSup>
            <m:sSupPr>
              <m:ctrlPr>
                <w:rPr>
                  <w:rFonts w:ascii="Cambria Math" w:hAnsi="Cambria Math"/>
                </w:rPr>
              </m:ctrlPr>
            </m:sSupPr>
            <m:e>
              <m:r>
                <w:rPr>
                  <w:rFonts w:ascii="Cambria Math" w:hAnsi="Cambria Math"/>
                </w:rPr>
                <m:t>U</m:t>
              </m:r>
            </m:e>
            <m:sup>
              <m:r>
                <w:rPr>
                  <w:rFonts w:ascii="Cambria Math" w:hAnsi="Cambria Math"/>
                </w:rPr>
                <m:t>-</m:t>
              </m:r>
              <m:r>
                <w:rPr>
                  <w:rFonts w:ascii="Cambria Math" w:hAnsi="Cambria Math"/>
                </w:rPr>
                <m:t>1</m:t>
              </m:r>
            </m:sup>
          </m:sSup>
          <m:r>
            <w:rPr>
              <w:rFonts w:ascii="Cambria Math" w:hAnsi="Cambria Math"/>
            </w:rPr>
            <m:t>(</m:t>
          </m:r>
          <m:r>
            <w:rPr>
              <w:rFonts w:ascii="Cambria Math" w:hAnsi="Cambria Math"/>
            </w:rPr>
            <m:t>Z</m:t>
          </m:r>
          <m:r>
            <w:rPr>
              <w:rFonts w:ascii="Cambria Math" w:hAnsi="Cambria Math"/>
            </w:rPr>
            <m:t>(</m:t>
          </m:r>
          <m:r>
            <w:rPr>
              <w:rFonts w:ascii="Cambria Math" w:hAnsi="Cambria Math"/>
            </w:rPr>
            <m:t>w</m:t>
          </m:r>
          <m:r>
            <w:rPr>
              <w:rFonts w:ascii="Cambria Math" w:hAnsi="Cambria Math"/>
            </w:rPr>
            <m:t xml:space="preserve">)) = </m:t>
          </m:r>
          <m:nary>
            <m:naryPr>
              <m:chr m:val="∑"/>
              <m:ctrlPr>
                <w:rPr>
                  <w:rFonts w:ascii="Cambria Math" w:hAnsi="Cambria Math"/>
                </w:rPr>
              </m:ctrlPr>
            </m:naryPr>
            <m:sub>
              <m:r>
                <w:rPr>
                  <w:rFonts w:ascii="Cambria Math" w:hAnsi="Cambria Math"/>
                </w:rPr>
                <m:t>i</m:t>
              </m:r>
              <m:r>
                <w:rPr>
                  <w:rFonts w:ascii="Cambria Math" w:hAnsi="Cambria Math"/>
                </w:rPr>
                <m:t xml:space="preserve"> = 1</m:t>
              </m:r>
            </m:sub>
            <m:sup>
              <m:r>
                <w:rPr>
                  <w:rFonts w:ascii="Cambria Math" w:hAnsi="Cambria Math"/>
                </w:rPr>
                <m:t>N</m:t>
              </m:r>
            </m:sup>
            <m:e>
              <m: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nary>
          <m:r>
            <w:rPr>
              <w:rFonts w:ascii="Cambria Math" w:hAnsi="Cambria Math"/>
            </w:rPr>
            <m:t xml:space="preserve"> - </m:t>
          </m:r>
          <m:f>
            <m:fPr>
              <m:ctrlPr>
                <w:rPr>
                  <w:rFonts w:ascii="Cambria Math" w:hAnsi="Cambria Math"/>
                </w:rPr>
              </m:ctrlPr>
            </m:fPr>
            <m:num>
              <m:r>
                <w:rPr>
                  <w:rFonts w:ascii="Cambria Math" w:hAnsi="Cambria Math"/>
                </w:rPr>
                <m:t>1</m:t>
              </m:r>
            </m:num>
            <m:den>
              <m:r>
                <w:rPr>
                  <w:rFonts w:ascii="Cambria Math" w:hAnsi="Cambria Math"/>
                </w:rPr>
                <m:t>t</m:t>
              </m:r>
            </m:den>
          </m:f>
          <m:nary>
            <m:naryPr>
              <m:chr m:val="∑"/>
              <m:ctrlPr>
                <w:rPr>
                  <w:rFonts w:ascii="Cambria Math" w:hAnsi="Cambria Math"/>
                </w:rPr>
              </m:ctrlPr>
            </m:naryPr>
            <m:sub>
              <m:r>
                <w:rPr>
                  <w:rFonts w:ascii="Cambria Math" w:hAnsi="Cambria Math"/>
                </w:rPr>
                <m:t>i</m:t>
              </m:r>
              <m:r>
                <w:rPr>
                  <w:rFonts w:ascii="Cambria Math" w:hAnsi="Cambria Math"/>
                </w:rPr>
                <m:t xml:space="preserve"> = 1</m:t>
              </m:r>
            </m:sub>
            <m:sup>
              <m:r>
                <w:rPr>
                  <w:rFonts w:ascii="Cambria Math" w:hAnsi="Cambria Math"/>
                </w:rPr>
                <m:t>N</m:t>
              </m:r>
            </m:sup>
            <m:e>
              <m:nary>
                <m:naryPr>
                  <m:chr m:val="∑"/>
                  <m:ctrlPr>
                    <w:rPr>
                      <w:rFonts w:ascii="Cambria Math" w:hAnsi="Cambria Math"/>
                    </w:rPr>
                  </m:ctrlPr>
                </m:naryPr>
                <m:sub>
                  <m:r>
                    <w:rPr>
                      <w:rFonts w:ascii="Cambria Math" w:hAnsi="Cambria Math"/>
                    </w:rPr>
                    <m:t>j = 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E(</m:t>
                  </m:r>
                  <m:sSub>
                    <m:sSubPr>
                      <m:ctrlPr>
                        <w:rPr>
                          <w:rFonts w:ascii="Cambria Math" w:hAnsi="Cambria Math"/>
                        </w:rPr>
                      </m:ctrlPr>
                    </m:sSubPr>
                    <m:e>
                      <m:r>
                        <w:rPr>
                          <w:rFonts w:ascii="Cambria Math" w:hAnsi="Cambria Math"/>
                        </w:rPr>
                        <m:t>σ</m:t>
                      </m:r>
                    </m:e>
                    <m:sub>
                      <m:r>
                        <w:rPr>
                          <w:rFonts w:ascii="Cambria Math" w:hAnsi="Cambria Math"/>
                        </w:rPr>
                        <m:t>ij</m:t>
                      </m:r>
                    </m:sub>
                  </m:sSub>
                  <m:r>
                    <w:rPr>
                      <w:rFonts w:ascii="Cambria Math" w:hAnsi="Cambria Math"/>
                    </w:rPr>
                    <m:t>)</m:t>
                  </m:r>
                </m:e>
              </m:nary>
            </m:e>
          </m:nary>
          <m:r>
            <w:rPr>
              <w:rFonts w:ascii="Cambria Math" w:hAnsi="Cambria Math"/>
            </w:rPr>
            <m:t xml:space="preserve"> </m:t>
          </m:r>
        </m:oMath>
      </m:oMathPara>
    </w:p>
    <w:p w:rsidR="003267EA" w:rsidRDefault="00AE4196">
      <w:pPr>
        <w:spacing w:before="240" w:after="240"/>
      </w:pPr>
      <w:proofErr w:type="gramStart"/>
      <w:r>
        <w:t>where</w:t>
      </w:r>
      <w:proofErr w:type="gramEnd"/>
      <w:r>
        <w:t xml:space="preserve"> </w:t>
      </w:r>
      <w:proofErr w:type="spellStart"/>
      <w:r>
        <w:t>t</w:t>
      </w:r>
      <w:proofErr w:type="spellEnd"/>
      <w:r>
        <w:t xml:space="preserve"> is the risk tolerance parameter.</w:t>
      </w:r>
    </w:p>
    <w:p w:rsidR="003267EA" w:rsidRDefault="00AE4196">
      <w:pPr>
        <w:spacing w:before="240" w:after="240"/>
      </w:pPr>
      <w:r>
        <w:t>Using the original mean vector and covariance matrix to conduct Markowitz mean-variance optimization and get optimal portfolio o, we could calcula</w:t>
      </w:r>
      <w:r>
        <w:t xml:space="preserve">te the cash equivalent value of this optimal portfolio, denoting </w:t>
      </w:r>
      <w:proofErr w:type="gramStart"/>
      <w:r>
        <w:t xml:space="preserve">as </w:t>
      </w:r>
      <w:proofErr w:type="gramEnd"/>
      <m:oMath>
        <m:r>
          <w:rPr>
            <w:rFonts w:ascii="Cambria Math" w:hAnsi="Cambria Math"/>
          </w:rPr>
          <m:t>C</m:t>
        </m:r>
        <m:sSub>
          <m:sSubPr>
            <m:ctrlPr>
              <w:rPr>
                <w:rFonts w:ascii="Cambria Math" w:hAnsi="Cambria Math"/>
              </w:rPr>
            </m:ctrlPr>
          </m:sSubPr>
          <m:e>
            <m:r>
              <w:rPr>
                <w:rFonts w:ascii="Cambria Math" w:hAnsi="Cambria Math"/>
              </w:rPr>
              <m:t>E</m:t>
            </m:r>
          </m:e>
          <m:sub>
            <m:r>
              <w:rPr>
                <w:rFonts w:ascii="Cambria Math" w:hAnsi="Cambria Math"/>
              </w:rPr>
              <m:t>o</m:t>
            </m:r>
          </m:sub>
        </m:sSub>
      </m:oMath>
      <w:r>
        <w:t xml:space="preserve">.  By replacing the means </w:t>
      </w:r>
      <m:oMath>
        <m:sSub>
          <m:sSubPr>
            <m:ctrlPr>
              <w:rPr>
                <w:rFonts w:ascii="Cambria Math" w:hAnsi="Cambria Math"/>
              </w:rPr>
            </m:ctrlPr>
          </m:sSubPr>
          <m:e>
            <m:r>
              <w:rPr>
                <w:rFonts w:ascii="Cambria Math" w:hAnsi="Cambria Math"/>
              </w:rPr>
              <m:t>μ</m:t>
            </m:r>
          </m:e>
          <m:sub>
            <m:r>
              <w:rPr>
                <w:rFonts w:ascii="Cambria Math" w:hAnsi="Cambria Math"/>
              </w:rPr>
              <m:t>i</m:t>
            </m:r>
          </m:sub>
        </m:sSub>
      </m:oMath>
      <w:r>
        <w:t xml:space="preserve">  </w:t>
      </w:r>
      <w:proofErr w:type="gramStart"/>
      <w:r>
        <w:t xml:space="preserve">by </w:t>
      </w:r>
      <w:proofErr w:type="gramEnd"/>
      <m:oMath>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(1+</m:t>
        </m:r>
        <m:r>
          <w:rPr>
            <w:rFonts w:ascii="Cambria Math" w:hAnsi="Cambria Math"/>
          </w:rPr>
          <m:t>k</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oMath>
      <w:r>
        <w:t xml:space="preserve">, where </w:t>
      </w:r>
      <m:oMath>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r>
          <w:rPr>
            <w:rFonts w:ascii="Cambria Math" w:hAnsi="Cambria Math"/>
          </w:rPr>
          <m:t>s</m:t>
        </m:r>
      </m:oMath>
      <w:r>
        <w:t xml:space="preserve">  are independently standard normal distributed random numbers, we could get a new optimal portfolio x under changing </w:t>
      </w:r>
      <w:r>
        <w:t xml:space="preserve">mean vector and original covariance matrix. The cash equivalent value of portfolio x is calculated based on the new optimal weights and original inputs, denoting </w:t>
      </w:r>
      <w:proofErr w:type="gramStart"/>
      <w:r>
        <w:t xml:space="preserve">as </w:t>
      </w:r>
      <w:proofErr w:type="gramEnd"/>
      <m:oMath>
        <m:r>
          <w:rPr>
            <w:rFonts w:ascii="Cambria Math" w:hAnsi="Cambria Math"/>
          </w:rPr>
          <m:t>C</m:t>
        </m:r>
        <m:sSub>
          <m:sSubPr>
            <m:ctrlPr>
              <w:rPr>
                <w:rFonts w:ascii="Cambria Math" w:hAnsi="Cambria Math"/>
              </w:rPr>
            </m:ctrlPr>
          </m:sSubPr>
          <m:e>
            <m:r>
              <w:rPr>
                <w:rFonts w:ascii="Cambria Math" w:hAnsi="Cambria Math"/>
              </w:rPr>
              <m:t>E</m:t>
            </m:r>
          </m:e>
          <m:sub>
            <m:r>
              <w:rPr>
                <w:rFonts w:ascii="Cambria Math" w:hAnsi="Cambria Math"/>
              </w:rPr>
              <m:t>x</m:t>
            </m:r>
          </m:sub>
        </m:sSub>
      </m:oMath>
      <w:r>
        <w:t>. Then cash equivalent loss (CEL) from errors in means is calculated as:</w:t>
      </w:r>
    </w:p>
    <w:p w:rsidR="003267EA" w:rsidRDefault="00AE4196">
      <w:pPr>
        <w:spacing w:before="240" w:after="240"/>
        <w:jc w:val="center"/>
      </w:pPr>
      <m:oMathPara>
        <m:oMath>
          <m:r>
            <w:rPr>
              <w:rFonts w:ascii="Cambria Math" w:hAnsi="Cambria Math"/>
            </w:rPr>
            <m:t>CEL</m:t>
          </m:r>
          <m:r>
            <w:rPr>
              <w:rFonts w:ascii="Cambria Math" w:hAnsi="Cambria Math"/>
            </w:rPr>
            <m:t xml:space="preserve"> = </m:t>
          </m:r>
          <m:f>
            <m:fPr>
              <m:ctrlPr>
                <w:rPr>
                  <w:rFonts w:ascii="Cambria Math" w:hAnsi="Cambria Math"/>
                </w:rPr>
              </m:ctrlPr>
            </m:fPr>
            <m:num>
              <m:sSub>
                <m:sSubPr>
                  <m:ctrlPr>
                    <w:rPr>
                      <w:rFonts w:ascii="Cambria Math" w:hAnsi="Cambria Math"/>
                      <w:i/>
                    </w:rPr>
                  </m:ctrlPr>
                </m:sSubPr>
                <m:e>
                  <m:r>
                    <w:rPr>
                      <w:rFonts w:ascii="Cambria Math" w:hAnsi="Cambria Math"/>
                    </w:rPr>
                    <m:t>CE</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CE</m:t>
                  </m:r>
                </m:e>
                <m:sub>
                  <m:r>
                    <w:rPr>
                      <w:rFonts w:ascii="Cambria Math" w:hAnsi="Cambria Math"/>
                    </w:rPr>
                    <m:t>x</m:t>
                  </m:r>
                </m:sub>
              </m:sSub>
            </m:num>
            <m:den>
              <m:r>
                <w:rPr>
                  <w:rFonts w:ascii="Cambria Math" w:hAnsi="Cambria Math"/>
                </w:rPr>
                <m:t>C</m:t>
              </m:r>
              <m:sSub>
                <m:sSubPr>
                  <m:ctrlPr>
                    <w:rPr>
                      <w:rFonts w:ascii="Cambria Math" w:hAnsi="Cambria Math"/>
                    </w:rPr>
                  </m:ctrlPr>
                </m:sSubPr>
                <m:e>
                  <m:r>
                    <w:rPr>
                      <w:rFonts w:ascii="Cambria Math" w:hAnsi="Cambria Math"/>
                    </w:rPr>
                    <m:t>E</m:t>
                  </m:r>
                </m:e>
                <m:sub>
                  <m:r>
                    <w:rPr>
                      <w:rFonts w:ascii="Cambria Math" w:hAnsi="Cambria Math"/>
                    </w:rPr>
                    <m:t>o</m:t>
                  </m:r>
                </m:sub>
              </m:sSub>
            </m:den>
          </m:f>
        </m:oMath>
      </m:oMathPara>
    </w:p>
    <w:p w:rsidR="003267EA" w:rsidRDefault="00AE4196">
      <w:pPr>
        <w:spacing w:before="240" w:after="240"/>
      </w:pPr>
      <w:r>
        <w:t xml:space="preserve">Similarly, by changing variances from </w:t>
      </w:r>
      <m:oMath>
        <m:sSub>
          <m:sSubPr>
            <m:ctrlPr>
              <w:rPr>
                <w:rFonts w:ascii="Cambria Math" w:hAnsi="Cambria Math"/>
              </w:rPr>
            </m:ctrlPr>
          </m:sSubPr>
          <m:e>
            <m:r>
              <w:rPr>
                <w:rFonts w:ascii="Cambria Math" w:hAnsi="Cambria Math"/>
              </w:rPr>
              <m:t>σ</m:t>
            </m:r>
          </m:e>
          <m:sub>
            <m:r>
              <w:rPr>
                <w:rFonts w:ascii="Cambria Math" w:hAnsi="Cambria Math"/>
              </w:rPr>
              <m:t>ii</m:t>
            </m:r>
          </m:sub>
        </m:sSub>
      </m:oMath>
      <w:r>
        <w:t xml:space="preserve"> to </w:t>
      </w:r>
      <m:oMath>
        <m:sSub>
          <m:sSubPr>
            <m:ctrlPr>
              <w:rPr>
                <w:rFonts w:ascii="Cambria Math" w:hAnsi="Cambria Math"/>
              </w:rPr>
            </m:ctrlPr>
          </m:sSubPr>
          <m:e>
            <m:r>
              <w:rPr>
                <w:rFonts w:ascii="Cambria Math" w:hAnsi="Cambria Math"/>
              </w:rPr>
              <m:t>σ</m:t>
            </m:r>
          </m:e>
          <m:sub>
            <m:r>
              <w:rPr>
                <w:rFonts w:ascii="Cambria Math" w:hAnsi="Cambria Math"/>
              </w:rPr>
              <m:t>ii</m:t>
            </m:r>
          </m:sub>
        </m:sSub>
        <m:r>
          <w:rPr>
            <w:rFonts w:ascii="Cambria Math" w:hAnsi="Cambria Math"/>
          </w:rPr>
          <m:t>(1+</m:t>
        </m:r>
        <m:r>
          <w:rPr>
            <w:rFonts w:ascii="Cambria Math" w:hAnsi="Cambria Math"/>
          </w:rPr>
          <m:t>k</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oMath>
      <w:r>
        <w:t xml:space="preserve"> and covariances from </w:t>
      </w:r>
      <m:oMath>
        <m:sSub>
          <m:sSubPr>
            <m:ctrlPr>
              <w:rPr>
                <w:rFonts w:ascii="Cambria Math" w:hAnsi="Cambria Math"/>
              </w:rPr>
            </m:ctrlPr>
          </m:sSubPr>
          <m:e>
            <m:r>
              <w:rPr>
                <w:rFonts w:ascii="Cambria Math" w:hAnsi="Cambria Math"/>
              </w:rPr>
              <m:t>σ</m:t>
            </m:r>
          </m:e>
          <m:sub>
            <m:r>
              <w:rPr>
                <w:rFonts w:ascii="Cambria Math" w:hAnsi="Cambria Math"/>
              </w:rPr>
              <m:t>ij</m:t>
            </m:r>
          </m:sub>
        </m:sSub>
      </m:oMath>
      <w:r>
        <w:t xml:space="preserve"> to </w:t>
      </w:r>
      <m:oMath>
        <m:sSub>
          <m:sSubPr>
            <m:ctrlPr>
              <w:rPr>
                <w:rFonts w:ascii="Cambria Math" w:hAnsi="Cambria Math"/>
              </w:rPr>
            </m:ctrlPr>
          </m:sSubPr>
          <m:e>
            <m:r>
              <w:rPr>
                <w:rFonts w:ascii="Cambria Math" w:hAnsi="Cambria Math"/>
              </w:rPr>
              <m:t>σ</m:t>
            </m:r>
          </m:e>
          <m:sub>
            <m:r>
              <w:rPr>
                <w:rFonts w:ascii="Cambria Math" w:hAnsi="Cambria Math"/>
              </w:rPr>
              <m:t>ij</m:t>
            </m:r>
          </m:sub>
        </m:sSub>
        <m:r>
          <w:rPr>
            <w:rFonts w:ascii="Cambria Math" w:hAnsi="Cambria Math"/>
          </w:rPr>
          <m:t>(1+</m:t>
        </m:r>
        <m:r>
          <w:rPr>
            <w:rFonts w:ascii="Cambria Math" w:hAnsi="Cambria Math"/>
          </w:rPr>
          <m:t>k</m:t>
        </m:r>
        <m:sSub>
          <m:sSubPr>
            <m:ctrlPr>
              <w:rPr>
                <w:rFonts w:ascii="Cambria Math" w:hAnsi="Cambria Math"/>
              </w:rPr>
            </m:ctrlPr>
          </m:sSubPr>
          <m:e>
            <m:r>
              <w:rPr>
                <w:rFonts w:ascii="Cambria Math" w:hAnsi="Cambria Math"/>
              </w:rPr>
              <m:t>z</m:t>
            </m:r>
          </m:e>
          <m:sub>
            <m:r>
              <w:rPr>
                <w:rFonts w:ascii="Cambria Math" w:hAnsi="Cambria Math"/>
              </w:rPr>
              <m:t>ij</m:t>
            </m:r>
          </m:sub>
        </m:sSub>
        <m:r>
          <w:rPr>
            <w:rFonts w:ascii="Cambria Math" w:hAnsi="Cambria Math"/>
          </w:rPr>
          <m:t>)</m:t>
        </m:r>
      </m:oMath>
      <w:r>
        <w:t>separately, it would be easy for us to calculate cash equivalent loss (CEL) from errors in variances and covariances.</w:t>
      </w:r>
    </w:p>
    <w:p w:rsidR="003267EA" w:rsidRDefault="00AE4196">
      <w:pPr>
        <w:spacing w:before="240" w:after="240"/>
      </w:pPr>
      <w:r>
        <w:t>Exhib</w:t>
      </w:r>
      <w:r>
        <w:t xml:space="preserve">it 1 shows the mean cash equivalent loss over 100 iterations under different values of risk tolerance parameter and size of error using simulated dataset.  </w:t>
      </w:r>
    </w:p>
    <w:p w:rsidR="003267EA" w:rsidRDefault="00AE4196">
      <w:pPr>
        <w:spacing w:before="240" w:after="240"/>
      </w:pPr>
      <w:r>
        <w:t>Compared to Chopra’s (1993) results, which shows that for a risk tolerance of 50, the importance of</w:t>
      </w:r>
      <w:r>
        <w:t xml:space="preserve"> errors in means is 10 times as important as errors in variances, and 20 times as important as errors in </w:t>
      </w:r>
      <w:proofErr w:type="spellStart"/>
      <w:r>
        <w:t>covariances</w:t>
      </w:r>
      <w:proofErr w:type="spellEnd"/>
      <w:r>
        <w:t xml:space="preserve">, we found that the effects on errors in means is much more important in our observation. Depending on the size of error, the importance of </w:t>
      </w:r>
      <w:r>
        <w:t xml:space="preserve">errors in means is 100 times, even up to millions of times, as important as the effects on errors in variances and </w:t>
      </w:r>
      <w:proofErr w:type="spellStart"/>
      <w:r>
        <w:t>covariances</w:t>
      </w:r>
      <w:proofErr w:type="spellEnd"/>
      <w:r>
        <w:t xml:space="preserve"> for a risk tolerance of 50.</w:t>
      </w:r>
    </w:p>
    <w:p w:rsidR="003267EA" w:rsidRDefault="00AE4196">
      <w:pPr>
        <w:spacing w:before="240" w:after="240"/>
      </w:pPr>
      <w:r>
        <w:t xml:space="preserve">As the risk tolerance increases, the importance of errors in means becomes much larger than the importance of errors in variances and </w:t>
      </w:r>
      <w:proofErr w:type="spellStart"/>
      <w:r>
        <w:t>covariances</w:t>
      </w:r>
      <w:proofErr w:type="spellEnd"/>
      <w:r>
        <w:t>. For example, when risk tolerance is small, the importance of errors in means is about 10 times as important a</w:t>
      </w:r>
      <w:r>
        <w:t xml:space="preserve">s the effects on errors </w:t>
      </w:r>
      <w:r>
        <w:lastRenderedPageBreak/>
        <w:t xml:space="preserve">in variances and </w:t>
      </w:r>
      <w:proofErr w:type="spellStart"/>
      <w:r>
        <w:t>covariances</w:t>
      </w:r>
      <w:proofErr w:type="spellEnd"/>
      <w:r>
        <w:t>, while getting millions of times important when risk tolerance becomes larger.</w:t>
      </w:r>
    </w:p>
    <w:p w:rsidR="003267EA" w:rsidRDefault="00AE4196">
      <w:pPr>
        <w:spacing w:before="240" w:after="240"/>
      </w:pPr>
      <w:r>
        <w:t xml:space="preserve">Also, we found that the importance of errors in variance and </w:t>
      </w:r>
      <w:proofErr w:type="spellStart"/>
      <w:r>
        <w:t>covariances</w:t>
      </w:r>
      <w:proofErr w:type="spellEnd"/>
      <w:r>
        <w:t xml:space="preserve"> are very close to each other. And both of them tend</w:t>
      </w:r>
      <w:r>
        <w:t xml:space="preserve"> to get smaller when the risk tolerance parameter increases.</w:t>
      </w:r>
    </w:p>
    <w:p w:rsidR="003267EA" w:rsidRDefault="00AE4196">
      <w:pPr>
        <w:spacing w:before="240" w:after="240"/>
        <w:rPr>
          <w:b/>
        </w:rPr>
      </w:pPr>
      <w:r>
        <w:rPr>
          <w:b/>
        </w:rPr>
        <w:t>EXHIBIT 1</w:t>
      </w:r>
    </w:p>
    <w:p w:rsidR="003267EA" w:rsidRDefault="00AE4196">
      <w:pPr>
        <w:rPr>
          <w:b/>
        </w:rPr>
      </w:pPr>
      <w:r>
        <w:rPr>
          <w:b/>
        </w:rPr>
        <w:t>Mean Cash Equivalent Loss for Errors of Different Sizes and Different Risk Tolerance</w:t>
      </w:r>
    </w:p>
    <w:p w:rsidR="003267EA" w:rsidRDefault="003267EA">
      <w:pPr>
        <w:rPr>
          <w:b/>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3267EA" w:rsidTr="00F373D5">
        <w:trPr>
          <w:trHeight w:val="144"/>
        </w:trPr>
        <w:tc>
          <w:tcPr>
            <w:tcW w:w="216" w:type="dxa"/>
            <w:tcBorders>
              <w:top w:val="single" w:sz="8" w:space="0" w:color="000000"/>
              <w:left w:val="nil"/>
              <w:bottom w:val="single" w:sz="8" w:space="0" w:color="000000"/>
              <w:right w:val="nil"/>
            </w:tcBorders>
            <w:tcMar>
              <w:top w:w="100" w:type="dxa"/>
              <w:left w:w="100" w:type="dxa"/>
              <w:bottom w:w="100" w:type="dxa"/>
              <w:right w:w="100" w:type="dxa"/>
            </w:tcMar>
          </w:tcPr>
          <w:p w:rsidR="003267EA" w:rsidRDefault="00AE4196">
            <w:pPr>
              <w:spacing w:line="240" w:lineRule="auto"/>
            </w:pPr>
            <w:r>
              <w:t>t (Risk Tolerance Parameter)</w:t>
            </w:r>
          </w:p>
        </w:tc>
        <w:tc>
          <w:tcPr>
            <w:tcW w:w="216" w:type="dxa"/>
            <w:tcBorders>
              <w:top w:val="single" w:sz="8" w:space="0" w:color="000000"/>
              <w:left w:val="nil"/>
              <w:bottom w:val="single" w:sz="8" w:space="0" w:color="000000"/>
              <w:right w:val="nil"/>
            </w:tcBorders>
            <w:tcMar>
              <w:top w:w="100" w:type="dxa"/>
              <w:left w:w="100" w:type="dxa"/>
              <w:bottom w:w="100" w:type="dxa"/>
              <w:right w:w="100" w:type="dxa"/>
            </w:tcMar>
          </w:tcPr>
          <w:p w:rsidR="003267EA" w:rsidRDefault="00AE4196">
            <w:pPr>
              <w:spacing w:line="240" w:lineRule="auto"/>
            </w:pPr>
            <w:r>
              <w:t>Parameter with Error</w:t>
            </w:r>
          </w:p>
        </w:tc>
        <w:tc>
          <w:tcPr>
            <w:tcW w:w="216" w:type="dxa"/>
            <w:tcBorders>
              <w:top w:val="single" w:sz="8" w:space="0" w:color="000000"/>
              <w:left w:val="nil"/>
              <w:bottom w:val="single" w:sz="8" w:space="0" w:color="000000"/>
              <w:right w:val="nil"/>
            </w:tcBorders>
            <w:tcMar>
              <w:top w:w="100" w:type="dxa"/>
              <w:left w:w="100" w:type="dxa"/>
              <w:bottom w:w="100" w:type="dxa"/>
              <w:right w:w="100" w:type="dxa"/>
            </w:tcMar>
          </w:tcPr>
          <w:p w:rsidR="003267EA" w:rsidRDefault="00AE4196">
            <w:pPr>
              <w:spacing w:line="240" w:lineRule="auto"/>
            </w:pPr>
            <w:r>
              <w:t>k = 0.05</w:t>
            </w:r>
          </w:p>
        </w:tc>
        <w:tc>
          <w:tcPr>
            <w:tcW w:w="216" w:type="dxa"/>
            <w:tcBorders>
              <w:top w:val="single" w:sz="8" w:space="0" w:color="000000"/>
              <w:left w:val="nil"/>
              <w:bottom w:val="single" w:sz="8" w:space="0" w:color="000000"/>
              <w:right w:val="nil"/>
            </w:tcBorders>
            <w:tcMar>
              <w:top w:w="100" w:type="dxa"/>
              <w:left w:w="100" w:type="dxa"/>
              <w:bottom w:w="100" w:type="dxa"/>
              <w:right w:w="100" w:type="dxa"/>
            </w:tcMar>
          </w:tcPr>
          <w:p w:rsidR="003267EA" w:rsidRDefault="00AE4196">
            <w:pPr>
              <w:spacing w:line="240" w:lineRule="auto"/>
            </w:pPr>
            <w:r>
              <w:t>k = 0.10</w:t>
            </w:r>
          </w:p>
        </w:tc>
        <w:tc>
          <w:tcPr>
            <w:tcW w:w="216" w:type="dxa"/>
            <w:tcBorders>
              <w:top w:val="single" w:sz="8" w:space="0" w:color="000000"/>
              <w:left w:val="nil"/>
              <w:bottom w:val="single" w:sz="8" w:space="0" w:color="000000"/>
              <w:right w:val="nil"/>
            </w:tcBorders>
            <w:tcMar>
              <w:top w:w="100" w:type="dxa"/>
              <w:left w:w="100" w:type="dxa"/>
              <w:bottom w:w="100" w:type="dxa"/>
              <w:right w:w="100" w:type="dxa"/>
            </w:tcMar>
          </w:tcPr>
          <w:p w:rsidR="003267EA" w:rsidRDefault="00AE4196">
            <w:pPr>
              <w:spacing w:line="240" w:lineRule="auto"/>
            </w:pPr>
            <w:r>
              <w:t>k = 0.15</w:t>
            </w:r>
          </w:p>
        </w:tc>
        <w:tc>
          <w:tcPr>
            <w:tcW w:w="216" w:type="dxa"/>
            <w:tcBorders>
              <w:top w:val="single" w:sz="8" w:space="0" w:color="000000"/>
              <w:left w:val="nil"/>
              <w:bottom w:val="single" w:sz="8" w:space="0" w:color="000000"/>
              <w:right w:val="nil"/>
            </w:tcBorders>
            <w:tcMar>
              <w:top w:w="100" w:type="dxa"/>
              <w:left w:w="100" w:type="dxa"/>
              <w:bottom w:w="100" w:type="dxa"/>
              <w:right w:w="100" w:type="dxa"/>
            </w:tcMar>
          </w:tcPr>
          <w:p w:rsidR="003267EA" w:rsidRDefault="00AE4196">
            <w:pPr>
              <w:spacing w:line="240" w:lineRule="auto"/>
            </w:pPr>
            <w:r>
              <w:t>k = 0.20</w:t>
            </w:r>
          </w:p>
        </w:tc>
      </w:tr>
      <w:tr w:rsidR="003267EA" w:rsidTr="00F373D5">
        <w:trPr>
          <w:trHeight w:val="144"/>
        </w:trPr>
        <w:tc>
          <w:tcPr>
            <w:tcW w:w="216" w:type="dxa"/>
            <w:tcBorders>
              <w:top w:val="single" w:sz="8" w:space="0" w:color="000000"/>
              <w:left w:val="nil"/>
              <w:bottom w:val="nil"/>
              <w:right w:val="nil"/>
            </w:tcBorders>
            <w:tcMar>
              <w:top w:w="100" w:type="dxa"/>
              <w:left w:w="100" w:type="dxa"/>
              <w:bottom w:w="100" w:type="dxa"/>
              <w:right w:w="100" w:type="dxa"/>
            </w:tcMar>
          </w:tcPr>
          <w:p w:rsidR="003267EA" w:rsidRDefault="00AE4196">
            <w:pPr>
              <w:spacing w:line="240" w:lineRule="auto"/>
            </w:pPr>
            <w:r>
              <w:t>0.5</w:t>
            </w:r>
          </w:p>
        </w:tc>
        <w:tc>
          <w:tcPr>
            <w:tcW w:w="216" w:type="dxa"/>
            <w:tcBorders>
              <w:top w:val="single" w:sz="8" w:space="0" w:color="000000"/>
              <w:left w:val="nil"/>
              <w:bottom w:val="nil"/>
              <w:right w:val="nil"/>
            </w:tcBorders>
            <w:tcMar>
              <w:top w:w="100" w:type="dxa"/>
              <w:left w:w="100" w:type="dxa"/>
              <w:bottom w:w="100" w:type="dxa"/>
              <w:right w:w="100" w:type="dxa"/>
            </w:tcMar>
          </w:tcPr>
          <w:p w:rsidR="003267EA" w:rsidRDefault="00AE4196">
            <w:pPr>
              <w:spacing w:line="240" w:lineRule="auto"/>
            </w:pPr>
            <w:r>
              <w:t>Means</w:t>
            </w:r>
          </w:p>
        </w:tc>
        <w:tc>
          <w:tcPr>
            <w:tcW w:w="216" w:type="dxa"/>
            <w:tcBorders>
              <w:top w:val="single" w:sz="8" w:space="0" w:color="000000"/>
              <w:left w:val="nil"/>
              <w:bottom w:val="nil"/>
              <w:right w:val="nil"/>
            </w:tcBorders>
            <w:tcMar>
              <w:top w:w="100" w:type="dxa"/>
              <w:left w:w="100" w:type="dxa"/>
              <w:bottom w:w="100" w:type="dxa"/>
              <w:right w:w="100" w:type="dxa"/>
            </w:tcMar>
          </w:tcPr>
          <w:p w:rsidR="003267EA" w:rsidRDefault="00AE4196">
            <w:pPr>
              <w:spacing w:line="240" w:lineRule="auto"/>
            </w:pPr>
            <w:r>
              <w:t>0.</w:t>
            </w:r>
            <w:r>
              <w:t>023941</w:t>
            </w:r>
          </w:p>
        </w:tc>
        <w:tc>
          <w:tcPr>
            <w:tcW w:w="216" w:type="dxa"/>
            <w:tcBorders>
              <w:top w:val="single" w:sz="8" w:space="0" w:color="000000"/>
              <w:left w:val="nil"/>
              <w:bottom w:val="nil"/>
              <w:right w:val="nil"/>
            </w:tcBorders>
            <w:tcMar>
              <w:top w:w="100" w:type="dxa"/>
              <w:left w:w="100" w:type="dxa"/>
              <w:bottom w:w="100" w:type="dxa"/>
              <w:right w:w="100" w:type="dxa"/>
            </w:tcMar>
          </w:tcPr>
          <w:p w:rsidR="003267EA" w:rsidRDefault="00AE4196">
            <w:pPr>
              <w:spacing w:line="240" w:lineRule="auto"/>
            </w:pPr>
            <w:r>
              <w:t>0.049128</w:t>
            </w:r>
          </w:p>
        </w:tc>
        <w:tc>
          <w:tcPr>
            <w:tcW w:w="216" w:type="dxa"/>
            <w:tcBorders>
              <w:top w:val="single" w:sz="8" w:space="0" w:color="000000"/>
              <w:left w:val="nil"/>
              <w:bottom w:val="nil"/>
              <w:right w:val="nil"/>
            </w:tcBorders>
            <w:tcMar>
              <w:top w:w="100" w:type="dxa"/>
              <w:left w:w="100" w:type="dxa"/>
              <w:bottom w:w="100" w:type="dxa"/>
              <w:right w:w="100" w:type="dxa"/>
            </w:tcMar>
          </w:tcPr>
          <w:p w:rsidR="003267EA" w:rsidRDefault="00AE4196">
            <w:pPr>
              <w:spacing w:line="240" w:lineRule="auto"/>
            </w:pPr>
            <w:r>
              <w:t>0.077237</w:t>
            </w:r>
          </w:p>
        </w:tc>
        <w:tc>
          <w:tcPr>
            <w:tcW w:w="216" w:type="dxa"/>
            <w:tcBorders>
              <w:top w:val="single" w:sz="8" w:space="0" w:color="000000"/>
              <w:left w:val="nil"/>
              <w:bottom w:val="nil"/>
              <w:right w:val="nil"/>
            </w:tcBorders>
            <w:tcMar>
              <w:top w:w="100" w:type="dxa"/>
              <w:left w:w="100" w:type="dxa"/>
              <w:bottom w:w="100" w:type="dxa"/>
              <w:right w:w="100" w:type="dxa"/>
            </w:tcMar>
          </w:tcPr>
          <w:p w:rsidR="003267EA" w:rsidRDefault="00AE4196">
            <w:pPr>
              <w:spacing w:line="240" w:lineRule="auto"/>
            </w:pPr>
            <w:r>
              <w:t>0.102076</w:t>
            </w:r>
          </w:p>
        </w:tc>
      </w:tr>
      <w:tr w:rsidR="003267EA" w:rsidTr="00F373D5">
        <w:trPr>
          <w:trHeight w:val="144"/>
        </w:trPr>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0.5</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Variances</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0.002839</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0.00901</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0.01528</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0.018287</w:t>
            </w:r>
          </w:p>
        </w:tc>
      </w:tr>
      <w:tr w:rsidR="003267EA" w:rsidTr="00F373D5">
        <w:trPr>
          <w:trHeight w:val="144"/>
        </w:trPr>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0.5</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proofErr w:type="spellStart"/>
            <w:r>
              <w:t>Covariances</w:t>
            </w:r>
            <w:proofErr w:type="spellEnd"/>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0.003412</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0.010755</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0.020157</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0.031821</w:t>
            </w:r>
          </w:p>
        </w:tc>
      </w:tr>
      <w:tr w:rsidR="003267EA" w:rsidTr="00F373D5">
        <w:trPr>
          <w:trHeight w:val="144"/>
        </w:trPr>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 xml:space="preserve"> </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 xml:space="preserve"> </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 xml:space="preserve"> </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 xml:space="preserve"> </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 xml:space="preserve"> </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 xml:space="preserve"> </w:t>
            </w:r>
          </w:p>
        </w:tc>
      </w:tr>
      <w:tr w:rsidR="003267EA" w:rsidTr="00F373D5">
        <w:trPr>
          <w:trHeight w:val="144"/>
        </w:trPr>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1.0</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Means</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0.026043</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0.058898</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0.083466</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0.114146</w:t>
            </w:r>
          </w:p>
        </w:tc>
      </w:tr>
      <w:tr w:rsidR="003267EA" w:rsidTr="00F373D5">
        <w:trPr>
          <w:trHeight w:val="144"/>
        </w:trPr>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1.0</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Variances</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0.002597</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0.008264</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0.014138</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0.022236</w:t>
            </w:r>
          </w:p>
        </w:tc>
      </w:tr>
      <w:tr w:rsidR="003267EA" w:rsidTr="00F373D5">
        <w:trPr>
          <w:trHeight w:val="144"/>
        </w:trPr>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1.0</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proofErr w:type="spellStart"/>
            <w:r>
              <w:t>Covariances</w:t>
            </w:r>
            <w:proofErr w:type="spellEnd"/>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0.003275</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0.010036</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0.018742</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0.035428</w:t>
            </w:r>
          </w:p>
        </w:tc>
      </w:tr>
      <w:tr w:rsidR="003267EA" w:rsidTr="00F373D5">
        <w:trPr>
          <w:trHeight w:val="144"/>
        </w:trPr>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 xml:space="preserve"> </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 xml:space="preserve"> </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 xml:space="preserve"> </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 xml:space="preserve"> </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 xml:space="preserve"> </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 xml:space="preserve"> </w:t>
            </w:r>
          </w:p>
        </w:tc>
      </w:tr>
      <w:tr w:rsidR="003267EA" w:rsidTr="00F373D5">
        <w:trPr>
          <w:trHeight w:val="144"/>
        </w:trPr>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5.0</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Means</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0.005611</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0.031889</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0.050273</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0.084032</w:t>
            </w:r>
          </w:p>
        </w:tc>
      </w:tr>
      <w:tr w:rsidR="003267EA" w:rsidTr="00F373D5">
        <w:trPr>
          <w:trHeight w:val="144"/>
        </w:trPr>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5.0</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Variances</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5.92E-08</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0.000245</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0.002268</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0.006235</w:t>
            </w:r>
          </w:p>
        </w:tc>
      </w:tr>
      <w:tr w:rsidR="003267EA" w:rsidTr="00F373D5">
        <w:trPr>
          <w:trHeight w:val="144"/>
        </w:trPr>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5.0</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proofErr w:type="spellStart"/>
            <w:r>
              <w:t>Covariances</w:t>
            </w:r>
            <w:proofErr w:type="spellEnd"/>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7.53E-09</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6.61E-08</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0.000318</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0.001127</w:t>
            </w:r>
          </w:p>
        </w:tc>
      </w:tr>
      <w:tr w:rsidR="003267EA" w:rsidTr="00F373D5">
        <w:trPr>
          <w:trHeight w:val="144"/>
        </w:trPr>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 xml:space="preserve"> </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 xml:space="preserve"> </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 xml:space="preserve"> </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 xml:space="preserve"> </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 xml:space="preserve"> </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 xml:space="preserve"> </w:t>
            </w:r>
          </w:p>
        </w:tc>
      </w:tr>
      <w:tr w:rsidR="003267EA" w:rsidTr="00F373D5">
        <w:trPr>
          <w:trHeight w:val="144"/>
        </w:trPr>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10.0</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Means</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0.000631</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0.017639</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0.064921</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0.065124</w:t>
            </w:r>
          </w:p>
        </w:tc>
      </w:tr>
      <w:tr w:rsidR="003267EA" w:rsidTr="00F373D5">
        <w:trPr>
          <w:trHeight w:val="144"/>
        </w:trPr>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10.0</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Variances</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3.45E-08</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1.07E-07</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1.06E-07</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4.44E-08</w:t>
            </w:r>
          </w:p>
        </w:tc>
      </w:tr>
      <w:tr w:rsidR="003267EA" w:rsidTr="00F373D5">
        <w:trPr>
          <w:trHeight w:val="144"/>
        </w:trPr>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10.0</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proofErr w:type="spellStart"/>
            <w:r>
              <w:t>Covariances</w:t>
            </w:r>
            <w:proofErr w:type="spellEnd"/>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1.49E-08</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4.05E-08</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1.22E-07</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1.39E-07</w:t>
            </w:r>
          </w:p>
        </w:tc>
      </w:tr>
      <w:tr w:rsidR="003267EA" w:rsidTr="00F373D5">
        <w:trPr>
          <w:trHeight w:val="144"/>
        </w:trPr>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 xml:space="preserve"> </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 xml:space="preserve"> </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 xml:space="preserve"> </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 xml:space="preserve"> </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 xml:space="preserve"> </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 xml:space="preserve"> </w:t>
            </w:r>
          </w:p>
        </w:tc>
      </w:tr>
      <w:tr w:rsidR="003267EA" w:rsidTr="00F373D5">
        <w:trPr>
          <w:trHeight w:val="144"/>
        </w:trPr>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50.0</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Means</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2.11E-07</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0.010977</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0.054027</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0.075027</w:t>
            </w:r>
          </w:p>
        </w:tc>
      </w:tr>
      <w:tr w:rsidR="003267EA" w:rsidTr="00F373D5">
        <w:trPr>
          <w:trHeight w:val="144"/>
        </w:trPr>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50.0</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Variances</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1.24E-09</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6E-09</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8.92E-09</w:t>
            </w:r>
          </w:p>
        </w:tc>
        <w:tc>
          <w:tcPr>
            <w:tcW w:w="216"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1.42E-08</w:t>
            </w:r>
          </w:p>
        </w:tc>
      </w:tr>
      <w:tr w:rsidR="003267EA" w:rsidTr="00F373D5">
        <w:trPr>
          <w:trHeight w:val="144"/>
        </w:trPr>
        <w:tc>
          <w:tcPr>
            <w:tcW w:w="216" w:type="dxa"/>
            <w:tcBorders>
              <w:top w:val="nil"/>
              <w:left w:val="nil"/>
              <w:bottom w:val="single" w:sz="8" w:space="0" w:color="000000"/>
              <w:right w:val="nil"/>
            </w:tcBorders>
            <w:tcMar>
              <w:top w:w="100" w:type="dxa"/>
              <w:left w:w="100" w:type="dxa"/>
              <w:bottom w:w="100" w:type="dxa"/>
              <w:right w:w="100" w:type="dxa"/>
            </w:tcMar>
          </w:tcPr>
          <w:p w:rsidR="003267EA" w:rsidRDefault="00AE4196">
            <w:pPr>
              <w:spacing w:line="240" w:lineRule="auto"/>
            </w:pPr>
            <w:r>
              <w:t>50.0</w:t>
            </w:r>
          </w:p>
        </w:tc>
        <w:tc>
          <w:tcPr>
            <w:tcW w:w="216" w:type="dxa"/>
            <w:tcBorders>
              <w:top w:val="nil"/>
              <w:left w:val="nil"/>
              <w:bottom w:val="single" w:sz="8" w:space="0" w:color="000000"/>
              <w:right w:val="nil"/>
            </w:tcBorders>
            <w:tcMar>
              <w:top w:w="100" w:type="dxa"/>
              <w:left w:w="100" w:type="dxa"/>
              <w:bottom w:w="100" w:type="dxa"/>
              <w:right w:w="100" w:type="dxa"/>
            </w:tcMar>
          </w:tcPr>
          <w:p w:rsidR="003267EA" w:rsidRDefault="00AE4196">
            <w:pPr>
              <w:spacing w:line="240" w:lineRule="auto"/>
            </w:pPr>
            <w:proofErr w:type="spellStart"/>
            <w:r>
              <w:t>Covariances</w:t>
            </w:r>
            <w:proofErr w:type="spellEnd"/>
          </w:p>
        </w:tc>
        <w:tc>
          <w:tcPr>
            <w:tcW w:w="216" w:type="dxa"/>
            <w:tcBorders>
              <w:top w:val="nil"/>
              <w:left w:val="nil"/>
              <w:bottom w:val="single" w:sz="8" w:space="0" w:color="000000"/>
              <w:right w:val="nil"/>
            </w:tcBorders>
            <w:tcMar>
              <w:top w:w="100" w:type="dxa"/>
              <w:left w:w="100" w:type="dxa"/>
              <w:bottom w:w="100" w:type="dxa"/>
              <w:right w:w="100" w:type="dxa"/>
            </w:tcMar>
          </w:tcPr>
          <w:p w:rsidR="003267EA" w:rsidRDefault="00AE4196">
            <w:pPr>
              <w:spacing w:line="240" w:lineRule="auto"/>
            </w:pPr>
            <w:r>
              <w:t>2.47E-09</w:t>
            </w:r>
          </w:p>
        </w:tc>
        <w:tc>
          <w:tcPr>
            <w:tcW w:w="216" w:type="dxa"/>
            <w:tcBorders>
              <w:top w:val="nil"/>
              <w:left w:val="nil"/>
              <w:bottom w:val="single" w:sz="8" w:space="0" w:color="000000"/>
              <w:right w:val="nil"/>
            </w:tcBorders>
            <w:tcMar>
              <w:top w:w="100" w:type="dxa"/>
              <w:left w:w="100" w:type="dxa"/>
              <w:bottom w:w="100" w:type="dxa"/>
              <w:right w:w="100" w:type="dxa"/>
            </w:tcMar>
          </w:tcPr>
          <w:p w:rsidR="003267EA" w:rsidRDefault="00AE4196">
            <w:pPr>
              <w:spacing w:line="240" w:lineRule="auto"/>
            </w:pPr>
            <w:r>
              <w:t>6.39E-09</w:t>
            </w:r>
          </w:p>
        </w:tc>
        <w:tc>
          <w:tcPr>
            <w:tcW w:w="216" w:type="dxa"/>
            <w:tcBorders>
              <w:top w:val="nil"/>
              <w:left w:val="nil"/>
              <w:bottom w:val="single" w:sz="8" w:space="0" w:color="000000"/>
              <w:right w:val="nil"/>
            </w:tcBorders>
            <w:tcMar>
              <w:top w:w="100" w:type="dxa"/>
              <w:left w:w="100" w:type="dxa"/>
              <w:bottom w:w="100" w:type="dxa"/>
              <w:right w:w="100" w:type="dxa"/>
            </w:tcMar>
          </w:tcPr>
          <w:p w:rsidR="003267EA" w:rsidRDefault="00AE4196">
            <w:pPr>
              <w:spacing w:line="240" w:lineRule="auto"/>
            </w:pPr>
            <w:r>
              <w:t>7.23E-09</w:t>
            </w:r>
          </w:p>
        </w:tc>
        <w:tc>
          <w:tcPr>
            <w:tcW w:w="216" w:type="dxa"/>
            <w:tcBorders>
              <w:top w:val="nil"/>
              <w:left w:val="nil"/>
              <w:bottom w:val="single" w:sz="8" w:space="0" w:color="000000"/>
              <w:right w:val="nil"/>
            </w:tcBorders>
            <w:tcMar>
              <w:top w:w="100" w:type="dxa"/>
              <w:left w:w="100" w:type="dxa"/>
              <w:bottom w:w="100" w:type="dxa"/>
              <w:right w:w="100" w:type="dxa"/>
            </w:tcMar>
          </w:tcPr>
          <w:p w:rsidR="003267EA" w:rsidRDefault="00AE4196">
            <w:pPr>
              <w:spacing w:line="240" w:lineRule="auto"/>
            </w:pPr>
            <w:r>
              <w:t>1.16E-08</w:t>
            </w:r>
          </w:p>
        </w:tc>
      </w:tr>
    </w:tbl>
    <w:p w:rsidR="003267EA" w:rsidRDefault="00AE4196">
      <w:pPr>
        <w:pStyle w:val="Heading2"/>
        <w:keepNext w:val="0"/>
        <w:keepLines w:val="0"/>
        <w:spacing w:after="80"/>
        <w:rPr>
          <w:b/>
          <w:sz w:val="34"/>
          <w:szCs w:val="34"/>
        </w:rPr>
      </w:pPr>
      <w:bookmarkStart w:id="3" w:name="_ljhfq2alkzvl" w:colFirst="0" w:colLast="0"/>
      <w:bookmarkEnd w:id="3"/>
      <w:r>
        <w:rPr>
          <w:b/>
          <w:sz w:val="34"/>
          <w:szCs w:val="34"/>
        </w:rPr>
        <w:lastRenderedPageBreak/>
        <w:t>2</w:t>
      </w:r>
      <w:r>
        <w:rPr>
          <w:b/>
          <w:sz w:val="34"/>
          <w:szCs w:val="34"/>
        </w:rPr>
        <w:t>.3 Robust Optimization Implementation</w:t>
      </w:r>
    </w:p>
    <w:p w:rsidR="003267EA" w:rsidRDefault="00AE4196">
      <w:pPr>
        <w:pStyle w:val="Heading3"/>
        <w:keepNext w:val="0"/>
        <w:keepLines w:val="0"/>
        <w:spacing w:before="280"/>
        <w:rPr>
          <w:b/>
          <w:color w:val="000000"/>
          <w:sz w:val="26"/>
          <w:szCs w:val="26"/>
        </w:rPr>
      </w:pPr>
      <w:bookmarkStart w:id="4" w:name="_67dj7zxxpzy7" w:colFirst="0" w:colLast="0"/>
      <w:bookmarkEnd w:id="4"/>
      <w:r>
        <w:rPr>
          <w:b/>
          <w:color w:val="000000"/>
          <w:sz w:val="26"/>
          <w:szCs w:val="26"/>
        </w:rPr>
        <w:t>2.3.1 Efficient Frontier</w:t>
      </w:r>
    </w:p>
    <w:p w:rsidR="003267EA" w:rsidRDefault="00AE4196">
      <w:pPr>
        <w:spacing w:before="240" w:after="240"/>
      </w:pPr>
      <w:r>
        <w:t xml:space="preserve">Referring to Ceria and Stubbs (2006), we calculated three types of frontiers: </w:t>
      </w:r>
      <w:r>
        <w:t>true frontier, estimated frontier, and actual frontier. True frontier is the frontier calculated using the true, but unknown, expected returns. Estimated frontier is the one given by expected returns estimates and the true covariance matrix. Calculating th</w:t>
      </w:r>
      <w:r>
        <w:t>e expected return of the portfolio on the estimated frontier using true expected returns, and we can get the actual frontier using this return and true covariance matrix. According to this definition, the estimated frontier can lie anywhere, while the true</w:t>
      </w:r>
      <w:r>
        <w:t xml:space="preserve"> frontier will always lie above the actual frontier. Also, the actual frontier is not necessarily concave because it is computed using the result from the estimated frontier instead of an optimization problem. </w:t>
      </w:r>
    </w:p>
    <w:p w:rsidR="003267EA" w:rsidRDefault="00AE4196">
      <w:pPr>
        <w:spacing w:before="240" w:after="240"/>
      </w:pPr>
      <w:r>
        <w:t>Using the data from Chopra’s paper, we applie</w:t>
      </w:r>
      <w:r>
        <w:t>d mean-variance optimization and robust optimization and calculated their respective frontiers. We can see that the actual frontier lies below the true frontier, and the gap between estimated robust frontier and actual robust frontier is smaller than the o</w:t>
      </w:r>
      <w:r>
        <w:t xml:space="preserve">ne between true frontier and estimated frontier, meaning that robust optimization alleviates the effect of errors in estimation of expected returns. </w:t>
      </w:r>
    </w:p>
    <w:p w:rsidR="003267EA" w:rsidRDefault="00AE4196">
      <w:pPr>
        <w:spacing w:before="240" w:after="240"/>
        <w:rPr>
          <w:b/>
        </w:rPr>
      </w:pPr>
      <w:r>
        <w:rPr>
          <w:b/>
        </w:rPr>
        <w:t>FIGURE 1</w:t>
      </w:r>
    </w:p>
    <w:p w:rsidR="003267EA" w:rsidRDefault="00AE4196">
      <w:pPr>
        <w:spacing w:before="240" w:after="240"/>
        <w:rPr>
          <w:b/>
        </w:rPr>
      </w:pPr>
      <w:r>
        <w:rPr>
          <w:b/>
        </w:rPr>
        <w:t>Markowitz Efficient Frontier and Robust Efficient Frontier</w:t>
      </w:r>
    </w:p>
    <w:p w:rsidR="003267EA" w:rsidRDefault="00AE4196">
      <w:pPr>
        <w:spacing w:before="240" w:after="240"/>
      </w:pPr>
      <w:r>
        <w:rPr>
          <w:noProof/>
          <w:lang w:val="en-US"/>
        </w:rPr>
        <w:drawing>
          <wp:inline distT="114300" distB="114300" distL="114300" distR="114300">
            <wp:extent cx="4235581" cy="2633663"/>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4235581" cy="2633663"/>
                    </a:xfrm>
                    <a:prstGeom prst="rect">
                      <a:avLst/>
                    </a:prstGeom>
                    <a:ln/>
                  </pic:spPr>
                </pic:pic>
              </a:graphicData>
            </a:graphic>
          </wp:inline>
        </w:drawing>
      </w:r>
    </w:p>
    <w:p w:rsidR="003267EA" w:rsidRDefault="00AE4196">
      <w:pPr>
        <w:pStyle w:val="Heading3"/>
        <w:keepNext w:val="0"/>
        <w:keepLines w:val="0"/>
        <w:spacing w:before="280"/>
        <w:rPr>
          <w:b/>
          <w:color w:val="000000"/>
          <w:sz w:val="26"/>
          <w:szCs w:val="26"/>
        </w:rPr>
      </w:pPr>
      <w:bookmarkStart w:id="5" w:name="_4msxmwky49q5" w:colFirst="0" w:colLast="0"/>
      <w:bookmarkEnd w:id="5"/>
      <w:r>
        <w:rPr>
          <w:b/>
          <w:color w:val="000000"/>
          <w:sz w:val="26"/>
          <w:szCs w:val="26"/>
        </w:rPr>
        <w:t>2.3.2 Improvements on Effects of Err</w:t>
      </w:r>
      <w:r>
        <w:rPr>
          <w:b/>
          <w:color w:val="000000"/>
          <w:sz w:val="26"/>
          <w:szCs w:val="26"/>
        </w:rPr>
        <w:t>or in Means</w:t>
      </w:r>
    </w:p>
    <w:p w:rsidR="003267EA" w:rsidRDefault="00AE4196">
      <w:r>
        <w:t xml:space="preserve">As illustrated in 2.3.1, incorporating the estimation error into the portfolio construction process reduced its effect on the optimal portfolio. The predicted return for any given risk level was not exaggerated nearly as </w:t>
      </w:r>
      <w:proofErr w:type="gramStart"/>
      <w:r>
        <w:t>much,</w:t>
      </w:r>
      <w:proofErr w:type="gramEnd"/>
      <w:r>
        <w:t xml:space="preserve"> the actual robust</w:t>
      </w:r>
      <w:r>
        <w:t xml:space="preserve"> frontiers are much closer to the true frontier than are the actual mean-variance frontiers. To further test the sensitivity of error for robust </w:t>
      </w:r>
      <w:r>
        <w:lastRenderedPageBreak/>
        <w:t>optimization, we apply the same methodology from 3.2 on robust optimization to see whether there are significan</w:t>
      </w:r>
      <w:r>
        <w:t>t improvements of stability on effects of error.</w:t>
      </w:r>
    </w:p>
    <w:p w:rsidR="003267EA" w:rsidRDefault="00AE4196">
      <w:pPr>
        <w:spacing w:before="240" w:after="240"/>
      </w:pPr>
      <w:r>
        <w:t xml:space="preserve">Figure 2 shows the plots of mean cash equivalent loss over 200 iterations and size of error varied from 0 through 1 in steps of 0.05 using simulated dataset under different risk tolerance levels.  </w:t>
      </w:r>
    </w:p>
    <w:p w:rsidR="003267EA" w:rsidRDefault="00AE4196">
      <w:pPr>
        <w:spacing w:before="240" w:after="240"/>
      </w:pPr>
      <w:r>
        <w:t>Robust op</w:t>
      </w:r>
      <w:r>
        <w:t>timization produced much lower cash equivalent loss than the mean-variance method under every risk tolerance level. And as the size of error increases, the cash equivalent loss didn’t increase significantly as the mean-variance method did, even staying rel</w:t>
      </w:r>
      <w:r>
        <w:t>atively stable (less than 0.05) when the risk tolerance level was greater than 1.</w:t>
      </w:r>
    </w:p>
    <w:p w:rsidR="003267EA" w:rsidRDefault="00AE4196">
      <w:pPr>
        <w:spacing w:before="240" w:after="240"/>
      </w:pPr>
      <w:r>
        <w:t>Also, we found that the same as the mean-variance method, the cash equivalent loss of robust optimization tended to get smaller when the risk tolerance parameter increases, a</w:t>
      </w:r>
      <w:r>
        <w:t>nd was almost the same under different risk tolerance levels that were greater than 1.</w:t>
      </w:r>
    </w:p>
    <w:p w:rsidR="003267EA" w:rsidRDefault="00AE4196">
      <w:pPr>
        <w:spacing w:before="240" w:after="240"/>
      </w:pPr>
      <w:r>
        <w:t xml:space="preserve">As the results showed, robust optimization is much </w:t>
      </w:r>
      <w:proofErr w:type="spellStart"/>
      <w:r>
        <w:t>stabler</w:t>
      </w:r>
      <w:proofErr w:type="spellEnd"/>
      <w:r>
        <w:t xml:space="preserve"> and less sensitive to the change of mean and does overcome the ill-effects of classical portfolio optimization</w:t>
      </w:r>
      <w:r>
        <w:t xml:space="preserve"> caused by the error-</w:t>
      </w:r>
      <w:proofErr w:type="spellStart"/>
      <w:r>
        <w:t>maximisation</w:t>
      </w:r>
      <w:proofErr w:type="spellEnd"/>
      <w:r>
        <w:t xml:space="preserve"> property.</w:t>
      </w:r>
    </w:p>
    <w:p w:rsidR="003267EA" w:rsidRDefault="00AE4196">
      <w:pPr>
        <w:spacing w:before="240"/>
        <w:rPr>
          <w:b/>
        </w:rPr>
      </w:pPr>
      <w:r>
        <w:rPr>
          <w:b/>
        </w:rPr>
        <w:t>FIGURE 2</w:t>
      </w:r>
    </w:p>
    <w:p w:rsidR="003267EA" w:rsidRDefault="00AE4196">
      <w:pPr>
        <w:rPr>
          <w:b/>
        </w:rPr>
      </w:pPr>
      <w:r>
        <w:rPr>
          <w:b/>
        </w:rPr>
        <w:t>Mean Cash Equivalent Loss for Errors in Means through Markowitz and Robust Optimization</w:t>
      </w:r>
    </w:p>
    <w:p w:rsidR="003267EA" w:rsidRDefault="00AE4196">
      <w:pPr>
        <w:spacing w:before="240" w:after="240"/>
      </w:pPr>
      <w:r>
        <w:rPr>
          <w:noProof/>
          <w:lang w:val="en-US"/>
        </w:rPr>
        <w:drawing>
          <wp:inline distT="114300" distB="114300" distL="114300" distR="114300">
            <wp:extent cx="5943600" cy="3340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340100"/>
                    </a:xfrm>
                    <a:prstGeom prst="rect">
                      <a:avLst/>
                    </a:prstGeom>
                    <a:ln/>
                  </pic:spPr>
                </pic:pic>
              </a:graphicData>
            </a:graphic>
          </wp:inline>
        </w:drawing>
      </w:r>
    </w:p>
    <w:p w:rsidR="003267EA" w:rsidRDefault="00AE4196">
      <w:pPr>
        <w:pStyle w:val="Heading2"/>
        <w:keepNext w:val="0"/>
        <w:keepLines w:val="0"/>
        <w:spacing w:after="80"/>
        <w:rPr>
          <w:b/>
          <w:sz w:val="34"/>
          <w:szCs w:val="34"/>
        </w:rPr>
      </w:pPr>
      <w:bookmarkStart w:id="6" w:name="_ckkzfr7u4fnw" w:colFirst="0" w:colLast="0"/>
      <w:bookmarkEnd w:id="6"/>
      <w:r>
        <w:rPr>
          <w:b/>
          <w:sz w:val="34"/>
          <w:szCs w:val="34"/>
        </w:rPr>
        <w:t>2.4 Shrinkage Estimator of Covariance Matrix</w:t>
      </w:r>
    </w:p>
    <w:p w:rsidR="003267EA" w:rsidRDefault="00AE4196">
      <w:pPr>
        <w:spacing w:before="240" w:after="240"/>
      </w:pPr>
      <w:r>
        <w:lastRenderedPageBreak/>
        <w:t>Statistical Shrinkage allows us to find the optimal trade-off between sample risk and model risk. In particular, we are not going to choose between either or another, but in fact, we mix them.</w:t>
      </w:r>
    </w:p>
    <w:p w:rsidR="003267EA" w:rsidRDefault="00AE4196">
      <w:pPr>
        <w:spacing w:before="240" w:after="240"/>
      </w:pPr>
      <w:r>
        <w:t>The idea is based on the average of two covariance matrix estim</w:t>
      </w:r>
      <w:r>
        <w:t xml:space="preserve">ates, one with high sample risk and one with high model risk: </w:t>
      </w:r>
    </w:p>
    <w:p w:rsidR="003267EA" w:rsidRDefault="00AE4196">
      <w:pPr>
        <w:spacing w:before="240" w:after="240"/>
        <w:jc w:val="center"/>
      </w:pPr>
      <m:oMathPara>
        <m:oMath>
          <m:sSub>
            <m:sSubPr>
              <m:ctrlPr>
                <w:rPr>
                  <w:rFonts w:ascii="Cambria Math" w:hAnsi="Cambria Math"/>
                </w:rPr>
              </m:ctrlPr>
            </m:sSubPr>
            <m:e>
              <m:r>
                <w:rPr>
                  <w:rFonts w:ascii="Cambria Math" w:hAnsi="Cambria Math"/>
                </w:rPr>
                <m:t>E</m:t>
              </m:r>
            </m:e>
            <m:sub>
              <m:r>
                <w:rPr>
                  <w:rFonts w:ascii="Cambria Math" w:hAnsi="Cambria Math"/>
                </w:rPr>
                <m:t>s</m:t>
              </m:r>
              <m:r>
                <w:rPr>
                  <w:rFonts w:ascii="Cambria Math" w:hAnsi="Cambria Math"/>
                </w:rPr>
                <m:t>h</m:t>
              </m:r>
              <m:r>
                <w:rPr>
                  <w:rFonts w:ascii="Cambria Math" w:hAnsi="Cambria Math"/>
                </w:rPr>
                <m:t>rink</m:t>
              </m:r>
            </m:sub>
          </m:sSub>
          <m:r>
            <w:rPr>
              <w:rFonts w:ascii="Cambria Math" w:hAnsi="Cambria Math"/>
            </w:rPr>
            <m:t xml:space="preserve"> = </m:t>
          </m:r>
          <m:r>
            <w:rPr>
              <w:rFonts w:ascii="Cambria Math" w:hAnsi="Cambria Math"/>
            </w:rPr>
            <m:t>δ</m:t>
          </m:r>
          <m:acc>
            <m:accPr>
              <m:ctrlPr>
                <w:rPr>
                  <w:rFonts w:ascii="Cambria Math" w:hAnsi="Cambria Math"/>
                </w:rPr>
              </m:ctrlPr>
            </m:accPr>
            <m:e>
              <m:r>
                <w:rPr>
                  <w:rFonts w:ascii="Cambria Math" w:hAnsi="Cambria Math"/>
                </w:rPr>
                <m:t>F</m:t>
              </m:r>
            </m:e>
          </m:acc>
          <m:r>
            <w:rPr>
              <w:rFonts w:ascii="Cambria Math" w:hAnsi="Cambria Math"/>
            </w:rPr>
            <m:t xml:space="preserve"> + (1-</m:t>
          </m:r>
          <m:r>
            <w:rPr>
              <w:rFonts w:ascii="Cambria Math" w:hAnsi="Cambria Math"/>
            </w:rPr>
            <m:t>δ</m:t>
          </m:r>
          <m:r>
            <w:rPr>
              <w:rFonts w:ascii="Cambria Math" w:hAnsi="Cambria Math"/>
            </w:rPr>
            <m:t>)</m:t>
          </m:r>
          <m:acc>
            <m:accPr>
              <m:ctrlPr>
                <w:rPr>
                  <w:rFonts w:ascii="Cambria Math" w:hAnsi="Cambria Math"/>
                </w:rPr>
              </m:ctrlPr>
            </m:accPr>
            <m:e>
              <m:r>
                <w:rPr>
                  <w:rFonts w:ascii="Cambria Math" w:hAnsi="Cambria Math"/>
                </w:rPr>
                <m:t>S</m:t>
              </m:r>
            </m:e>
          </m:acc>
        </m:oMath>
      </m:oMathPara>
    </w:p>
    <w:p w:rsidR="003267EA" w:rsidRDefault="00AE4196">
      <w:pPr>
        <w:spacing w:before="240" w:after="240"/>
      </w:pPr>
      <w:proofErr w:type="gramStart"/>
      <w:r>
        <w:t>where</w:t>
      </w:r>
      <w:proofErr w:type="gramEnd"/>
      <w:r>
        <w:t xml:space="preserve"> </w:t>
      </w:r>
      <m:oMath>
        <m:acc>
          <m:accPr>
            <m:ctrlPr>
              <w:rPr>
                <w:rFonts w:ascii="Cambria Math" w:hAnsi="Cambria Math"/>
              </w:rPr>
            </m:ctrlPr>
          </m:accPr>
          <m:e>
            <m:r>
              <w:rPr>
                <w:rFonts w:ascii="Cambria Math" w:hAnsi="Cambria Math"/>
              </w:rPr>
              <m:t>F</m:t>
            </m:r>
          </m:e>
        </m:acc>
      </m:oMath>
      <w:r>
        <w:t xml:space="preserve">is the factor-model based estimator of the covariance matrix, </w:t>
      </w:r>
      <m:oMath>
        <m:acc>
          <m:accPr>
            <m:ctrlPr>
              <w:rPr>
                <w:rFonts w:ascii="Cambria Math" w:hAnsi="Cambria Math"/>
              </w:rPr>
            </m:ctrlPr>
          </m:accPr>
          <m:e>
            <m:r>
              <w:rPr>
                <w:rFonts w:ascii="Cambria Math" w:hAnsi="Cambria Math"/>
              </w:rPr>
              <m:t>S</m:t>
            </m:r>
          </m:e>
        </m:acc>
      </m:oMath>
      <w:r>
        <w:t xml:space="preserve">, which is instead an estimator of the covariance matrix which is not factor-model based, and </w:t>
      </w:r>
      <m:oMath>
        <m:r>
          <w:rPr>
            <w:rFonts w:ascii="Cambria Math" w:hAnsi="Cambria Math"/>
          </w:rPr>
          <m:t>δ</m:t>
        </m:r>
      </m:oMath>
      <w:r>
        <w:t xml:space="preserve"> is the shrinkage factor range is in (0,1).</w:t>
      </w:r>
    </w:p>
    <w:p w:rsidR="003267EA" w:rsidRDefault="00AE4196">
      <w:pPr>
        <w:spacing w:before="240" w:after="240"/>
      </w:pPr>
      <w:r>
        <w:t xml:space="preserve">If we use the ETFs data which is the same as the 3.5 back-test, and choose </w:t>
      </w:r>
      <w:proofErr w:type="spellStart"/>
      <w:r>
        <w:t>Fama</w:t>
      </w:r>
      <w:proofErr w:type="spellEnd"/>
      <w:r>
        <w:t>-French three factor model to estimat</w:t>
      </w:r>
      <w:r>
        <w:t xml:space="preserve">e the covariance matrix, we could easily see the reduced effect of covariance errors with shrinkage covariance model compared to the traditional </w:t>
      </w:r>
      <w:proofErr w:type="spellStart"/>
      <w:r>
        <w:t>Markovitz</w:t>
      </w:r>
      <w:proofErr w:type="spellEnd"/>
      <w:r>
        <w:t xml:space="preserve"> optimization. First of all, let us look at the asset allocation in Exhibit 2 (risk tolerance paramete</w:t>
      </w:r>
      <w:r>
        <w:t xml:space="preserve">r= 1, </w:t>
      </w:r>
      <w:proofErr w:type="spellStart"/>
      <w:r>
        <w:t>iter_num</w:t>
      </w:r>
      <w:proofErr w:type="spellEnd"/>
      <w:r>
        <w:t xml:space="preserve"> = 300):</w:t>
      </w:r>
    </w:p>
    <w:p w:rsidR="003267EA" w:rsidRDefault="00AE4196">
      <w:pPr>
        <w:spacing w:before="240"/>
        <w:rPr>
          <w:b/>
        </w:rPr>
      </w:pPr>
      <w:r>
        <w:rPr>
          <w:b/>
        </w:rPr>
        <w:t>EXHIBIT 2</w:t>
      </w:r>
    </w:p>
    <w:p w:rsidR="003267EA" w:rsidRDefault="00AE4196">
      <w:pPr>
        <w:spacing w:before="240"/>
        <w:rPr>
          <w:b/>
        </w:rPr>
      </w:pPr>
      <w:r>
        <w:rPr>
          <w:b/>
        </w:rPr>
        <w:t>Optimal Portfolio Weights</w:t>
      </w:r>
      <w:r w:rsidR="009E03B7">
        <w:rPr>
          <w:b/>
        </w:rPr>
        <w:t xml:space="preserve"> for Traditional </w:t>
      </w:r>
      <w:proofErr w:type="spellStart"/>
      <w:r w:rsidR="009E03B7">
        <w:rPr>
          <w:b/>
        </w:rPr>
        <w:t>Markovitz</w:t>
      </w:r>
      <w:proofErr w:type="spellEnd"/>
      <w:r w:rsidR="009E03B7">
        <w:rPr>
          <w:b/>
        </w:rPr>
        <w:t xml:space="preserve"> and </w:t>
      </w:r>
      <w:r>
        <w:rPr>
          <w:b/>
        </w:rPr>
        <w:t>Shrinkage Covariance Models</w:t>
      </w:r>
    </w:p>
    <w:tbl>
      <w:tblPr>
        <w:tblStyle w:val="a0"/>
        <w:tblW w:w="924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70"/>
        <w:gridCol w:w="750"/>
        <w:gridCol w:w="870"/>
        <w:gridCol w:w="795"/>
        <w:gridCol w:w="885"/>
        <w:gridCol w:w="900"/>
        <w:gridCol w:w="915"/>
        <w:gridCol w:w="855"/>
        <w:gridCol w:w="930"/>
        <w:gridCol w:w="870"/>
      </w:tblGrid>
      <w:tr w:rsidR="003267EA">
        <w:tc>
          <w:tcPr>
            <w:tcW w:w="1470" w:type="dxa"/>
            <w:tcBorders>
              <w:left w:val="nil"/>
              <w:right w:val="nil"/>
            </w:tcBorders>
            <w:shd w:val="clear" w:color="auto" w:fill="auto"/>
            <w:tcMar>
              <w:top w:w="100" w:type="dxa"/>
              <w:left w:w="100" w:type="dxa"/>
              <w:bottom w:w="100" w:type="dxa"/>
              <w:right w:w="100" w:type="dxa"/>
            </w:tcMar>
          </w:tcPr>
          <w:p w:rsidR="003267EA" w:rsidRDefault="003267EA">
            <w:pPr>
              <w:spacing w:line="240" w:lineRule="auto"/>
            </w:pPr>
          </w:p>
        </w:tc>
        <w:tc>
          <w:tcPr>
            <w:tcW w:w="750" w:type="dxa"/>
            <w:tcBorders>
              <w:left w:val="nil"/>
              <w:right w:val="nil"/>
            </w:tcBorders>
            <w:shd w:val="clear" w:color="auto" w:fill="auto"/>
            <w:tcMar>
              <w:top w:w="100" w:type="dxa"/>
              <w:left w:w="100" w:type="dxa"/>
              <w:bottom w:w="100" w:type="dxa"/>
              <w:right w:w="100" w:type="dxa"/>
            </w:tcMar>
          </w:tcPr>
          <w:p w:rsidR="003267EA" w:rsidRDefault="00AE4196">
            <w:pPr>
              <w:spacing w:line="240" w:lineRule="auto"/>
            </w:pPr>
            <w:r>
              <w:t>VB</w:t>
            </w:r>
          </w:p>
        </w:tc>
        <w:tc>
          <w:tcPr>
            <w:tcW w:w="870" w:type="dxa"/>
            <w:tcBorders>
              <w:left w:val="nil"/>
              <w:right w:val="nil"/>
            </w:tcBorders>
            <w:shd w:val="clear" w:color="auto" w:fill="auto"/>
            <w:tcMar>
              <w:top w:w="100" w:type="dxa"/>
              <w:left w:w="100" w:type="dxa"/>
              <w:bottom w:w="100" w:type="dxa"/>
              <w:right w:w="100" w:type="dxa"/>
            </w:tcMar>
          </w:tcPr>
          <w:p w:rsidR="003267EA" w:rsidRDefault="00AE4196">
            <w:pPr>
              <w:spacing w:line="240" w:lineRule="auto"/>
            </w:pPr>
            <w:r>
              <w:t>VGLT</w:t>
            </w:r>
          </w:p>
        </w:tc>
        <w:tc>
          <w:tcPr>
            <w:tcW w:w="795" w:type="dxa"/>
            <w:tcBorders>
              <w:left w:val="nil"/>
              <w:right w:val="nil"/>
            </w:tcBorders>
            <w:shd w:val="clear" w:color="auto" w:fill="auto"/>
            <w:tcMar>
              <w:top w:w="100" w:type="dxa"/>
              <w:left w:w="100" w:type="dxa"/>
              <w:bottom w:w="100" w:type="dxa"/>
              <w:right w:w="100" w:type="dxa"/>
            </w:tcMar>
          </w:tcPr>
          <w:p w:rsidR="003267EA" w:rsidRDefault="00AE4196">
            <w:pPr>
              <w:spacing w:line="240" w:lineRule="auto"/>
            </w:pPr>
            <w:r>
              <w:t>GLD</w:t>
            </w:r>
          </w:p>
        </w:tc>
        <w:tc>
          <w:tcPr>
            <w:tcW w:w="885" w:type="dxa"/>
            <w:tcBorders>
              <w:left w:val="nil"/>
              <w:right w:val="nil"/>
            </w:tcBorders>
            <w:shd w:val="clear" w:color="auto" w:fill="auto"/>
            <w:tcMar>
              <w:top w:w="100" w:type="dxa"/>
              <w:left w:w="100" w:type="dxa"/>
              <w:bottom w:w="100" w:type="dxa"/>
              <w:right w:w="100" w:type="dxa"/>
            </w:tcMar>
          </w:tcPr>
          <w:p w:rsidR="003267EA" w:rsidRDefault="00AE4196">
            <w:pPr>
              <w:spacing w:line="240" w:lineRule="auto"/>
            </w:pPr>
            <w:r>
              <w:t>VOD</w:t>
            </w:r>
          </w:p>
        </w:tc>
        <w:tc>
          <w:tcPr>
            <w:tcW w:w="900" w:type="dxa"/>
            <w:tcBorders>
              <w:left w:val="nil"/>
              <w:right w:val="nil"/>
            </w:tcBorders>
            <w:shd w:val="clear" w:color="auto" w:fill="auto"/>
            <w:tcMar>
              <w:top w:w="100" w:type="dxa"/>
              <w:left w:w="100" w:type="dxa"/>
              <w:bottom w:w="100" w:type="dxa"/>
              <w:right w:w="100" w:type="dxa"/>
            </w:tcMar>
          </w:tcPr>
          <w:p w:rsidR="003267EA" w:rsidRDefault="00AE4196">
            <w:pPr>
              <w:spacing w:line="240" w:lineRule="auto"/>
            </w:pPr>
            <w:r>
              <w:t>SHY</w:t>
            </w:r>
          </w:p>
        </w:tc>
        <w:tc>
          <w:tcPr>
            <w:tcW w:w="915" w:type="dxa"/>
            <w:tcBorders>
              <w:left w:val="nil"/>
              <w:right w:val="nil"/>
            </w:tcBorders>
            <w:shd w:val="clear" w:color="auto" w:fill="auto"/>
            <w:tcMar>
              <w:top w:w="100" w:type="dxa"/>
              <w:left w:w="100" w:type="dxa"/>
              <w:bottom w:w="100" w:type="dxa"/>
              <w:right w:w="100" w:type="dxa"/>
            </w:tcMar>
          </w:tcPr>
          <w:p w:rsidR="003267EA" w:rsidRDefault="00AE4196">
            <w:pPr>
              <w:spacing w:line="240" w:lineRule="auto"/>
            </w:pPr>
            <w:r>
              <w:t>SPIB</w:t>
            </w:r>
          </w:p>
        </w:tc>
        <w:tc>
          <w:tcPr>
            <w:tcW w:w="855" w:type="dxa"/>
            <w:tcBorders>
              <w:left w:val="nil"/>
              <w:right w:val="nil"/>
            </w:tcBorders>
            <w:shd w:val="clear" w:color="auto" w:fill="auto"/>
            <w:tcMar>
              <w:top w:w="100" w:type="dxa"/>
              <w:left w:w="100" w:type="dxa"/>
              <w:bottom w:w="100" w:type="dxa"/>
              <w:right w:w="100" w:type="dxa"/>
            </w:tcMar>
          </w:tcPr>
          <w:p w:rsidR="003267EA" w:rsidRDefault="00AE4196">
            <w:pPr>
              <w:spacing w:line="240" w:lineRule="auto"/>
            </w:pPr>
            <w:r>
              <w:t>VWO</w:t>
            </w:r>
          </w:p>
        </w:tc>
        <w:tc>
          <w:tcPr>
            <w:tcW w:w="930" w:type="dxa"/>
            <w:tcBorders>
              <w:left w:val="nil"/>
              <w:right w:val="nil"/>
            </w:tcBorders>
            <w:shd w:val="clear" w:color="auto" w:fill="auto"/>
            <w:tcMar>
              <w:top w:w="100" w:type="dxa"/>
              <w:left w:w="100" w:type="dxa"/>
              <w:bottom w:w="100" w:type="dxa"/>
              <w:right w:w="100" w:type="dxa"/>
            </w:tcMar>
          </w:tcPr>
          <w:p w:rsidR="003267EA" w:rsidRDefault="00AE4196">
            <w:pPr>
              <w:spacing w:line="240" w:lineRule="auto"/>
            </w:pPr>
            <w:r>
              <w:t>DBC</w:t>
            </w:r>
          </w:p>
        </w:tc>
        <w:tc>
          <w:tcPr>
            <w:tcW w:w="870" w:type="dxa"/>
            <w:tcBorders>
              <w:left w:val="nil"/>
              <w:right w:val="nil"/>
            </w:tcBorders>
            <w:shd w:val="clear" w:color="auto" w:fill="auto"/>
            <w:tcMar>
              <w:top w:w="100" w:type="dxa"/>
              <w:left w:w="100" w:type="dxa"/>
              <w:bottom w:w="100" w:type="dxa"/>
              <w:right w:w="100" w:type="dxa"/>
            </w:tcMar>
          </w:tcPr>
          <w:p w:rsidR="003267EA" w:rsidRDefault="00AE4196">
            <w:pPr>
              <w:spacing w:line="240" w:lineRule="auto"/>
            </w:pPr>
            <w:r>
              <w:t>VO</w:t>
            </w:r>
          </w:p>
        </w:tc>
      </w:tr>
      <w:tr w:rsidR="003267EA">
        <w:tc>
          <w:tcPr>
            <w:tcW w:w="1470" w:type="dxa"/>
            <w:tcBorders>
              <w:left w:val="nil"/>
              <w:bottom w:val="nil"/>
              <w:right w:val="nil"/>
            </w:tcBorders>
            <w:shd w:val="clear" w:color="auto" w:fill="auto"/>
            <w:tcMar>
              <w:top w:w="100" w:type="dxa"/>
              <w:left w:w="100" w:type="dxa"/>
              <w:bottom w:w="100" w:type="dxa"/>
              <w:right w:w="100" w:type="dxa"/>
            </w:tcMar>
          </w:tcPr>
          <w:p w:rsidR="003267EA" w:rsidRDefault="00AE4196">
            <w:pPr>
              <w:spacing w:line="240" w:lineRule="auto"/>
            </w:pPr>
            <w:r>
              <w:t xml:space="preserve">Traditional </w:t>
            </w:r>
            <w:proofErr w:type="spellStart"/>
            <w:r>
              <w:t>Markovitz</w:t>
            </w:r>
            <w:proofErr w:type="spellEnd"/>
          </w:p>
        </w:tc>
        <w:tc>
          <w:tcPr>
            <w:tcW w:w="750" w:type="dxa"/>
            <w:tcBorders>
              <w:left w:val="nil"/>
              <w:bottom w:val="nil"/>
              <w:right w:val="nil"/>
            </w:tcBorders>
            <w:shd w:val="clear" w:color="auto" w:fill="auto"/>
            <w:tcMar>
              <w:top w:w="100" w:type="dxa"/>
              <w:left w:w="100" w:type="dxa"/>
              <w:bottom w:w="100" w:type="dxa"/>
              <w:right w:w="100" w:type="dxa"/>
            </w:tcMar>
          </w:tcPr>
          <w:p w:rsidR="003267EA" w:rsidRDefault="00AE4196">
            <w:pPr>
              <w:spacing w:line="240" w:lineRule="auto"/>
            </w:pPr>
            <w:r>
              <w:t>0</w:t>
            </w:r>
          </w:p>
        </w:tc>
        <w:tc>
          <w:tcPr>
            <w:tcW w:w="870" w:type="dxa"/>
            <w:tcBorders>
              <w:left w:val="nil"/>
              <w:bottom w:val="nil"/>
              <w:right w:val="nil"/>
            </w:tcBorders>
            <w:shd w:val="clear" w:color="auto" w:fill="auto"/>
            <w:tcMar>
              <w:top w:w="100" w:type="dxa"/>
              <w:left w:w="100" w:type="dxa"/>
              <w:bottom w:w="100" w:type="dxa"/>
              <w:right w:w="100" w:type="dxa"/>
            </w:tcMar>
          </w:tcPr>
          <w:p w:rsidR="003267EA" w:rsidRDefault="00AE4196">
            <w:pPr>
              <w:spacing w:line="240" w:lineRule="auto"/>
            </w:pPr>
            <w:r>
              <w:t>0.164</w:t>
            </w:r>
          </w:p>
        </w:tc>
        <w:tc>
          <w:tcPr>
            <w:tcW w:w="795" w:type="dxa"/>
            <w:tcBorders>
              <w:left w:val="nil"/>
              <w:bottom w:val="nil"/>
              <w:right w:val="nil"/>
            </w:tcBorders>
            <w:shd w:val="clear" w:color="auto" w:fill="auto"/>
            <w:tcMar>
              <w:top w:w="100" w:type="dxa"/>
              <w:left w:w="100" w:type="dxa"/>
              <w:bottom w:w="100" w:type="dxa"/>
              <w:right w:w="100" w:type="dxa"/>
            </w:tcMar>
          </w:tcPr>
          <w:p w:rsidR="003267EA" w:rsidRDefault="00AE4196">
            <w:pPr>
              <w:spacing w:line="240" w:lineRule="auto"/>
            </w:pPr>
            <w:r>
              <w:t>0</w:t>
            </w:r>
          </w:p>
        </w:tc>
        <w:tc>
          <w:tcPr>
            <w:tcW w:w="885" w:type="dxa"/>
            <w:tcBorders>
              <w:left w:val="nil"/>
              <w:bottom w:val="nil"/>
              <w:right w:val="nil"/>
            </w:tcBorders>
            <w:shd w:val="clear" w:color="auto" w:fill="auto"/>
            <w:tcMar>
              <w:top w:w="100" w:type="dxa"/>
              <w:left w:w="100" w:type="dxa"/>
              <w:bottom w:w="100" w:type="dxa"/>
              <w:right w:w="100" w:type="dxa"/>
            </w:tcMar>
          </w:tcPr>
          <w:p w:rsidR="003267EA" w:rsidRDefault="00AE4196">
            <w:pPr>
              <w:spacing w:line="240" w:lineRule="auto"/>
            </w:pPr>
            <w:r>
              <w:t>0.836</w:t>
            </w:r>
          </w:p>
        </w:tc>
        <w:tc>
          <w:tcPr>
            <w:tcW w:w="900" w:type="dxa"/>
            <w:tcBorders>
              <w:left w:val="nil"/>
              <w:bottom w:val="nil"/>
              <w:right w:val="nil"/>
            </w:tcBorders>
            <w:shd w:val="clear" w:color="auto" w:fill="auto"/>
            <w:tcMar>
              <w:top w:w="100" w:type="dxa"/>
              <w:left w:w="100" w:type="dxa"/>
              <w:bottom w:w="100" w:type="dxa"/>
              <w:right w:w="100" w:type="dxa"/>
            </w:tcMar>
          </w:tcPr>
          <w:p w:rsidR="003267EA" w:rsidRDefault="00AE4196">
            <w:pPr>
              <w:spacing w:line="240" w:lineRule="auto"/>
            </w:pPr>
            <w:r>
              <w:t>0</w:t>
            </w:r>
          </w:p>
        </w:tc>
        <w:tc>
          <w:tcPr>
            <w:tcW w:w="915" w:type="dxa"/>
            <w:tcBorders>
              <w:left w:val="nil"/>
              <w:bottom w:val="nil"/>
              <w:right w:val="nil"/>
            </w:tcBorders>
            <w:shd w:val="clear" w:color="auto" w:fill="auto"/>
            <w:tcMar>
              <w:top w:w="100" w:type="dxa"/>
              <w:left w:w="100" w:type="dxa"/>
              <w:bottom w:w="100" w:type="dxa"/>
              <w:right w:w="100" w:type="dxa"/>
            </w:tcMar>
          </w:tcPr>
          <w:p w:rsidR="003267EA" w:rsidRDefault="00AE4196">
            <w:pPr>
              <w:spacing w:line="240" w:lineRule="auto"/>
            </w:pPr>
            <w:r>
              <w:t>0</w:t>
            </w:r>
          </w:p>
        </w:tc>
        <w:tc>
          <w:tcPr>
            <w:tcW w:w="855" w:type="dxa"/>
            <w:tcBorders>
              <w:left w:val="nil"/>
              <w:bottom w:val="nil"/>
              <w:right w:val="nil"/>
            </w:tcBorders>
            <w:shd w:val="clear" w:color="auto" w:fill="auto"/>
            <w:tcMar>
              <w:top w:w="100" w:type="dxa"/>
              <w:left w:w="100" w:type="dxa"/>
              <w:bottom w:w="100" w:type="dxa"/>
              <w:right w:w="100" w:type="dxa"/>
            </w:tcMar>
          </w:tcPr>
          <w:p w:rsidR="003267EA" w:rsidRDefault="00AE4196">
            <w:pPr>
              <w:spacing w:line="240" w:lineRule="auto"/>
            </w:pPr>
            <w:r>
              <w:t>0</w:t>
            </w:r>
          </w:p>
        </w:tc>
        <w:tc>
          <w:tcPr>
            <w:tcW w:w="930" w:type="dxa"/>
            <w:tcBorders>
              <w:left w:val="nil"/>
              <w:bottom w:val="nil"/>
              <w:right w:val="nil"/>
            </w:tcBorders>
            <w:shd w:val="clear" w:color="auto" w:fill="auto"/>
            <w:tcMar>
              <w:top w:w="100" w:type="dxa"/>
              <w:left w:w="100" w:type="dxa"/>
              <w:bottom w:w="100" w:type="dxa"/>
              <w:right w:w="100" w:type="dxa"/>
            </w:tcMar>
          </w:tcPr>
          <w:p w:rsidR="003267EA" w:rsidRDefault="00AE4196">
            <w:pPr>
              <w:spacing w:line="240" w:lineRule="auto"/>
            </w:pPr>
            <w:r>
              <w:t>0</w:t>
            </w:r>
          </w:p>
        </w:tc>
        <w:tc>
          <w:tcPr>
            <w:tcW w:w="870" w:type="dxa"/>
            <w:tcBorders>
              <w:left w:val="nil"/>
              <w:bottom w:val="nil"/>
              <w:right w:val="nil"/>
            </w:tcBorders>
            <w:shd w:val="clear" w:color="auto" w:fill="auto"/>
            <w:tcMar>
              <w:top w:w="100" w:type="dxa"/>
              <w:left w:w="100" w:type="dxa"/>
              <w:bottom w:w="100" w:type="dxa"/>
              <w:right w:w="100" w:type="dxa"/>
            </w:tcMar>
          </w:tcPr>
          <w:p w:rsidR="003267EA" w:rsidRDefault="00AE4196">
            <w:pPr>
              <w:spacing w:line="240" w:lineRule="auto"/>
            </w:pPr>
            <w:r>
              <w:t>0</w:t>
            </w:r>
          </w:p>
        </w:tc>
      </w:tr>
      <w:tr w:rsidR="003267EA">
        <w:tc>
          <w:tcPr>
            <w:tcW w:w="1470" w:type="dxa"/>
            <w:tcBorders>
              <w:top w:val="nil"/>
              <w:left w:val="nil"/>
              <w:right w:val="nil"/>
            </w:tcBorders>
            <w:shd w:val="clear" w:color="auto" w:fill="auto"/>
            <w:tcMar>
              <w:top w:w="100" w:type="dxa"/>
              <w:left w:w="100" w:type="dxa"/>
              <w:bottom w:w="100" w:type="dxa"/>
              <w:right w:w="100" w:type="dxa"/>
            </w:tcMar>
          </w:tcPr>
          <w:p w:rsidR="003267EA" w:rsidRDefault="00AE4196">
            <w:pPr>
              <w:spacing w:line="240" w:lineRule="auto"/>
            </w:pPr>
            <w:r>
              <w:t>Shrinkage Covariance</w:t>
            </w:r>
          </w:p>
        </w:tc>
        <w:tc>
          <w:tcPr>
            <w:tcW w:w="750" w:type="dxa"/>
            <w:tcBorders>
              <w:top w:val="nil"/>
              <w:left w:val="nil"/>
              <w:right w:val="nil"/>
            </w:tcBorders>
            <w:shd w:val="clear" w:color="auto" w:fill="auto"/>
            <w:tcMar>
              <w:top w:w="100" w:type="dxa"/>
              <w:left w:w="100" w:type="dxa"/>
              <w:bottom w:w="100" w:type="dxa"/>
              <w:right w:w="100" w:type="dxa"/>
            </w:tcMar>
          </w:tcPr>
          <w:p w:rsidR="003267EA" w:rsidRDefault="00AE4196">
            <w:pPr>
              <w:spacing w:line="240" w:lineRule="auto"/>
            </w:pPr>
            <w:r>
              <w:t>0</w:t>
            </w:r>
          </w:p>
        </w:tc>
        <w:tc>
          <w:tcPr>
            <w:tcW w:w="870" w:type="dxa"/>
            <w:tcBorders>
              <w:top w:val="nil"/>
              <w:left w:val="nil"/>
              <w:right w:val="nil"/>
            </w:tcBorders>
            <w:shd w:val="clear" w:color="auto" w:fill="auto"/>
            <w:tcMar>
              <w:top w:w="100" w:type="dxa"/>
              <w:left w:w="100" w:type="dxa"/>
              <w:bottom w:w="100" w:type="dxa"/>
              <w:right w:w="100" w:type="dxa"/>
            </w:tcMar>
          </w:tcPr>
          <w:p w:rsidR="003267EA" w:rsidRDefault="00AE4196">
            <w:pPr>
              <w:spacing w:line="240" w:lineRule="auto"/>
            </w:pPr>
            <w:r>
              <w:t>0.253</w:t>
            </w:r>
          </w:p>
        </w:tc>
        <w:tc>
          <w:tcPr>
            <w:tcW w:w="795" w:type="dxa"/>
            <w:tcBorders>
              <w:top w:val="nil"/>
              <w:left w:val="nil"/>
              <w:right w:val="nil"/>
            </w:tcBorders>
            <w:shd w:val="clear" w:color="auto" w:fill="auto"/>
            <w:tcMar>
              <w:top w:w="100" w:type="dxa"/>
              <w:left w:w="100" w:type="dxa"/>
              <w:bottom w:w="100" w:type="dxa"/>
              <w:right w:w="100" w:type="dxa"/>
            </w:tcMar>
          </w:tcPr>
          <w:p w:rsidR="003267EA" w:rsidRDefault="00AE4196">
            <w:pPr>
              <w:spacing w:line="240" w:lineRule="auto"/>
            </w:pPr>
            <w:r>
              <w:t>0</w:t>
            </w:r>
          </w:p>
        </w:tc>
        <w:tc>
          <w:tcPr>
            <w:tcW w:w="885" w:type="dxa"/>
            <w:tcBorders>
              <w:top w:val="nil"/>
              <w:left w:val="nil"/>
              <w:right w:val="nil"/>
            </w:tcBorders>
            <w:shd w:val="clear" w:color="auto" w:fill="auto"/>
            <w:tcMar>
              <w:top w:w="100" w:type="dxa"/>
              <w:left w:w="100" w:type="dxa"/>
              <w:bottom w:w="100" w:type="dxa"/>
              <w:right w:w="100" w:type="dxa"/>
            </w:tcMar>
          </w:tcPr>
          <w:p w:rsidR="003267EA" w:rsidRDefault="00AE4196">
            <w:pPr>
              <w:spacing w:line="240" w:lineRule="auto"/>
            </w:pPr>
            <w:r>
              <w:t>0.747</w:t>
            </w:r>
          </w:p>
        </w:tc>
        <w:tc>
          <w:tcPr>
            <w:tcW w:w="900" w:type="dxa"/>
            <w:tcBorders>
              <w:top w:val="nil"/>
              <w:left w:val="nil"/>
              <w:right w:val="nil"/>
            </w:tcBorders>
            <w:shd w:val="clear" w:color="auto" w:fill="auto"/>
            <w:tcMar>
              <w:top w:w="100" w:type="dxa"/>
              <w:left w:w="100" w:type="dxa"/>
              <w:bottom w:w="100" w:type="dxa"/>
              <w:right w:w="100" w:type="dxa"/>
            </w:tcMar>
          </w:tcPr>
          <w:p w:rsidR="003267EA" w:rsidRDefault="00AE4196">
            <w:pPr>
              <w:spacing w:line="240" w:lineRule="auto"/>
            </w:pPr>
            <w:r>
              <w:t>0</w:t>
            </w:r>
          </w:p>
        </w:tc>
        <w:tc>
          <w:tcPr>
            <w:tcW w:w="915" w:type="dxa"/>
            <w:tcBorders>
              <w:top w:val="nil"/>
              <w:left w:val="nil"/>
              <w:right w:val="nil"/>
            </w:tcBorders>
            <w:shd w:val="clear" w:color="auto" w:fill="auto"/>
            <w:tcMar>
              <w:top w:w="100" w:type="dxa"/>
              <w:left w:w="100" w:type="dxa"/>
              <w:bottom w:w="100" w:type="dxa"/>
              <w:right w:w="100" w:type="dxa"/>
            </w:tcMar>
          </w:tcPr>
          <w:p w:rsidR="003267EA" w:rsidRDefault="00AE4196">
            <w:pPr>
              <w:spacing w:line="240" w:lineRule="auto"/>
            </w:pPr>
            <w:r>
              <w:t>0</w:t>
            </w:r>
          </w:p>
        </w:tc>
        <w:tc>
          <w:tcPr>
            <w:tcW w:w="855" w:type="dxa"/>
            <w:tcBorders>
              <w:top w:val="nil"/>
              <w:left w:val="nil"/>
              <w:right w:val="nil"/>
            </w:tcBorders>
            <w:shd w:val="clear" w:color="auto" w:fill="auto"/>
            <w:tcMar>
              <w:top w:w="100" w:type="dxa"/>
              <w:left w:w="100" w:type="dxa"/>
              <w:bottom w:w="100" w:type="dxa"/>
              <w:right w:w="100" w:type="dxa"/>
            </w:tcMar>
          </w:tcPr>
          <w:p w:rsidR="003267EA" w:rsidRDefault="00AE4196">
            <w:pPr>
              <w:spacing w:line="240" w:lineRule="auto"/>
            </w:pPr>
            <w:r>
              <w:t>0</w:t>
            </w:r>
          </w:p>
        </w:tc>
        <w:tc>
          <w:tcPr>
            <w:tcW w:w="930" w:type="dxa"/>
            <w:tcBorders>
              <w:top w:val="nil"/>
              <w:left w:val="nil"/>
              <w:right w:val="nil"/>
            </w:tcBorders>
            <w:shd w:val="clear" w:color="auto" w:fill="auto"/>
            <w:tcMar>
              <w:top w:w="100" w:type="dxa"/>
              <w:left w:w="100" w:type="dxa"/>
              <w:bottom w:w="100" w:type="dxa"/>
              <w:right w:w="100" w:type="dxa"/>
            </w:tcMar>
          </w:tcPr>
          <w:p w:rsidR="003267EA" w:rsidRDefault="00AE4196">
            <w:pPr>
              <w:spacing w:line="240" w:lineRule="auto"/>
            </w:pPr>
            <w:r>
              <w:t>0</w:t>
            </w:r>
          </w:p>
        </w:tc>
        <w:tc>
          <w:tcPr>
            <w:tcW w:w="870" w:type="dxa"/>
            <w:tcBorders>
              <w:top w:val="nil"/>
              <w:left w:val="nil"/>
              <w:right w:val="nil"/>
            </w:tcBorders>
            <w:shd w:val="clear" w:color="auto" w:fill="auto"/>
            <w:tcMar>
              <w:top w:w="100" w:type="dxa"/>
              <w:left w:w="100" w:type="dxa"/>
              <w:bottom w:w="100" w:type="dxa"/>
              <w:right w:w="100" w:type="dxa"/>
            </w:tcMar>
          </w:tcPr>
          <w:p w:rsidR="003267EA" w:rsidRDefault="00AE4196">
            <w:pPr>
              <w:spacing w:line="240" w:lineRule="auto"/>
            </w:pPr>
            <w:r>
              <w:t>0</w:t>
            </w:r>
          </w:p>
        </w:tc>
      </w:tr>
    </w:tbl>
    <w:p w:rsidR="003267EA" w:rsidRDefault="003267EA"/>
    <w:p w:rsidR="003267EA" w:rsidRDefault="00AE4196">
      <w:r>
        <w:t xml:space="preserve">The result makes sense, since performing statistical shrinkage is equivalent to imposing constraints on weights. </w:t>
      </w:r>
      <w:proofErr w:type="gramStart"/>
      <w:r>
        <w:t>when</w:t>
      </w:r>
      <w:proofErr w:type="gramEnd"/>
      <w:r>
        <w:t xml:space="preserve"> doing shrinkage, we're actually shrinking the dispersion of the input parameter value, reducing the distribution of the inputs is equivale</w:t>
      </w:r>
      <w:r>
        <w:t xml:space="preserve">nt to reducing the distribution of the outputs. In traditional </w:t>
      </w:r>
      <w:proofErr w:type="spellStart"/>
      <w:r>
        <w:t>Markovitz</w:t>
      </w:r>
      <w:proofErr w:type="spellEnd"/>
      <w:r>
        <w:t xml:space="preserve"> optimization, we put too much weight on the VOD, however, with shrinkage covariance </w:t>
      </w:r>
      <w:proofErr w:type="gramStart"/>
      <w:r>
        <w:t>model,</w:t>
      </w:r>
      <w:proofErr w:type="gramEnd"/>
      <w:r>
        <w:t xml:space="preserve"> the weight on VOD reduces to 0.747 from 0.836.  Next, let us test the mean CEL for the two m</w:t>
      </w:r>
      <w:r>
        <w:t>odels in Exhibit 3:</w:t>
      </w:r>
    </w:p>
    <w:p w:rsidR="003267EA" w:rsidRDefault="003267EA"/>
    <w:p w:rsidR="003267EA" w:rsidRDefault="00AE4196">
      <w:pPr>
        <w:rPr>
          <w:b/>
        </w:rPr>
      </w:pPr>
      <w:r>
        <w:rPr>
          <w:b/>
        </w:rPr>
        <w:t>EXHIBIT 3</w:t>
      </w:r>
    </w:p>
    <w:p w:rsidR="003267EA" w:rsidRDefault="00AE4196">
      <w:pPr>
        <w:spacing w:before="240"/>
      </w:pPr>
      <w:r>
        <w:rPr>
          <w:b/>
        </w:rPr>
        <w:t>Mean Cash Equivalent Loss (CEL) in Covariance Error</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3267EA">
        <w:tc>
          <w:tcPr>
            <w:tcW w:w="1872"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3267EA" w:rsidRDefault="003267EA">
            <w:pPr>
              <w:spacing w:line="240" w:lineRule="auto"/>
            </w:pPr>
          </w:p>
        </w:tc>
        <w:tc>
          <w:tcPr>
            <w:tcW w:w="1872"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3267EA" w:rsidRDefault="00AE4196">
            <w:pPr>
              <w:spacing w:line="240" w:lineRule="auto"/>
            </w:pPr>
            <w:r>
              <w:t>k = 0.05</w:t>
            </w:r>
          </w:p>
        </w:tc>
        <w:tc>
          <w:tcPr>
            <w:tcW w:w="1872"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3267EA" w:rsidRDefault="00AE4196">
            <w:pPr>
              <w:spacing w:line="240" w:lineRule="auto"/>
            </w:pPr>
            <w:r>
              <w:t>k = 0.10</w:t>
            </w:r>
          </w:p>
        </w:tc>
        <w:tc>
          <w:tcPr>
            <w:tcW w:w="1872"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3267EA" w:rsidRDefault="00AE4196">
            <w:pPr>
              <w:spacing w:line="240" w:lineRule="auto"/>
            </w:pPr>
            <w:r>
              <w:t>k = 0.15</w:t>
            </w:r>
          </w:p>
        </w:tc>
        <w:tc>
          <w:tcPr>
            <w:tcW w:w="1872"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3267EA" w:rsidRDefault="00AE4196">
            <w:pPr>
              <w:spacing w:line="240" w:lineRule="auto"/>
            </w:pPr>
            <w:r>
              <w:t>k = 0.20</w:t>
            </w:r>
          </w:p>
        </w:tc>
      </w:tr>
      <w:tr w:rsidR="003267EA">
        <w:tc>
          <w:tcPr>
            <w:tcW w:w="1872" w:type="dxa"/>
            <w:tcBorders>
              <w:top w:val="single" w:sz="4" w:space="0" w:color="000000"/>
              <w:left w:val="nil"/>
              <w:bottom w:val="nil"/>
              <w:right w:val="nil"/>
            </w:tcBorders>
            <w:shd w:val="clear" w:color="auto" w:fill="auto"/>
            <w:tcMar>
              <w:top w:w="100" w:type="dxa"/>
              <w:left w:w="100" w:type="dxa"/>
              <w:bottom w:w="100" w:type="dxa"/>
              <w:right w:w="100" w:type="dxa"/>
            </w:tcMar>
          </w:tcPr>
          <w:p w:rsidR="003267EA" w:rsidRDefault="00AE4196">
            <w:pPr>
              <w:spacing w:line="240" w:lineRule="auto"/>
            </w:pPr>
            <w:r>
              <w:t xml:space="preserve">Traditional </w:t>
            </w:r>
            <w:proofErr w:type="spellStart"/>
            <w:r>
              <w:t>Markovitz</w:t>
            </w:r>
            <w:proofErr w:type="spellEnd"/>
          </w:p>
        </w:tc>
        <w:tc>
          <w:tcPr>
            <w:tcW w:w="1872" w:type="dxa"/>
            <w:tcBorders>
              <w:top w:val="single" w:sz="4" w:space="0" w:color="000000"/>
              <w:left w:val="nil"/>
              <w:bottom w:val="nil"/>
              <w:right w:val="nil"/>
            </w:tcBorders>
            <w:shd w:val="clear" w:color="auto" w:fill="auto"/>
            <w:tcMar>
              <w:top w:w="100" w:type="dxa"/>
              <w:left w:w="100" w:type="dxa"/>
              <w:bottom w:w="100" w:type="dxa"/>
              <w:right w:w="100" w:type="dxa"/>
            </w:tcMar>
          </w:tcPr>
          <w:p w:rsidR="003267EA" w:rsidRDefault="003267EA">
            <w:pPr>
              <w:spacing w:line="240" w:lineRule="auto"/>
            </w:pPr>
          </w:p>
          <w:p w:rsidR="003267EA" w:rsidRDefault="00AE4196">
            <w:pPr>
              <w:spacing w:line="240" w:lineRule="auto"/>
            </w:pPr>
            <w:r>
              <w:t>0.000010</w:t>
            </w:r>
          </w:p>
        </w:tc>
        <w:tc>
          <w:tcPr>
            <w:tcW w:w="1872" w:type="dxa"/>
            <w:tcBorders>
              <w:top w:val="single" w:sz="4" w:space="0" w:color="000000"/>
              <w:left w:val="nil"/>
              <w:bottom w:val="nil"/>
              <w:right w:val="nil"/>
            </w:tcBorders>
            <w:shd w:val="clear" w:color="auto" w:fill="auto"/>
            <w:tcMar>
              <w:top w:w="100" w:type="dxa"/>
              <w:left w:w="100" w:type="dxa"/>
              <w:bottom w:w="100" w:type="dxa"/>
              <w:right w:w="100" w:type="dxa"/>
            </w:tcMar>
          </w:tcPr>
          <w:p w:rsidR="003267EA" w:rsidRDefault="003267EA">
            <w:pPr>
              <w:spacing w:line="240" w:lineRule="auto"/>
            </w:pPr>
          </w:p>
          <w:p w:rsidR="003267EA" w:rsidRDefault="00AE4196">
            <w:pPr>
              <w:spacing w:line="240" w:lineRule="auto"/>
            </w:pPr>
            <w:r>
              <w:t>0.000040</w:t>
            </w:r>
          </w:p>
        </w:tc>
        <w:tc>
          <w:tcPr>
            <w:tcW w:w="1872" w:type="dxa"/>
            <w:tcBorders>
              <w:top w:val="single" w:sz="4" w:space="0" w:color="000000"/>
              <w:left w:val="nil"/>
              <w:bottom w:val="nil"/>
              <w:right w:val="nil"/>
            </w:tcBorders>
            <w:shd w:val="clear" w:color="auto" w:fill="auto"/>
            <w:tcMar>
              <w:top w:w="100" w:type="dxa"/>
              <w:left w:w="100" w:type="dxa"/>
              <w:bottom w:w="100" w:type="dxa"/>
              <w:right w:w="100" w:type="dxa"/>
            </w:tcMar>
          </w:tcPr>
          <w:p w:rsidR="003267EA" w:rsidRDefault="003267EA">
            <w:pPr>
              <w:spacing w:line="240" w:lineRule="auto"/>
            </w:pPr>
          </w:p>
          <w:p w:rsidR="003267EA" w:rsidRDefault="00AE4196">
            <w:pPr>
              <w:spacing w:line="240" w:lineRule="auto"/>
            </w:pPr>
            <w:r>
              <w:t>0.000102</w:t>
            </w:r>
          </w:p>
        </w:tc>
        <w:tc>
          <w:tcPr>
            <w:tcW w:w="1872" w:type="dxa"/>
            <w:tcBorders>
              <w:top w:val="single" w:sz="4" w:space="0" w:color="000000"/>
              <w:left w:val="nil"/>
              <w:bottom w:val="nil"/>
              <w:right w:val="nil"/>
            </w:tcBorders>
            <w:shd w:val="clear" w:color="auto" w:fill="auto"/>
            <w:tcMar>
              <w:top w:w="100" w:type="dxa"/>
              <w:left w:w="100" w:type="dxa"/>
              <w:bottom w:w="100" w:type="dxa"/>
              <w:right w:w="100" w:type="dxa"/>
            </w:tcMar>
          </w:tcPr>
          <w:p w:rsidR="003267EA" w:rsidRDefault="003267EA">
            <w:pPr>
              <w:spacing w:line="240" w:lineRule="auto"/>
            </w:pPr>
          </w:p>
          <w:p w:rsidR="003267EA" w:rsidRDefault="00AE4196">
            <w:pPr>
              <w:spacing w:line="240" w:lineRule="auto"/>
            </w:pPr>
            <w:r>
              <w:t>0.00025</w:t>
            </w:r>
          </w:p>
        </w:tc>
      </w:tr>
      <w:tr w:rsidR="003267EA">
        <w:tc>
          <w:tcPr>
            <w:tcW w:w="1872" w:type="dxa"/>
            <w:tcBorders>
              <w:top w:val="nil"/>
              <w:left w:val="nil"/>
              <w:bottom w:val="single" w:sz="4" w:space="0" w:color="000000"/>
              <w:right w:val="nil"/>
            </w:tcBorders>
            <w:shd w:val="clear" w:color="auto" w:fill="auto"/>
            <w:tcMar>
              <w:top w:w="100" w:type="dxa"/>
              <w:left w:w="100" w:type="dxa"/>
              <w:bottom w:w="100" w:type="dxa"/>
              <w:right w:w="100" w:type="dxa"/>
            </w:tcMar>
          </w:tcPr>
          <w:p w:rsidR="003267EA" w:rsidRDefault="00AE4196">
            <w:pPr>
              <w:spacing w:line="240" w:lineRule="auto"/>
            </w:pPr>
            <w:r>
              <w:t>Shrinkage Covariance</w:t>
            </w:r>
          </w:p>
        </w:tc>
        <w:tc>
          <w:tcPr>
            <w:tcW w:w="1872" w:type="dxa"/>
            <w:tcBorders>
              <w:top w:val="nil"/>
              <w:left w:val="nil"/>
              <w:bottom w:val="single" w:sz="4" w:space="0" w:color="000000"/>
              <w:right w:val="nil"/>
            </w:tcBorders>
            <w:shd w:val="clear" w:color="auto" w:fill="auto"/>
            <w:tcMar>
              <w:top w:w="100" w:type="dxa"/>
              <w:left w:w="100" w:type="dxa"/>
              <w:bottom w:w="100" w:type="dxa"/>
              <w:right w:w="100" w:type="dxa"/>
            </w:tcMar>
          </w:tcPr>
          <w:p w:rsidR="003267EA" w:rsidRDefault="003267EA">
            <w:pPr>
              <w:spacing w:line="240" w:lineRule="auto"/>
            </w:pPr>
          </w:p>
          <w:p w:rsidR="003267EA" w:rsidRDefault="00AE4196">
            <w:pPr>
              <w:spacing w:line="240" w:lineRule="auto"/>
            </w:pPr>
            <w:r>
              <w:t>0.000005</w:t>
            </w:r>
          </w:p>
        </w:tc>
        <w:tc>
          <w:tcPr>
            <w:tcW w:w="1872" w:type="dxa"/>
            <w:tcBorders>
              <w:top w:val="nil"/>
              <w:left w:val="nil"/>
              <w:bottom w:val="single" w:sz="4" w:space="0" w:color="000000"/>
              <w:right w:val="nil"/>
            </w:tcBorders>
            <w:shd w:val="clear" w:color="auto" w:fill="auto"/>
            <w:tcMar>
              <w:top w:w="100" w:type="dxa"/>
              <w:left w:w="100" w:type="dxa"/>
              <w:bottom w:w="100" w:type="dxa"/>
              <w:right w:w="100" w:type="dxa"/>
            </w:tcMar>
          </w:tcPr>
          <w:p w:rsidR="003267EA" w:rsidRDefault="003267EA">
            <w:pPr>
              <w:spacing w:line="240" w:lineRule="auto"/>
            </w:pPr>
          </w:p>
          <w:p w:rsidR="003267EA" w:rsidRDefault="00AE4196">
            <w:pPr>
              <w:spacing w:line="240" w:lineRule="auto"/>
            </w:pPr>
            <w:r>
              <w:t>0.000016</w:t>
            </w:r>
          </w:p>
        </w:tc>
        <w:tc>
          <w:tcPr>
            <w:tcW w:w="1872" w:type="dxa"/>
            <w:tcBorders>
              <w:top w:val="nil"/>
              <w:left w:val="nil"/>
              <w:bottom w:val="single" w:sz="4" w:space="0" w:color="000000"/>
              <w:right w:val="nil"/>
            </w:tcBorders>
            <w:shd w:val="clear" w:color="auto" w:fill="auto"/>
            <w:tcMar>
              <w:top w:w="100" w:type="dxa"/>
              <w:left w:w="100" w:type="dxa"/>
              <w:bottom w:w="100" w:type="dxa"/>
              <w:right w:w="100" w:type="dxa"/>
            </w:tcMar>
          </w:tcPr>
          <w:p w:rsidR="003267EA" w:rsidRDefault="003267EA">
            <w:pPr>
              <w:spacing w:line="240" w:lineRule="auto"/>
            </w:pPr>
          </w:p>
          <w:p w:rsidR="003267EA" w:rsidRDefault="00AE4196">
            <w:pPr>
              <w:spacing w:line="240" w:lineRule="auto"/>
            </w:pPr>
            <w:r>
              <w:t>0.000044</w:t>
            </w:r>
          </w:p>
        </w:tc>
        <w:tc>
          <w:tcPr>
            <w:tcW w:w="1872" w:type="dxa"/>
            <w:tcBorders>
              <w:top w:val="nil"/>
              <w:left w:val="nil"/>
              <w:bottom w:val="single" w:sz="4" w:space="0" w:color="000000"/>
              <w:right w:val="nil"/>
            </w:tcBorders>
            <w:shd w:val="clear" w:color="auto" w:fill="auto"/>
            <w:tcMar>
              <w:top w:w="100" w:type="dxa"/>
              <w:left w:w="100" w:type="dxa"/>
              <w:bottom w:w="100" w:type="dxa"/>
              <w:right w:w="100" w:type="dxa"/>
            </w:tcMar>
          </w:tcPr>
          <w:p w:rsidR="003267EA" w:rsidRDefault="003267EA">
            <w:pPr>
              <w:spacing w:line="240" w:lineRule="auto"/>
            </w:pPr>
          </w:p>
          <w:p w:rsidR="003267EA" w:rsidRDefault="00AE4196">
            <w:pPr>
              <w:spacing w:line="240" w:lineRule="auto"/>
            </w:pPr>
            <w:r>
              <w:t>0.00012</w:t>
            </w:r>
          </w:p>
        </w:tc>
      </w:tr>
    </w:tbl>
    <w:p w:rsidR="003267EA" w:rsidRDefault="003267EA"/>
    <w:p w:rsidR="003267EA" w:rsidRDefault="00AE4196">
      <w:r>
        <w:t xml:space="preserve">From the above result, we can see that with shrinkage covariance </w:t>
      </w:r>
      <w:proofErr w:type="gramStart"/>
      <w:r>
        <w:t>model,</w:t>
      </w:r>
      <w:proofErr w:type="gramEnd"/>
      <w:r>
        <w:t xml:space="preserve"> mean CEL in covariance error almost reduces to half of that with the traditional </w:t>
      </w:r>
      <w:proofErr w:type="spellStart"/>
      <w:r>
        <w:t>Markovitz</w:t>
      </w:r>
      <w:proofErr w:type="spellEnd"/>
      <w:r>
        <w:t xml:space="preserve"> optimization. Therefore, we can conclude that shrinkage covariance is an efficient method in </w:t>
      </w:r>
      <w:r>
        <w:t>robust covariance optimization.</w:t>
      </w:r>
    </w:p>
    <w:p w:rsidR="003267EA" w:rsidRDefault="00AE4196">
      <w:pPr>
        <w:pStyle w:val="Heading2"/>
        <w:keepNext w:val="0"/>
        <w:keepLines w:val="0"/>
        <w:spacing w:after="80"/>
        <w:rPr>
          <w:b/>
          <w:sz w:val="34"/>
          <w:szCs w:val="34"/>
        </w:rPr>
      </w:pPr>
      <w:bookmarkStart w:id="7" w:name="_bz2xtolqavgb" w:colFirst="0" w:colLast="0"/>
      <w:bookmarkEnd w:id="7"/>
      <w:r>
        <w:rPr>
          <w:b/>
          <w:sz w:val="34"/>
          <w:szCs w:val="34"/>
        </w:rPr>
        <w:t>2.5 Back-test Results</w:t>
      </w:r>
    </w:p>
    <w:p w:rsidR="003267EA" w:rsidRDefault="00AE4196">
      <w:pPr>
        <w:spacing w:before="240" w:after="240"/>
      </w:pPr>
      <w:r>
        <w:t>In this part, we implemented both traditional mean-variance optimization and robust optimization on selected ETFs to construct portfolios. On the first transaction day during the back-test period throug</w:t>
      </w:r>
      <w:r>
        <w:t>h Feb. 2016 to Jun. 2020, we used the previous 60 months as the window length to estimate sample mean and sample covariance, and made changes on the portfolios according to the optimization results.</w:t>
      </w:r>
    </w:p>
    <w:p w:rsidR="003267EA" w:rsidRDefault="00AE4196">
      <w:pPr>
        <w:spacing w:before="240" w:after="240"/>
      </w:pPr>
      <w:r>
        <w:t>To make the portfolios more comparable, we set an upper b</w:t>
      </w:r>
      <w:r>
        <w:t>ound for the variance of the portfolio in the constraints, meaning that we got the optimal weights of the underlying assets by solving the optimization problems below:</w:t>
      </w:r>
    </w:p>
    <w:p w:rsidR="003267EA" w:rsidRDefault="00AE4196">
      <w:r>
        <w:rPr>
          <w:noProof/>
          <w:lang w:val="en-US"/>
        </w:rPr>
        <w:drawing>
          <wp:inline distT="114300" distB="114300" distL="114300" distR="114300">
            <wp:extent cx="1733550" cy="15716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733550" cy="1571625"/>
                    </a:xfrm>
                    <a:prstGeom prst="rect">
                      <a:avLst/>
                    </a:prstGeom>
                    <a:ln/>
                  </pic:spPr>
                </pic:pic>
              </a:graphicData>
            </a:graphic>
          </wp:inline>
        </w:drawing>
      </w:r>
      <w:r>
        <w:rPr>
          <w:noProof/>
          <w:lang w:val="en-US"/>
        </w:rPr>
        <w:drawing>
          <wp:inline distT="114300" distB="114300" distL="114300" distR="114300">
            <wp:extent cx="1733550" cy="15716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733550" cy="1571625"/>
                    </a:xfrm>
                    <a:prstGeom prst="rect">
                      <a:avLst/>
                    </a:prstGeom>
                    <a:ln/>
                  </pic:spPr>
                </pic:pic>
              </a:graphicData>
            </a:graphic>
          </wp:inline>
        </w:drawing>
      </w:r>
    </w:p>
    <w:p w:rsidR="003267EA" w:rsidRDefault="00AE4196">
      <w:pPr>
        <w:spacing w:before="240" w:after="240"/>
      </w:pPr>
      <w:r>
        <w:t xml:space="preserve">Where </w:t>
      </w:r>
      <m:oMath>
        <m:bar>
          <m:barPr>
            <m:ctrlPr>
              <w:rPr>
                <w:rFonts w:ascii="Cambria Math" w:hAnsi="Cambria Math"/>
              </w:rPr>
            </m:ctrlPr>
          </m:barPr>
          <m:e>
            <m:r>
              <w:rPr>
                <w:rFonts w:ascii="Cambria Math" w:hAnsi="Cambria Math"/>
              </w:rPr>
              <m:t>α</m:t>
            </m:r>
          </m:e>
        </m:bar>
      </m:oMath>
      <w:r>
        <w:t xml:space="preserve"> is the sample mean vector, </w:t>
      </w:r>
      <m:oMath>
        <m:r>
          <w:rPr>
            <w:rFonts w:ascii="Cambria Math" w:hAnsi="Cambria Math"/>
          </w:rPr>
          <m:t>Q</m:t>
        </m:r>
      </m:oMath>
      <w:r>
        <w:t xml:space="preserve"> is the sample covariance matrix, </w:t>
      </w:r>
      <m:oMath>
        <m:r>
          <w:rPr>
            <w:rFonts w:ascii="Cambria Math" w:hAnsi="Cambria Math"/>
          </w:rPr>
          <m:t>v</m:t>
        </m:r>
      </m:oMath>
      <w:r>
        <w:t xml:space="preserve"> is the upp</w:t>
      </w:r>
      <w:proofErr w:type="spellStart"/>
      <w:r>
        <w:t>er</w:t>
      </w:r>
      <w:proofErr w:type="spellEnd"/>
      <w:r>
        <w:t xml:space="preserve"> bound for portfolio variance, </w:t>
      </w:r>
      <m:oMath>
        <m:r>
          <w:rPr>
            <w:rFonts w:ascii="Cambria Math" w:hAnsi="Cambria Math"/>
          </w:rPr>
          <m:t>Σ</m:t>
        </m:r>
      </m:oMath>
      <w:r>
        <w:t xml:space="preserve"> is the covariance matrix of the estimated expected mean vector,</w:t>
      </w:r>
      <m:oMath>
        <m:r>
          <w:rPr>
            <w:rFonts w:ascii="Cambria Math" w:hAnsi="Cambria Math"/>
          </w:rPr>
          <m:t>κ</m:t>
        </m:r>
      </m:oMath>
      <w:r>
        <w:t xml:space="preserve"> is the parameter controlling for the uncertainty of the estimated expected mean vector.</w:t>
      </w:r>
    </w:p>
    <w:p w:rsidR="003267EA" w:rsidRDefault="00AE4196">
      <w:pPr>
        <w:spacing w:before="240" w:after="240"/>
      </w:pPr>
      <w:r>
        <w:t xml:space="preserve">Setting </w:t>
      </w:r>
      <m:oMath>
        <m:r>
          <w:rPr>
            <w:rFonts w:ascii="Cambria Math" w:hAnsi="Cambria Math"/>
          </w:rPr>
          <m:t>η</m:t>
        </m:r>
        <m:r>
          <w:rPr>
            <w:rFonts w:ascii="Cambria Math" w:hAnsi="Cambria Math"/>
          </w:rPr>
          <m:t>=0.75</m:t>
        </m:r>
      </m:oMath>
      <w:r>
        <w:t xml:space="preserve"> and annualized portfolio volatility upper bound eq</w:t>
      </w:r>
      <w:proofErr w:type="spellStart"/>
      <w:r>
        <w:t>uals</w:t>
      </w:r>
      <w:proofErr w:type="spellEnd"/>
      <w:r>
        <w:t xml:space="preserve"> 0.05, 0.08, 0.10, 0.12, 0.15, we got the portfolio and analyzed their performances through metrics including annualized return, annualized volatility, Sharpe ratio, maximum drawdown, as shown in Exhibit 4:</w:t>
      </w:r>
    </w:p>
    <w:p w:rsidR="003267EA" w:rsidRDefault="00AE4196">
      <w:pPr>
        <w:spacing w:before="240" w:after="240"/>
        <w:rPr>
          <w:b/>
        </w:rPr>
      </w:pPr>
      <w:r>
        <w:rPr>
          <w:b/>
        </w:rPr>
        <w:t>EXHIBIT 4</w:t>
      </w:r>
    </w:p>
    <w:p w:rsidR="003267EA" w:rsidRDefault="00AE4196">
      <w:pPr>
        <w:spacing w:before="240" w:after="240"/>
        <w:rPr>
          <w:b/>
        </w:rPr>
      </w:pPr>
      <w:r>
        <w:rPr>
          <w:b/>
        </w:rPr>
        <w:t>Performance Evaluation Results of B</w:t>
      </w:r>
      <w:r>
        <w:rPr>
          <w:b/>
        </w:rPr>
        <w:t>ack-test Portfolios</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1905"/>
        <w:gridCol w:w="1560"/>
        <w:gridCol w:w="1560"/>
        <w:gridCol w:w="1560"/>
        <w:gridCol w:w="1560"/>
      </w:tblGrid>
      <w:tr w:rsidR="003267EA">
        <w:tc>
          <w:tcPr>
            <w:tcW w:w="1215" w:type="dxa"/>
            <w:tcBorders>
              <w:top w:val="single" w:sz="8" w:space="0" w:color="000000"/>
              <w:left w:val="nil"/>
              <w:bottom w:val="single" w:sz="8" w:space="0" w:color="000000"/>
              <w:right w:val="nil"/>
            </w:tcBorders>
            <w:tcMar>
              <w:top w:w="100" w:type="dxa"/>
              <w:left w:w="100" w:type="dxa"/>
              <w:bottom w:w="100" w:type="dxa"/>
              <w:right w:w="100" w:type="dxa"/>
            </w:tcMar>
          </w:tcPr>
          <w:p w:rsidR="003267EA" w:rsidRDefault="00AE4196">
            <w:pPr>
              <w:spacing w:line="240" w:lineRule="auto"/>
            </w:pPr>
            <w:r>
              <w:t>Volatility bound</w:t>
            </w:r>
          </w:p>
        </w:tc>
        <w:tc>
          <w:tcPr>
            <w:tcW w:w="1905" w:type="dxa"/>
            <w:tcBorders>
              <w:top w:val="single" w:sz="8" w:space="0" w:color="000000"/>
              <w:left w:val="nil"/>
              <w:bottom w:val="single" w:sz="8" w:space="0" w:color="000000"/>
              <w:right w:val="nil"/>
            </w:tcBorders>
            <w:tcMar>
              <w:top w:w="100" w:type="dxa"/>
              <w:left w:w="100" w:type="dxa"/>
              <w:bottom w:w="100" w:type="dxa"/>
              <w:right w:w="100" w:type="dxa"/>
            </w:tcMar>
          </w:tcPr>
          <w:p w:rsidR="003267EA" w:rsidRDefault="00AE4196">
            <w:pPr>
              <w:spacing w:line="240" w:lineRule="auto"/>
            </w:pPr>
            <w:r>
              <w:t>Optimization method</w:t>
            </w:r>
          </w:p>
        </w:tc>
        <w:tc>
          <w:tcPr>
            <w:tcW w:w="1560" w:type="dxa"/>
            <w:tcBorders>
              <w:top w:val="single" w:sz="8" w:space="0" w:color="000000"/>
              <w:left w:val="nil"/>
              <w:bottom w:val="single" w:sz="8" w:space="0" w:color="000000"/>
              <w:right w:val="nil"/>
            </w:tcBorders>
            <w:tcMar>
              <w:top w:w="100" w:type="dxa"/>
              <w:left w:w="100" w:type="dxa"/>
              <w:bottom w:w="100" w:type="dxa"/>
              <w:right w:w="100" w:type="dxa"/>
            </w:tcMar>
          </w:tcPr>
          <w:p w:rsidR="003267EA" w:rsidRDefault="00AE4196">
            <w:pPr>
              <w:spacing w:line="240" w:lineRule="auto"/>
            </w:pPr>
            <w:r>
              <w:t>Annualized return</w:t>
            </w:r>
          </w:p>
        </w:tc>
        <w:tc>
          <w:tcPr>
            <w:tcW w:w="1560" w:type="dxa"/>
            <w:tcBorders>
              <w:top w:val="single" w:sz="8" w:space="0" w:color="000000"/>
              <w:left w:val="nil"/>
              <w:bottom w:val="single" w:sz="8" w:space="0" w:color="000000"/>
              <w:right w:val="nil"/>
            </w:tcBorders>
            <w:tcMar>
              <w:top w:w="100" w:type="dxa"/>
              <w:left w:w="100" w:type="dxa"/>
              <w:bottom w:w="100" w:type="dxa"/>
              <w:right w:w="100" w:type="dxa"/>
            </w:tcMar>
          </w:tcPr>
          <w:p w:rsidR="003267EA" w:rsidRDefault="00AE4196">
            <w:pPr>
              <w:spacing w:line="240" w:lineRule="auto"/>
            </w:pPr>
            <w:r>
              <w:t>Annualized volatility</w:t>
            </w:r>
          </w:p>
        </w:tc>
        <w:tc>
          <w:tcPr>
            <w:tcW w:w="1560" w:type="dxa"/>
            <w:tcBorders>
              <w:top w:val="single" w:sz="8" w:space="0" w:color="000000"/>
              <w:left w:val="nil"/>
              <w:bottom w:val="single" w:sz="8" w:space="0" w:color="000000"/>
              <w:right w:val="nil"/>
            </w:tcBorders>
            <w:tcMar>
              <w:top w:w="100" w:type="dxa"/>
              <w:left w:w="100" w:type="dxa"/>
              <w:bottom w:w="100" w:type="dxa"/>
              <w:right w:w="100" w:type="dxa"/>
            </w:tcMar>
          </w:tcPr>
          <w:p w:rsidR="003267EA" w:rsidRDefault="00AE4196">
            <w:pPr>
              <w:spacing w:line="240" w:lineRule="auto"/>
            </w:pPr>
            <w:r>
              <w:t>Sharpe ratio</w:t>
            </w:r>
          </w:p>
        </w:tc>
        <w:tc>
          <w:tcPr>
            <w:tcW w:w="1560" w:type="dxa"/>
            <w:tcBorders>
              <w:top w:val="single" w:sz="8" w:space="0" w:color="000000"/>
              <w:left w:val="nil"/>
              <w:bottom w:val="single" w:sz="8" w:space="0" w:color="000000"/>
              <w:right w:val="nil"/>
            </w:tcBorders>
            <w:tcMar>
              <w:top w:w="100" w:type="dxa"/>
              <w:left w:w="100" w:type="dxa"/>
              <w:bottom w:w="100" w:type="dxa"/>
              <w:right w:w="100" w:type="dxa"/>
            </w:tcMar>
          </w:tcPr>
          <w:p w:rsidR="003267EA" w:rsidRDefault="00AE4196">
            <w:pPr>
              <w:spacing w:line="240" w:lineRule="auto"/>
            </w:pPr>
            <w:r>
              <w:t>Maximum drawdown</w:t>
            </w:r>
          </w:p>
        </w:tc>
      </w:tr>
      <w:tr w:rsidR="003267EA">
        <w:tc>
          <w:tcPr>
            <w:tcW w:w="1215" w:type="dxa"/>
            <w:tcBorders>
              <w:top w:val="single" w:sz="8" w:space="0" w:color="000000"/>
              <w:left w:val="nil"/>
              <w:bottom w:val="nil"/>
              <w:right w:val="nil"/>
            </w:tcBorders>
            <w:tcMar>
              <w:top w:w="100" w:type="dxa"/>
              <w:left w:w="100" w:type="dxa"/>
              <w:bottom w:w="100" w:type="dxa"/>
              <w:right w:w="100" w:type="dxa"/>
            </w:tcMar>
          </w:tcPr>
          <w:p w:rsidR="003267EA" w:rsidRDefault="00AE4196">
            <w:pPr>
              <w:spacing w:line="240" w:lineRule="auto"/>
            </w:pPr>
            <w:r>
              <w:t>0.05</w:t>
            </w:r>
          </w:p>
        </w:tc>
        <w:tc>
          <w:tcPr>
            <w:tcW w:w="1905" w:type="dxa"/>
            <w:tcBorders>
              <w:top w:val="single" w:sz="8" w:space="0" w:color="000000"/>
              <w:left w:val="nil"/>
              <w:bottom w:val="nil"/>
              <w:right w:val="nil"/>
            </w:tcBorders>
            <w:tcMar>
              <w:top w:w="100" w:type="dxa"/>
              <w:left w:w="100" w:type="dxa"/>
              <w:bottom w:w="100" w:type="dxa"/>
              <w:right w:w="100" w:type="dxa"/>
            </w:tcMar>
          </w:tcPr>
          <w:p w:rsidR="003267EA" w:rsidRDefault="00AE4196">
            <w:pPr>
              <w:spacing w:line="240" w:lineRule="auto"/>
            </w:pPr>
            <w:r>
              <w:t>mean-variance</w:t>
            </w:r>
          </w:p>
        </w:tc>
        <w:tc>
          <w:tcPr>
            <w:tcW w:w="1560"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8.34%</w:t>
            </w:r>
          </w:p>
        </w:tc>
        <w:tc>
          <w:tcPr>
            <w:tcW w:w="1560"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6.19%</w:t>
            </w:r>
          </w:p>
        </w:tc>
        <w:tc>
          <w:tcPr>
            <w:tcW w:w="1560"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1.347</w:t>
            </w:r>
          </w:p>
        </w:tc>
        <w:tc>
          <w:tcPr>
            <w:tcW w:w="1560"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6.69%</w:t>
            </w:r>
          </w:p>
        </w:tc>
      </w:tr>
      <w:tr w:rsidR="003267EA">
        <w:tc>
          <w:tcPr>
            <w:tcW w:w="1215"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lastRenderedPageBreak/>
              <w:t>0.05</w:t>
            </w:r>
          </w:p>
        </w:tc>
        <w:tc>
          <w:tcPr>
            <w:tcW w:w="1905"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robust</w:t>
            </w:r>
          </w:p>
        </w:tc>
        <w:tc>
          <w:tcPr>
            <w:tcW w:w="1560"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5.97%</w:t>
            </w:r>
          </w:p>
        </w:tc>
        <w:tc>
          <w:tcPr>
            <w:tcW w:w="1560"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5.08%</w:t>
            </w:r>
          </w:p>
        </w:tc>
        <w:tc>
          <w:tcPr>
            <w:tcW w:w="1560"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1.174</w:t>
            </w:r>
          </w:p>
        </w:tc>
        <w:tc>
          <w:tcPr>
            <w:tcW w:w="1560"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6.98%</w:t>
            </w:r>
          </w:p>
        </w:tc>
      </w:tr>
      <w:tr w:rsidR="003267EA">
        <w:tc>
          <w:tcPr>
            <w:tcW w:w="1215"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0.08</w:t>
            </w:r>
          </w:p>
        </w:tc>
        <w:tc>
          <w:tcPr>
            <w:tcW w:w="1905"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mean-variance</w:t>
            </w:r>
          </w:p>
        </w:tc>
        <w:tc>
          <w:tcPr>
            <w:tcW w:w="1560"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12.27%</w:t>
            </w:r>
          </w:p>
        </w:tc>
        <w:tc>
          <w:tcPr>
            <w:tcW w:w="1560"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9.13%</w:t>
            </w:r>
          </w:p>
        </w:tc>
        <w:tc>
          <w:tcPr>
            <w:tcW w:w="1560"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1.343</w:t>
            </w:r>
          </w:p>
        </w:tc>
        <w:tc>
          <w:tcPr>
            <w:tcW w:w="1560"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10.38%</w:t>
            </w:r>
          </w:p>
        </w:tc>
      </w:tr>
      <w:tr w:rsidR="003267EA">
        <w:tc>
          <w:tcPr>
            <w:tcW w:w="1215"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0.08</w:t>
            </w:r>
          </w:p>
        </w:tc>
        <w:tc>
          <w:tcPr>
            <w:tcW w:w="1905"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robust</w:t>
            </w:r>
          </w:p>
        </w:tc>
        <w:tc>
          <w:tcPr>
            <w:tcW w:w="1560"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7.19%</w:t>
            </w:r>
          </w:p>
        </w:tc>
        <w:tc>
          <w:tcPr>
            <w:tcW w:w="1560"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6.60%</w:t>
            </w:r>
          </w:p>
        </w:tc>
        <w:tc>
          <w:tcPr>
            <w:tcW w:w="1560"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1.090</w:t>
            </w:r>
          </w:p>
        </w:tc>
        <w:tc>
          <w:tcPr>
            <w:tcW w:w="1560"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10.24%</w:t>
            </w:r>
          </w:p>
        </w:tc>
      </w:tr>
      <w:tr w:rsidR="003267EA">
        <w:tc>
          <w:tcPr>
            <w:tcW w:w="1215"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0.10</w:t>
            </w:r>
          </w:p>
        </w:tc>
        <w:tc>
          <w:tcPr>
            <w:tcW w:w="1905"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mean-variance</w:t>
            </w:r>
          </w:p>
        </w:tc>
        <w:tc>
          <w:tcPr>
            <w:tcW w:w="1560"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12.12%</w:t>
            </w:r>
          </w:p>
        </w:tc>
        <w:tc>
          <w:tcPr>
            <w:tcW w:w="1560"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11.70%</w:t>
            </w:r>
          </w:p>
        </w:tc>
        <w:tc>
          <w:tcPr>
            <w:tcW w:w="1560"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1.036</w:t>
            </w:r>
          </w:p>
        </w:tc>
        <w:tc>
          <w:tcPr>
            <w:tcW w:w="1560"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14.93%</w:t>
            </w:r>
          </w:p>
        </w:tc>
      </w:tr>
      <w:tr w:rsidR="003267EA">
        <w:tc>
          <w:tcPr>
            <w:tcW w:w="1215"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0.10</w:t>
            </w:r>
          </w:p>
        </w:tc>
        <w:tc>
          <w:tcPr>
            <w:tcW w:w="1905"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robust</w:t>
            </w:r>
          </w:p>
        </w:tc>
        <w:tc>
          <w:tcPr>
            <w:tcW w:w="1560"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7.98%</w:t>
            </w:r>
          </w:p>
        </w:tc>
        <w:tc>
          <w:tcPr>
            <w:tcW w:w="1560"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7.26%</w:t>
            </w:r>
          </w:p>
        </w:tc>
        <w:tc>
          <w:tcPr>
            <w:tcW w:w="1560"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1.098</w:t>
            </w:r>
          </w:p>
        </w:tc>
        <w:tc>
          <w:tcPr>
            <w:tcW w:w="1560"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11.10%</w:t>
            </w:r>
          </w:p>
        </w:tc>
      </w:tr>
      <w:tr w:rsidR="003267EA">
        <w:tc>
          <w:tcPr>
            <w:tcW w:w="1215"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0.12</w:t>
            </w:r>
          </w:p>
        </w:tc>
        <w:tc>
          <w:tcPr>
            <w:tcW w:w="1905"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mean-variance</w:t>
            </w:r>
          </w:p>
        </w:tc>
        <w:tc>
          <w:tcPr>
            <w:tcW w:w="1560"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11.06%</w:t>
            </w:r>
          </w:p>
        </w:tc>
        <w:tc>
          <w:tcPr>
            <w:tcW w:w="1560"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13.29%</w:t>
            </w:r>
          </w:p>
        </w:tc>
        <w:tc>
          <w:tcPr>
            <w:tcW w:w="1560"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0.832</w:t>
            </w:r>
          </w:p>
        </w:tc>
        <w:tc>
          <w:tcPr>
            <w:tcW w:w="1560"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19.16%</w:t>
            </w:r>
          </w:p>
        </w:tc>
      </w:tr>
      <w:tr w:rsidR="003267EA">
        <w:tc>
          <w:tcPr>
            <w:tcW w:w="1215"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0.12</w:t>
            </w:r>
          </w:p>
        </w:tc>
        <w:tc>
          <w:tcPr>
            <w:tcW w:w="1905"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robust</w:t>
            </w:r>
          </w:p>
        </w:tc>
        <w:tc>
          <w:tcPr>
            <w:tcW w:w="1560"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8.20%</w:t>
            </w:r>
          </w:p>
        </w:tc>
        <w:tc>
          <w:tcPr>
            <w:tcW w:w="1560"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7.36%</w:t>
            </w:r>
          </w:p>
        </w:tc>
        <w:tc>
          <w:tcPr>
            <w:tcW w:w="1560"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1.113</w:t>
            </w:r>
          </w:p>
        </w:tc>
        <w:tc>
          <w:tcPr>
            <w:tcW w:w="1560"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11.10%</w:t>
            </w:r>
          </w:p>
        </w:tc>
      </w:tr>
      <w:tr w:rsidR="003267EA">
        <w:tc>
          <w:tcPr>
            <w:tcW w:w="1215"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0.15</w:t>
            </w:r>
          </w:p>
        </w:tc>
        <w:tc>
          <w:tcPr>
            <w:tcW w:w="1905"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Mean-variance</w:t>
            </w:r>
          </w:p>
        </w:tc>
        <w:tc>
          <w:tcPr>
            <w:tcW w:w="1560"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10.91%</w:t>
            </w:r>
          </w:p>
        </w:tc>
        <w:tc>
          <w:tcPr>
            <w:tcW w:w="1560"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13.71%</w:t>
            </w:r>
          </w:p>
        </w:tc>
        <w:tc>
          <w:tcPr>
            <w:tcW w:w="1560"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0.796</w:t>
            </w:r>
          </w:p>
        </w:tc>
        <w:tc>
          <w:tcPr>
            <w:tcW w:w="1560" w:type="dxa"/>
            <w:tcBorders>
              <w:top w:val="nil"/>
              <w:left w:val="nil"/>
              <w:bottom w:val="nil"/>
              <w:right w:val="nil"/>
            </w:tcBorders>
            <w:tcMar>
              <w:top w:w="100" w:type="dxa"/>
              <w:left w:w="100" w:type="dxa"/>
              <w:bottom w:w="100" w:type="dxa"/>
              <w:right w:w="100" w:type="dxa"/>
            </w:tcMar>
          </w:tcPr>
          <w:p w:rsidR="003267EA" w:rsidRDefault="00AE4196">
            <w:pPr>
              <w:spacing w:line="240" w:lineRule="auto"/>
            </w:pPr>
            <w:r>
              <w:t>19.91%</w:t>
            </w:r>
          </w:p>
        </w:tc>
      </w:tr>
      <w:tr w:rsidR="003267EA">
        <w:tc>
          <w:tcPr>
            <w:tcW w:w="1215" w:type="dxa"/>
            <w:tcBorders>
              <w:top w:val="nil"/>
              <w:left w:val="nil"/>
              <w:bottom w:val="single" w:sz="8" w:space="0" w:color="000000"/>
              <w:right w:val="nil"/>
            </w:tcBorders>
            <w:tcMar>
              <w:top w:w="100" w:type="dxa"/>
              <w:left w:w="100" w:type="dxa"/>
              <w:bottom w:w="100" w:type="dxa"/>
              <w:right w:w="100" w:type="dxa"/>
            </w:tcMar>
          </w:tcPr>
          <w:p w:rsidR="003267EA" w:rsidRDefault="00AE4196">
            <w:pPr>
              <w:spacing w:line="240" w:lineRule="auto"/>
            </w:pPr>
            <w:r>
              <w:t>0.15</w:t>
            </w:r>
          </w:p>
        </w:tc>
        <w:tc>
          <w:tcPr>
            <w:tcW w:w="1905" w:type="dxa"/>
            <w:tcBorders>
              <w:top w:val="nil"/>
              <w:left w:val="nil"/>
              <w:bottom w:val="single" w:sz="8" w:space="0" w:color="000000"/>
              <w:right w:val="nil"/>
            </w:tcBorders>
            <w:tcMar>
              <w:top w:w="100" w:type="dxa"/>
              <w:left w:w="100" w:type="dxa"/>
              <w:bottom w:w="100" w:type="dxa"/>
              <w:right w:w="100" w:type="dxa"/>
            </w:tcMar>
          </w:tcPr>
          <w:p w:rsidR="003267EA" w:rsidRDefault="00AE4196">
            <w:pPr>
              <w:spacing w:line="240" w:lineRule="auto"/>
            </w:pPr>
            <w:r>
              <w:t>robust</w:t>
            </w:r>
          </w:p>
        </w:tc>
        <w:tc>
          <w:tcPr>
            <w:tcW w:w="1560" w:type="dxa"/>
            <w:tcBorders>
              <w:top w:val="nil"/>
              <w:left w:val="nil"/>
              <w:bottom w:val="single" w:sz="8" w:space="0" w:color="000000"/>
              <w:right w:val="nil"/>
            </w:tcBorders>
            <w:tcMar>
              <w:top w:w="100" w:type="dxa"/>
              <w:left w:w="100" w:type="dxa"/>
              <w:bottom w:w="100" w:type="dxa"/>
              <w:right w:w="100" w:type="dxa"/>
            </w:tcMar>
          </w:tcPr>
          <w:p w:rsidR="003267EA" w:rsidRDefault="00AE4196">
            <w:pPr>
              <w:spacing w:line="240" w:lineRule="auto"/>
            </w:pPr>
            <w:r>
              <w:t>8.20%</w:t>
            </w:r>
          </w:p>
        </w:tc>
        <w:tc>
          <w:tcPr>
            <w:tcW w:w="1560" w:type="dxa"/>
            <w:tcBorders>
              <w:top w:val="nil"/>
              <w:left w:val="nil"/>
              <w:bottom w:val="single" w:sz="8" w:space="0" w:color="000000"/>
              <w:right w:val="nil"/>
            </w:tcBorders>
            <w:tcMar>
              <w:top w:w="100" w:type="dxa"/>
              <w:left w:w="100" w:type="dxa"/>
              <w:bottom w:w="100" w:type="dxa"/>
              <w:right w:w="100" w:type="dxa"/>
            </w:tcMar>
          </w:tcPr>
          <w:p w:rsidR="003267EA" w:rsidRDefault="00AE4196">
            <w:pPr>
              <w:spacing w:line="240" w:lineRule="auto"/>
            </w:pPr>
            <w:r>
              <w:t>7.37%</w:t>
            </w:r>
          </w:p>
        </w:tc>
        <w:tc>
          <w:tcPr>
            <w:tcW w:w="1560" w:type="dxa"/>
            <w:tcBorders>
              <w:top w:val="nil"/>
              <w:left w:val="nil"/>
              <w:bottom w:val="single" w:sz="8" w:space="0" w:color="000000"/>
              <w:right w:val="nil"/>
            </w:tcBorders>
            <w:tcMar>
              <w:top w:w="100" w:type="dxa"/>
              <w:left w:w="100" w:type="dxa"/>
              <w:bottom w:w="100" w:type="dxa"/>
              <w:right w:w="100" w:type="dxa"/>
            </w:tcMar>
          </w:tcPr>
          <w:p w:rsidR="003267EA" w:rsidRDefault="00AE4196">
            <w:pPr>
              <w:spacing w:line="240" w:lineRule="auto"/>
            </w:pPr>
            <w:r>
              <w:t>1.113</w:t>
            </w:r>
          </w:p>
        </w:tc>
        <w:tc>
          <w:tcPr>
            <w:tcW w:w="1560" w:type="dxa"/>
            <w:tcBorders>
              <w:top w:val="nil"/>
              <w:left w:val="nil"/>
              <w:bottom w:val="single" w:sz="8" w:space="0" w:color="000000"/>
              <w:right w:val="nil"/>
            </w:tcBorders>
            <w:tcMar>
              <w:top w:w="100" w:type="dxa"/>
              <w:left w:w="100" w:type="dxa"/>
              <w:bottom w:w="100" w:type="dxa"/>
              <w:right w:w="100" w:type="dxa"/>
            </w:tcMar>
          </w:tcPr>
          <w:p w:rsidR="003267EA" w:rsidRDefault="00AE4196">
            <w:pPr>
              <w:spacing w:line="240" w:lineRule="auto"/>
            </w:pPr>
            <w:r>
              <w:t>11.10%</w:t>
            </w:r>
          </w:p>
        </w:tc>
      </w:tr>
    </w:tbl>
    <w:p w:rsidR="003267EA" w:rsidRDefault="00AE4196">
      <w:pPr>
        <w:spacing w:before="240" w:after="240"/>
      </w:pPr>
      <w:bookmarkStart w:id="8" w:name="_GoBack"/>
      <w:bookmarkEnd w:id="8"/>
      <w:r>
        <w:t>When the annualized portfolio volatility upper bound is small, the traditional mean-variance optimization portfolio performs better than the robust optimization portfolio. As the bound increases, the performance of the traditional mean-variance optimizatio</w:t>
      </w:r>
      <w:r>
        <w:t>n portfolio exacerbates, and the robust optimization portfolio gradually stands out on the aspects of volatility, Sharpe ratio and maximum drawdown.</w:t>
      </w:r>
    </w:p>
    <w:p w:rsidR="003267EA" w:rsidRDefault="00AE4196">
      <w:pPr>
        <w:pStyle w:val="Heading1"/>
        <w:keepNext w:val="0"/>
        <w:keepLines w:val="0"/>
        <w:pBdr>
          <w:top w:val="nil"/>
          <w:left w:val="nil"/>
          <w:bottom w:val="nil"/>
          <w:right w:val="nil"/>
          <w:between w:val="nil"/>
        </w:pBdr>
        <w:spacing w:before="480" w:after="120"/>
        <w:ind w:left="0" w:firstLine="0"/>
        <w:rPr>
          <w:b/>
        </w:rPr>
      </w:pPr>
      <w:bookmarkStart w:id="9" w:name="_qfa4swxa5b74" w:colFirst="0" w:colLast="0"/>
      <w:bookmarkEnd w:id="9"/>
      <w:r>
        <w:rPr>
          <w:b/>
          <w:sz w:val="46"/>
          <w:szCs w:val="46"/>
        </w:rPr>
        <w:t>3</w:t>
      </w:r>
      <w:r w:rsidR="00F373D5">
        <w:rPr>
          <w:rFonts w:hint="eastAsia"/>
          <w:b/>
        </w:rPr>
        <w:t xml:space="preserve"> </w:t>
      </w:r>
      <w:r>
        <w:rPr>
          <w:b/>
        </w:rPr>
        <w:t>Conclusion</w:t>
      </w:r>
    </w:p>
    <w:p w:rsidR="003267EA" w:rsidRDefault="00AE4196">
      <w:r>
        <w:t>We showed that traditional mean-variance optimization is sensitive to errors in input paramet</w:t>
      </w:r>
      <w:r>
        <w:t>ers. For a risk tolerance of 50, the importance of errors in mean can be larger than 100 times as important errors in variance and covariance. Errors in variance and covariance have a similar effect, and the importance of errors in mean becomes much larger</w:t>
      </w:r>
      <w:r>
        <w:t xml:space="preserve"> than errors in variance and covariance as risk tolerance level increases. </w:t>
      </w:r>
    </w:p>
    <w:p w:rsidR="003267EA" w:rsidRDefault="003267EA"/>
    <w:p w:rsidR="003267EA" w:rsidRDefault="00AE4196">
      <w:r>
        <w:t>Using robust optimization can alleviate the illness effects of estimation errors. The gap between estimated frontier and actual frontier calculated using robust optimization is sm</w:t>
      </w:r>
      <w:r>
        <w:t>aller than the one using mean-variance optimization. Under every risk level we tested, robust mean optimization produced much lower cash equivalent loss than mean-variance optimization. And with shrinkage covariance model, mean cash equivalent loss in cova</w:t>
      </w:r>
      <w:r>
        <w:t xml:space="preserve">riance error almost reduces to half compared to traditional mean-variance optimization. </w:t>
      </w:r>
    </w:p>
    <w:p w:rsidR="003267EA" w:rsidRDefault="003267EA"/>
    <w:p w:rsidR="003267EA" w:rsidRDefault="00AE4196">
      <w:r>
        <w:t xml:space="preserve">Our </w:t>
      </w:r>
      <w:proofErr w:type="spellStart"/>
      <w:r>
        <w:t>backtested</w:t>
      </w:r>
      <w:proofErr w:type="spellEnd"/>
      <w:r>
        <w:t xml:space="preserve"> results show that when allowing low variance for the optimized portfolio, the mean-variance optimization portfolio performed better. But as allowing hi</w:t>
      </w:r>
      <w:r>
        <w:t xml:space="preserve">gher variance, robust optimization performed better in terms of volatility, </w:t>
      </w:r>
      <w:proofErr w:type="spellStart"/>
      <w:proofErr w:type="gramStart"/>
      <w:r>
        <w:t>sharpe</w:t>
      </w:r>
      <w:proofErr w:type="spellEnd"/>
      <w:proofErr w:type="gramEnd"/>
      <w:r>
        <w:t xml:space="preserve"> ratio and maximum drawdown. We conclude that compared to traditional mean-variance optimization, robust optimization is more stable, less sensitive to changes of input param</w:t>
      </w:r>
      <w:r>
        <w:t xml:space="preserve">eters, and could result in a better optimized portfolio using real-world data. </w:t>
      </w:r>
    </w:p>
    <w:p w:rsidR="003267EA" w:rsidRDefault="00AE4196">
      <w:r>
        <w:pict>
          <v:rect id="_x0000_i1025" style="width:0;height:1.5pt" o:hralign="center" o:hrstd="t" o:hr="t" fillcolor="#a0a0a0" stroked="f"/>
        </w:pict>
      </w:r>
    </w:p>
    <w:p w:rsidR="003267EA" w:rsidRDefault="00AE4196">
      <w:pPr>
        <w:spacing w:before="240" w:after="240"/>
        <w:rPr>
          <w:sz w:val="16"/>
          <w:szCs w:val="16"/>
        </w:rPr>
      </w:pPr>
      <w:r>
        <w:rPr>
          <w:sz w:val="16"/>
          <w:szCs w:val="16"/>
        </w:rPr>
        <w:lastRenderedPageBreak/>
        <w:t>[1] List of 9 chosen ETFs:</w:t>
      </w:r>
    </w:p>
    <w:p w:rsidR="003267EA" w:rsidRDefault="00AE4196">
      <w:pPr>
        <w:spacing w:before="240" w:after="240"/>
        <w:rPr>
          <w:sz w:val="16"/>
          <w:szCs w:val="16"/>
        </w:rPr>
      </w:pPr>
      <w:r>
        <w:rPr>
          <w:sz w:val="16"/>
          <w:szCs w:val="16"/>
        </w:rPr>
        <w:t>VOO:  Vanguard S&amp;P 500 ETF</w:t>
      </w:r>
    </w:p>
    <w:p w:rsidR="003267EA" w:rsidRDefault="00AE4196">
      <w:pPr>
        <w:spacing w:before="240" w:after="240"/>
        <w:rPr>
          <w:sz w:val="16"/>
          <w:szCs w:val="16"/>
        </w:rPr>
      </w:pPr>
      <w:r>
        <w:rPr>
          <w:sz w:val="16"/>
          <w:szCs w:val="16"/>
        </w:rPr>
        <w:t>VO: Vanguard Mid-Cap Index Fund ETF Shares</w:t>
      </w:r>
    </w:p>
    <w:p w:rsidR="003267EA" w:rsidRDefault="00AE4196">
      <w:pPr>
        <w:spacing w:before="240" w:after="240"/>
        <w:rPr>
          <w:sz w:val="16"/>
          <w:szCs w:val="16"/>
        </w:rPr>
      </w:pPr>
      <w:r>
        <w:rPr>
          <w:sz w:val="16"/>
          <w:szCs w:val="16"/>
        </w:rPr>
        <w:t>VB: Vanguard Small-Cap Index Fund ETF Shares</w:t>
      </w:r>
    </w:p>
    <w:p w:rsidR="003267EA" w:rsidRDefault="00AE4196">
      <w:pPr>
        <w:spacing w:before="240" w:after="240"/>
        <w:rPr>
          <w:sz w:val="16"/>
          <w:szCs w:val="16"/>
        </w:rPr>
      </w:pPr>
      <w:r>
        <w:rPr>
          <w:sz w:val="16"/>
          <w:szCs w:val="16"/>
        </w:rPr>
        <w:t>VWO: Vanguard FTSE Emerging Markets Index Fund ETF Shares</w:t>
      </w:r>
    </w:p>
    <w:p w:rsidR="003267EA" w:rsidRDefault="00AE4196">
      <w:pPr>
        <w:spacing w:before="240" w:after="240"/>
        <w:rPr>
          <w:sz w:val="16"/>
          <w:szCs w:val="16"/>
        </w:rPr>
      </w:pPr>
      <w:r>
        <w:rPr>
          <w:sz w:val="16"/>
          <w:szCs w:val="16"/>
        </w:rPr>
        <w:t>SHY: The iShares 1-3 Year Treasury Bond ETF</w:t>
      </w:r>
    </w:p>
    <w:p w:rsidR="003267EA" w:rsidRDefault="00AE4196">
      <w:pPr>
        <w:spacing w:before="240" w:after="240"/>
        <w:rPr>
          <w:sz w:val="16"/>
          <w:szCs w:val="16"/>
        </w:rPr>
      </w:pPr>
      <w:r>
        <w:rPr>
          <w:sz w:val="16"/>
          <w:szCs w:val="16"/>
        </w:rPr>
        <w:t>VGLT: The Vanguard Long-Term Government Bond ETF</w:t>
      </w:r>
    </w:p>
    <w:p w:rsidR="003267EA" w:rsidRDefault="00AE4196">
      <w:pPr>
        <w:spacing w:before="240" w:after="240"/>
        <w:rPr>
          <w:sz w:val="16"/>
          <w:szCs w:val="16"/>
        </w:rPr>
      </w:pPr>
      <w:r>
        <w:rPr>
          <w:sz w:val="16"/>
          <w:szCs w:val="16"/>
        </w:rPr>
        <w:t>SPIB: SPDR Portfolio Intermediate Term Corporate Bond ETF</w:t>
      </w:r>
    </w:p>
    <w:p w:rsidR="003267EA" w:rsidRDefault="00AE4196">
      <w:pPr>
        <w:spacing w:before="240" w:after="240"/>
        <w:rPr>
          <w:sz w:val="16"/>
          <w:szCs w:val="16"/>
        </w:rPr>
      </w:pPr>
      <w:r>
        <w:rPr>
          <w:sz w:val="16"/>
          <w:szCs w:val="16"/>
        </w:rPr>
        <w:t>DBC: Invesco DB Commodity Index Tracking Fund</w:t>
      </w:r>
    </w:p>
    <w:p w:rsidR="003267EA" w:rsidRDefault="00AE4196">
      <w:pPr>
        <w:spacing w:before="240" w:after="240"/>
        <w:rPr>
          <w:sz w:val="16"/>
          <w:szCs w:val="16"/>
        </w:rPr>
      </w:pPr>
      <w:r>
        <w:rPr>
          <w:sz w:val="16"/>
          <w:szCs w:val="16"/>
        </w:rPr>
        <w:t>G</w:t>
      </w:r>
      <w:r>
        <w:rPr>
          <w:sz w:val="16"/>
          <w:szCs w:val="16"/>
        </w:rPr>
        <w:t>LD: SPDR Gold Shares</w:t>
      </w:r>
    </w:p>
    <w:p w:rsidR="003267EA" w:rsidRDefault="00AE4196">
      <w:r>
        <w:tab/>
      </w:r>
      <w:r>
        <w:tab/>
      </w:r>
      <w:r>
        <w:tab/>
      </w:r>
    </w:p>
    <w:p w:rsidR="003267EA" w:rsidRDefault="00AE4196">
      <w:r>
        <w:tab/>
      </w:r>
      <w:r>
        <w:tab/>
      </w:r>
      <w:r>
        <w:tab/>
      </w:r>
      <w:r>
        <w:tab/>
      </w:r>
      <w:r>
        <w:tab/>
      </w:r>
    </w:p>
    <w:p w:rsidR="003267EA" w:rsidRDefault="00AE4196">
      <w:pPr>
        <w:numPr>
          <w:ilvl w:val="0"/>
          <w:numId w:val="1"/>
        </w:numPr>
        <w:spacing w:before="240" w:after="240"/>
      </w:pPr>
      <w:r>
        <w:tab/>
      </w:r>
      <w:r>
        <w:tab/>
      </w:r>
      <w:r>
        <w:tab/>
      </w:r>
      <w:r>
        <w:tab/>
      </w:r>
      <w:r>
        <w:tab/>
      </w:r>
      <w:r>
        <w:tab/>
        <w:t xml:space="preserve"> </w:t>
      </w:r>
      <w:r>
        <w:tab/>
      </w:r>
      <w:r>
        <w:tab/>
      </w:r>
      <w:r>
        <w:tab/>
      </w:r>
      <w:r>
        <w:tab/>
      </w:r>
      <w:r>
        <w:tab/>
      </w:r>
      <w:r>
        <w:tab/>
      </w:r>
      <w:r>
        <w:tab/>
      </w:r>
    </w:p>
    <w:p w:rsidR="003267EA" w:rsidRDefault="00AE4196">
      <w:r>
        <w:tab/>
      </w:r>
      <w:r>
        <w:tab/>
      </w:r>
      <w:r>
        <w:tab/>
      </w:r>
      <w:r>
        <w:tab/>
      </w:r>
      <w:r>
        <w:tab/>
        <w:t xml:space="preserve"> </w:t>
      </w:r>
      <w:r>
        <w:tab/>
      </w:r>
      <w:r>
        <w:tab/>
      </w:r>
      <w:r>
        <w:tab/>
      </w:r>
      <w:r>
        <w:tab/>
      </w:r>
    </w:p>
    <w:p w:rsidR="003267EA" w:rsidRDefault="00AE4196">
      <w:r>
        <w:tab/>
      </w:r>
      <w:r>
        <w:tab/>
      </w:r>
      <w:r>
        <w:tab/>
      </w:r>
    </w:p>
    <w:p w:rsidR="003267EA" w:rsidRDefault="00AE4196">
      <w:r>
        <w:tab/>
      </w:r>
      <w:r>
        <w:tab/>
      </w:r>
    </w:p>
    <w:p w:rsidR="003267EA" w:rsidRDefault="00AE4196">
      <w:r>
        <w:tab/>
      </w:r>
    </w:p>
    <w:p w:rsidR="003267EA" w:rsidRDefault="00AE4196">
      <w:r>
        <w:tab/>
      </w:r>
      <w:r>
        <w:tab/>
      </w:r>
    </w:p>
    <w:p w:rsidR="003267EA" w:rsidRDefault="003267EA"/>
    <w:p w:rsidR="003267EA" w:rsidRDefault="00AE4196">
      <w:r>
        <w:tab/>
      </w:r>
      <w:r>
        <w:tab/>
      </w:r>
      <w:r>
        <w:tab/>
      </w:r>
    </w:p>
    <w:p w:rsidR="003267EA" w:rsidRDefault="00AE4196">
      <w:r>
        <w:tab/>
      </w:r>
      <w:r>
        <w:tab/>
      </w:r>
    </w:p>
    <w:p w:rsidR="003267EA" w:rsidRDefault="003267EA"/>
    <w:sectPr w:rsidR="003267E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292DC0"/>
    <w:multiLevelType w:val="multilevel"/>
    <w:tmpl w:val="8F5A0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
  <w:rsids>
    <w:rsidRoot w:val="003267EA"/>
    <w:rsid w:val="003267EA"/>
    <w:rsid w:val="00491E37"/>
    <w:rsid w:val="009E03B7"/>
    <w:rsid w:val="009E19A3"/>
    <w:rsid w:val="00AE4196"/>
    <w:rsid w:val="00F37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240"/>
      <w:ind w:left="720" w:hanging="36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491E3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E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240"/>
      <w:ind w:left="720" w:hanging="36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491E3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E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2384</Words>
  <Characters>13595</Characters>
  <Application>Microsoft Office Word</Application>
  <DocSecurity>0</DocSecurity>
  <Lines>113</Lines>
  <Paragraphs>31</Paragraphs>
  <ScaleCrop>false</ScaleCrop>
  <Company/>
  <LinksUpToDate>false</LinksUpToDate>
  <CharactersWithSpaces>15948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air</cp:lastModifiedBy>
  <cp:revision>6</cp:revision>
  <dcterms:created xsi:type="dcterms:W3CDTF">2021-01-16T03:31:00Z</dcterms:created>
  <dcterms:modified xsi:type="dcterms:W3CDTF">2021-01-16T03:40:00Z</dcterms:modified>
</cp:coreProperties>
</file>