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6DC84" w14:textId="36051B82" w:rsidR="00330706" w:rsidRDefault="009A6E9D" w:rsidP="009A6E9D">
      <w:pPr>
        <w:pStyle w:val="Heading1"/>
      </w:pPr>
      <w:r>
        <w:t>Outline of HAL-1 Documentation</w:t>
      </w:r>
    </w:p>
    <w:p w14:paraId="5EA3ACB6" w14:textId="0EBE88C7" w:rsidR="009A6E9D" w:rsidRDefault="009A6E9D" w:rsidP="009A6E9D">
      <w:pPr>
        <w:pStyle w:val="Heading2"/>
      </w:pPr>
      <w:r>
        <w:t>Overview</w:t>
      </w:r>
    </w:p>
    <w:p w14:paraId="380DAC95" w14:textId="3B2669E0" w:rsidR="009A6E9D" w:rsidRDefault="009A6E9D" w:rsidP="009A6E9D">
      <w:r>
        <w:t xml:space="preserve">HAL-1 is the Liquid Rocketry at Illinois </w:t>
      </w:r>
      <w:r w:rsidR="0061745E">
        <w:t xml:space="preserve">(LRI) </w:t>
      </w:r>
      <w:r>
        <w:t>avionics board for the 2025-2026 academic year. It accomplishes the tasks of logging and managing:</w:t>
      </w:r>
    </w:p>
    <w:p w14:paraId="6E13F42E" w14:textId="2DCC34AB" w:rsidR="009A6E9D" w:rsidRDefault="009A6E9D" w:rsidP="009A6E9D">
      <w:pPr>
        <w:pStyle w:val="ListParagraph"/>
        <w:numPr>
          <w:ilvl w:val="0"/>
          <w:numId w:val="23"/>
        </w:numPr>
      </w:pPr>
      <w:r>
        <w:t>Altitude data</w:t>
      </w:r>
    </w:p>
    <w:p w14:paraId="5C1F8041" w14:textId="658880DC" w:rsidR="009A6E9D" w:rsidRDefault="009A6E9D" w:rsidP="009A6E9D">
      <w:pPr>
        <w:pStyle w:val="ListParagraph"/>
        <w:numPr>
          <w:ilvl w:val="0"/>
          <w:numId w:val="23"/>
        </w:numPr>
      </w:pPr>
      <w:r>
        <w:t>Positional data (including but not limited to Euler angles, velocity, and acceleration)</w:t>
      </w:r>
    </w:p>
    <w:p w14:paraId="4A2D6D39" w14:textId="751FAAE3" w:rsidR="009A6E9D" w:rsidRDefault="009A6E9D" w:rsidP="009A6E9D">
      <w:pPr>
        <w:pStyle w:val="ListParagraph"/>
        <w:numPr>
          <w:ilvl w:val="0"/>
          <w:numId w:val="23"/>
        </w:numPr>
      </w:pPr>
      <w:r>
        <w:t>Testing of modular redundancy systems and procedures</w:t>
      </w:r>
    </w:p>
    <w:p w14:paraId="1F31E253" w14:textId="3430F734" w:rsidR="009A6E9D" w:rsidRDefault="009A6E9D" w:rsidP="009A6E9D">
      <w:r>
        <w:t>The project also aims to establish many critical logistical and technical procedures, including:</w:t>
      </w:r>
    </w:p>
    <w:p w14:paraId="699CD3D2" w14:textId="7BA4C0E0" w:rsidR="009A6E9D" w:rsidRDefault="009A6E9D" w:rsidP="009A6E9D">
      <w:pPr>
        <w:pStyle w:val="ListParagraph"/>
        <w:numPr>
          <w:ilvl w:val="0"/>
          <w:numId w:val="23"/>
        </w:numPr>
      </w:pPr>
      <w:r>
        <w:t>Standardized project workflow and organization</w:t>
      </w:r>
    </w:p>
    <w:p w14:paraId="5B15E7DB" w14:textId="6DA914D6" w:rsidR="009A6E9D" w:rsidRDefault="0061745E" w:rsidP="009A6E9D">
      <w:pPr>
        <w:pStyle w:val="ListParagraph"/>
        <w:numPr>
          <w:ilvl w:val="0"/>
          <w:numId w:val="23"/>
        </w:numPr>
      </w:pPr>
      <w:r>
        <w:t>Creating a framework for future boards based on STM32 system architecture</w:t>
      </w:r>
    </w:p>
    <w:p w14:paraId="0B73ECC8" w14:textId="0EB0E805" w:rsidR="003E3778" w:rsidRDefault="0061745E" w:rsidP="003E3778">
      <w:pPr>
        <w:pStyle w:val="ListParagraph"/>
        <w:numPr>
          <w:ilvl w:val="0"/>
          <w:numId w:val="23"/>
        </w:numPr>
      </w:pPr>
      <w:r>
        <w:t>Easing the development process of avionics for future generations of LRI</w:t>
      </w:r>
    </w:p>
    <w:p w14:paraId="43994C2F" w14:textId="595E66D1" w:rsidR="003E3778" w:rsidRDefault="003E3778" w:rsidP="003E3778">
      <w:pPr>
        <w:pStyle w:val="Heading2"/>
      </w:pPr>
      <w:r>
        <w:t>High Level Usage and Overview</w:t>
      </w:r>
    </w:p>
    <w:p w14:paraId="67F7D8F4" w14:textId="2E3E8DB2" w:rsidR="003E3778" w:rsidRDefault="003E3778" w:rsidP="003E3778">
      <w:r>
        <w:t xml:space="preserve">This section teaches members of other teams which </w:t>
      </w:r>
      <w:r w:rsidR="002F3CBB">
        <w:t>work</w:t>
      </w:r>
      <w:r>
        <w:t xml:space="preserve"> with Hal-1 the functions of the board at a high level. The usage guide for the pyro channels, basic wiring from the board out, and selecting modes are covered.</w:t>
      </w:r>
    </w:p>
    <w:p w14:paraId="6AE87AE9" w14:textId="45C2020E" w:rsidR="003E3778" w:rsidRDefault="003E3778" w:rsidP="003E3778">
      <w:pPr>
        <w:pStyle w:val="Heading3"/>
      </w:pPr>
      <w:r>
        <w:t>Pyro channels</w:t>
      </w:r>
    </w:p>
    <w:p w14:paraId="24A5F15F" w14:textId="2C9E16E0" w:rsidR="003E3778" w:rsidRDefault="003E3778" w:rsidP="003E3778">
      <w:r>
        <w:t xml:space="preserve">To use the pyro channels, electric matches (e-matches) are wired with one end into </w:t>
      </w:r>
      <w:r w:rsidR="000124A6">
        <w:t>the e-match’s respective OUT and IN</w:t>
      </w:r>
      <w:r>
        <w:t xml:space="preserve"> screw terminal</w:t>
      </w:r>
      <w:r w:rsidR="000124A6">
        <w:t>s</w:t>
      </w:r>
      <w:r>
        <w:t xml:space="preserve"> on the board</w:t>
      </w:r>
      <w:r w:rsidR="000124A6">
        <w:t>. E-matches are non-directional, so it does not matter which end of the wire is screwed into the terminal. Both will produce the same results.</w:t>
      </w:r>
    </w:p>
    <w:p w14:paraId="2CBEE0F3" w14:textId="625D709C" w:rsidR="00B25147" w:rsidRDefault="00B25147" w:rsidP="00B25147">
      <w:pPr>
        <w:pStyle w:val="ListParagraph"/>
        <w:numPr>
          <w:ilvl w:val="0"/>
          <w:numId w:val="23"/>
        </w:numPr>
      </w:pPr>
      <w:r>
        <w:t>NOTE: In future (after board bringup and assembly), there will be labels on the board and images will be placed here, for easy referencing.</w:t>
      </w:r>
    </w:p>
    <w:p w14:paraId="21035D78" w14:textId="4D91983A" w:rsidR="00B25147" w:rsidRDefault="00B25147" w:rsidP="00B25147">
      <w:pPr>
        <w:pStyle w:val="Heading3"/>
      </w:pPr>
      <w:r>
        <w:t>External wiring and arming</w:t>
      </w:r>
    </w:p>
    <w:p w14:paraId="160F9513" w14:textId="0D8213B6" w:rsidR="00B25147" w:rsidRDefault="00B25147" w:rsidP="00B25147">
      <w:r>
        <w:t>Arming the board for ejection shall occur as the VERY LAST item in procedures! This is non-negotiable. Before arming the board for ejection, the rocket is first FULLY assembled and prepared for launch. This includes:</w:t>
      </w:r>
    </w:p>
    <w:p w14:paraId="01D9BA1D" w14:textId="7510C9D2" w:rsidR="00B25147" w:rsidRPr="00B25147" w:rsidRDefault="00B25147" w:rsidP="00B25147">
      <w:pPr>
        <w:pStyle w:val="ListParagraph"/>
        <w:numPr>
          <w:ilvl w:val="0"/>
          <w:numId w:val="23"/>
        </w:numPr>
      </w:pPr>
      <w:r>
        <w:t xml:space="preserve">Activating </w:t>
      </w:r>
      <w:r>
        <w:t>the board</w:t>
      </w:r>
    </w:p>
    <w:p w14:paraId="5DB737AF" w14:textId="12068424" w:rsidR="00B25147" w:rsidRDefault="00B25147" w:rsidP="00B25147">
      <w:pPr>
        <w:pStyle w:val="ListParagraph"/>
        <w:numPr>
          <w:ilvl w:val="0"/>
          <w:numId w:val="23"/>
        </w:numPr>
      </w:pPr>
      <w:r>
        <w:t>Confirming nominal sensor and debug data</w:t>
      </w:r>
    </w:p>
    <w:p w14:paraId="29FEB0A9" w14:textId="2486AD68" w:rsidR="00B25147" w:rsidRDefault="00B25147" w:rsidP="00B25147">
      <w:pPr>
        <w:pStyle w:val="ListParagraph"/>
        <w:numPr>
          <w:ilvl w:val="0"/>
          <w:numId w:val="23"/>
        </w:numPr>
      </w:pPr>
      <w:r>
        <w:t>Wiring and lining e-matches to their respective black powder charges.</w:t>
      </w:r>
    </w:p>
    <w:p w14:paraId="4EECC756" w14:textId="3EBBB9E4" w:rsidR="00B25147" w:rsidRDefault="00B25147" w:rsidP="00B25147">
      <w:pPr>
        <w:pStyle w:val="ListParagraph"/>
        <w:numPr>
          <w:ilvl w:val="0"/>
          <w:numId w:val="23"/>
        </w:numPr>
      </w:pPr>
      <w:r>
        <w:t>Securing the avionics bay (AV bay)</w:t>
      </w:r>
    </w:p>
    <w:p w14:paraId="16882AB6" w14:textId="296ACF1E" w:rsidR="00B25147" w:rsidRDefault="00B25147" w:rsidP="00B25147">
      <w:pPr>
        <w:pStyle w:val="ListParagraph"/>
        <w:numPr>
          <w:ilvl w:val="0"/>
          <w:numId w:val="23"/>
        </w:numPr>
      </w:pPr>
      <w:r>
        <w:t>Securing the rocket airframe</w:t>
      </w:r>
    </w:p>
    <w:p w14:paraId="353DEEAC" w14:textId="0B2CB952" w:rsidR="00B25147" w:rsidRDefault="00B25147" w:rsidP="00B25147">
      <w:pPr>
        <w:pStyle w:val="ListParagraph"/>
        <w:numPr>
          <w:ilvl w:val="0"/>
          <w:numId w:val="23"/>
        </w:numPr>
      </w:pPr>
      <w:r>
        <w:t>Mounting the rocket onto the launch railings</w:t>
      </w:r>
    </w:p>
    <w:p w14:paraId="4CDB922A" w14:textId="1961CAFF" w:rsidR="00B25147" w:rsidRDefault="00B25147" w:rsidP="00B25147">
      <w:r>
        <w:t xml:space="preserve">Only after </w:t>
      </w:r>
      <w:r w:rsidR="0069299D">
        <w:t>ALL</w:t>
      </w:r>
      <w:r>
        <w:t xml:space="preserve"> these tasks are completed can the rocket be armed for ejection. </w:t>
      </w:r>
    </w:p>
    <w:p w14:paraId="53864B38" w14:textId="4AA23BC3" w:rsidR="00B25147" w:rsidRDefault="00B25147" w:rsidP="00B25147">
      <w:pPr>
        <w:rPr>
          <w:b/>
          <w:bCs/>
          <w:i/>
          <w:iCs/>
        </w:rPr>
      </w:pPr>
      <w:r w:rsidRPr="00B25147">
        <w:rPr>
          <w:b/>
          <w:bCs/>
          <w:i/>
          <w:iCs/>
        </w:rPr>
        <w:t>[Arming procedures TBD]</w:t>
      </w:r>
    </w:p>
    <w:p w14:paraId="2499BADB" w14:textId="47C4CEB9" w:rsidR="00713D28" w:rsidRDefault="00713D28" w:rsidP="00713D28">
      <w:pPr>
        <w:pStyle w:val="Heading3"/>
      </w:pPr>
      <w:r>
        <w:t>Test Modes and Navigating Testing Procedures</w:t>
      </w:r>
    </w:p>
    <w:p w14:paraId="68E3CE90" w14:textId="6C2CB107" w:rsidR="0069299D" w:rsidRPr="0069299D" w:rsidRDefault="0069299D" w:rsidP="0069299D">
      <w:pPr>
        <w:pStyle w:val="ListParagraph"/>
        <w:numPr>
          <w:ilvl w:val="0"/>
          <w:numId w:val="23"/>
        </w:numPr>
      </w:pPr>
      <w:r>
        <w:t>NOTE: these all mostly depend on software being finished so…</w:t>
      </w:r>
    </w:p>
    <w:p w14:paraId="4B83D15D" w14:textId="338073C6" w:rsidR="00713D28" w:rsidRDefault="0069299D" w:rsidP="0069299D">
      <w:pPr>
        <w:pStyle w:val="Heading4"/>
      </w:pPr>
      <w:r>
        <w:t>Ejection Testing</w:t>
      </w:r>
    </w:p>
    <w:p w14:paraId="29B19610" w14:textId="4ABAF2B4" w:rsidR="0069299D" w:rsidRDefault="0069299D" w:rsidP="0069299D">
      <w:r>
        <w:t>Ejection testing is arguably one of the most dangerous tests, considering the strength and scale of the rocket. As such, it is imperative to stick closely to all procedures.</w:t>
      </w:r>
    </w:p>
    <w:p w14:paraId="2350FB16" w14:textId="2D6F155D" w:rsidR="0069299D" w:rsidRPr="0069299D" w:rsidRDefault="0069299D" w:rsidP="0069299D">
      <w:r>
        <w:t>[PROCEDURES TBD]</w:t>
      </w:r>
    </w:p>
    <w:p w14:paraId="446070F9" w14:textId="621DA72E" w:rsidR="0069299D" w:rsidRPr="0069299D" w:rsidRDefault="0069299D" w:rsidP="0069299D">
      <w:pPr>
        <w:pStyle w:val="Heading4"/>
      </w:pPr>
      <w:r>
        <w:lastRenderedPageBreak/>
        <w:t>Sensor Testing</w:t>
      </w:r>
    </w:p>
    <w:p w14:paraId="3D2135FD" w14:textId="39E290C9" w:rsidR="0069299D" w:rsidRDefault="0069299D" w:rsidP="0069299D">
      <w:pPr>
        <w:pStyle w:val="Heading4"/>
      </w:pPr>
      <w:r>
        <w:t>Radio Frequency Testing</w:t>
      </w:r>
    </w:p>
    <w:p w14:paraId="5B892E53" w14:textId="0CEE3875" w:rsidR="0069299D" w:rsidRDefault="0069299D" w:rsidP="0069299D">
      <w:pPr>
        <w:pStyle w:val="Heading4"/>
      </w:pPr>
      <w:r>
        <w:t>Radio Remote Control Testing</w:t>
      </w:r>
    </w:p>
    <w:p w14:paraId="11171199" w14:textId="042439A0" w:rsidR="009A6E9D" w:rsidRDefault="009A6E9D" w:rsidP="009A6E9D">
      <w:pPr>
        <w:pStyle w:val="Heading2"/>
      </w:pPr>
      <w:r>
        <w:t>Hardware Components</w:t>
      </w:r>
      <w:r w:rsidR="0061745E">
        <w:t xml:space="preserve"> and Procedures</w:t>
      </w:r>
    </w:p>
    <w:p w14:paraId="5C20EC58" w14:textId="503E6136" w:rsidR="0061745E" w:rsidRDefault="0061745E" w:rsidP="008F0DEF">
      <w:r>
        <w:t>This section outlines the components used in HAL-</w:t>
      </w:r>
      <w:r w:rsidR="00441FB1">
        <w:t>1 and</w:t>
      </w:r>
      <w:r>
        <w:t xml:space="preserve"> includes links to datasheets and external references. The goal of this section is to introduce the reader to the hardware being used, and explain topics such as communication protocols, datasheet information extraction, and how decisions for components were made.</w:t>
      </w:r>
      <w:r w:rsidR="0069299D">
        <w:t xml:space="preserve"> After reading this section, a reader should understand the basic functionality of SPI, UART, and I2C communication protocols, as well as a basic understanding of how components are selected and </w:t>
      </w:r>
      <w:r w:rsidR="00B70198">
        <w:t>implemented within KiCAD.</w:t>
      </w:r>
    </w:p>
    <w:p w14:paraId="5B0307DF" w14:textId="4FD8D127" w:rsidR="0061745E" w:rsidRDefault="0061745E" w:rsidP="008F0DEF">
      <w:pPr>
        <w:pStyle w:val="Heading3"/>
      </w:pPr>
      <w:r>
        <w:t>Microcontroller (MCU): STM32h750VBT6</w:t>
      </w:r>
    </w:p>
    <w:p w14:paraId="7D9B8083" w14:textId="6FD68321" w:rsidR="005A2981" w:rsidRDefault="005A2981" w:rsidP="005A2981">
      <w:r>
        <w:t xml:space="preserve">The STM32h750VB series is a robust line of STM32 </w:t>
      </w:r>
      <w:r w:rsidR="00B70198">
        <w:t>microcontrollers and</w:t>
      </w:r>
      <w:r>
        <w:t xml:space="preserve"> are based on a </w:t>
      </w:r>
      <w:r w:rsidR="00B70198">
        <w:t>32-bit</w:t>
      </w:r>
      <w:r>
        <w:t xml:space="preserve"> Arm architecture. The VBT6 LQFP100 was chosen for use, with 100 pins on the chip. This model is powerful</w:t>
      </w:r>
      <w:r w:rsidR="000C6D97">
        <w:t xml:space="preserve"> enough to handle computation for all sensors’ </w:t>
      </w:r>
      <w:r w:rsidR="00B70198">
        <w:t>data and</w:t>
      </w:r>
      <w:r w:rsidR="000C6D97">
        <w:t xml:space="preserve"> is a viable choice of microcontroller for the project. Some notable features include:</w:t>
      </w:r>
    </w:p>
    <w:p w14:paraId="2DB7EE10" w14:textId="3214B896" w:rsidR="000C6D97" w:rsidRDefault="000C6D97" w:rsidP="000C6D97">
      <w:pPr>
        <w:pStyle w:val="ListParagraph"/>
        <w:numPr>
          <w:ilvl w:val="0"/>
          <w:numId w:val="23"/>
        </w:numPr>
      </w:pPr>
      <w:r>
        <w:t>480 MHz clock speed</w:t>
      </w:r>
    </w:p>
    <w:p w14:paraId="18B4EAE3" w14:textId="2CFA6557" w:rsidR="000C6D97" w:rsidRDefault="000C6D97" w:rsidP="000C6D97">
      <w:pPr>
        <w:pStyle w:val="ListParagraph"/>
        <w:numPr>
          <w:ilvl w:val="0"/>
          <w:numId w:val="23"/>
        </w:numPr>
      </w:pPr>
      <w:r>
        <w:t>128 KBytes flash memory</w:t>
      </w:r>
    </w:p>
    <w:p w14:paraId="66D1D395" w14:textId="1363E104" w:rsidR="000C6D97" w:rsidRDefault="000C6D97" w:rsidP="000C6D97">
      <w:pPr>
        <w:pStyle w:val="ListParagraph"/>
        <w:numPr>
          <w:ilvl w:val="0"/>
          <w:numId w:val="23"/>
        </w:numPr>
      </w:pPr>
      <w:r>
        <w:t>1 Mbyte of RAM</w:t>
      </w:r>
    </w:p>
    <w:p w14:paraId="4098E152" w14:textId="7825DBEB" w:rsidR="000C6D97" w:rsidRDefault="000C6D97" w:rsidP="000C6D97">
      <w:pPr>
        <w:pStyle w:val="ListParagraph"/>
        <w:numPr>
          <w:ilvl w:val="0"/>
          <w:numId w:val="23"/>
        </w:numPr>
      </w:pPr>
      <w:r>
        <w:t>3.3V logic (1.62V – 3.6V application supply voltage)</w:t>
      </w:r>
    </w:p>
    <w:p w14:paraId="14448C5E" w14:textId="7B651942" w:rsidR="000C6D97" w:rsidRDefault="0022490B" w:rsidP="000C6D97">
      <w:pPr>
        <w:pStyle w:val="ListParagraph"/>
        <w:numPr>
          <w:ilvl w:val="0"/>
          <w:numId w:val="23"/>
        </w:numPr>
      </w:pPr>
      <w:r>
        <w:t>Voltage supplied to VBAT (Backup voltage) must be above 1.55V</w:t>
      </w:r>
    </w:p>
    <w:p w14:paraId="31A589B7" w14:textId="20ED85B5" w:rsidR="009E4B5D" w:rsidRDefault="009E4B5D" w:rsidP="008F0DEF">
      <w:pPr>
        <w:pStyle w:val="Heading4"/>
      </w:pPr>
      <w:r>
        <w:t>V_DD, V_BAT, V_DDA</w:t>
      </w:r>
    </w:p>
    <w:p w14:paraId="5605F525" w14:textId="131A3986" w:rsidR="009E4B5D" w:rsidRPr="005A2981" w:rsidRDefault="009E4B5D" w:rsidP="009E4B5D">
      <w:r>
        <w:t xml:space="preserve">These three voltage pins are inputs. They accept the 3.3V in use for all modules on HAL-1. The difference between V_DD and V_DDA is that V_DDA is a separate voltage supply for the analog components within the chip itself. </w:t>
      </w:r>
      <w:r w:rsidR="00B82AC2">
        <w:t xml:space="preserve">The usage of the V_DDA pin is usually to allow a filtered input to be </w:t>
      </w:r>
      <w:r w:rsidR="00583967">
        <w:t>supplied but</w:t>
      </w:r>
      <w:r w:rsidR="00B82AC2">
        <w:t xml:space="preserve"> is not implemented in HAL-1 in the interest of simplicity and quick functionality. </w:t>
      </w:r>
      <w:r w:rsidR="00BF19A0">
        <w:t xml:space="preserve">V_BAT is the backup power source, preferably from a 3.3 battery source, although the MCU can accept anything from 1.62V to 3.6V. If no backup battery exists, as is the case for HAL-1, this pin may be connected to 3.3V power. </w:t>
      </w:r>
      <w:r w:rsidR="00583967">
        <w:t xml:space="preserve">Regardless of usage, V_DD, V_BAT, and V_DDA must </w:t>
      </w:r>
      <w:r w:rsidR="00BF19A0">
        <w:t xml:space="preserve">all </w:t>
      </w:r>
      <w:r w:rsidR="00583967">
        <w:t xml:space="preserve">be connected to power. </w:t>
      </w:r>
    </w:p>
    <w:p w14:paraId="38F969CD" w14:textId="7D7037EC" w:rsidR="0061745E" w:rsidRDefault="0061745E" w:rsidP="008F0DEF">
      <w:pPr>
        <w:pStyle w:val="Heading3"/>
      </w:pPr>
      <w:r>
        <w:t>Inertial Measurement Unit (IMU): BNO085</w:t>
      </w:r>
    </w:p>
    <w:p w14:paraId="5720542D" w14:textId="17BF13EF" w:rsidR="001074C1" w:rsidRPr="001074C1" w:rsidRDefault="001074C1" w:rsidP="001074C1">
      <w:pPr>
        <w:pStyle w:val="ListParagraph"/>
        <w:numPr>
          <w:ilvl w:val="0"/>
          <w:numId w:val="23"/>
        </w:numPr>
      </w:pPr>
      <w:r>
        <w:t xml:space="preserve">NOTE: pg.18 of datasheet for SPI wiring diagram </w:t>
      </w:r>
    </w:p>
    <w:p w14:paraId="621CB69D" w14:textId="138D2199" w:rsidR="0061745E" w:rsidRDefault="0061745E" w:rsidP="008F0DEF">
      <w:pPr>
        <w:pStyle w:val="Heading3"/>
      </w:pPr>
      <w:r>
        <w:t xml:space="preserve">Barometer: </w:t>
      </w:r>
      <w:r w:rsidR="00441FB1">
        <w:t>BMP390</w:t>
      </w:r>
    </w:p>
    <w:p w14:paraId="21B67688" w14:textId="118E395F" w:rsidR="0061745E" w:rsidRDefault="00A50DC0" w:rsidP="008F0DEF">
      <w:pPr>
        <w:pStyle w:val="Heading3"/>
      </w:pPr>
      <w:r>
        <w:t>Scientific Inertial Measurement Unit (SIMU)</w:t>
      </w:r>
      <w:r w:rsidR="0061745E">
        <w:t>:</w:t>
      </w:r>
      <w:r w:rsidR="00441FB1">
        <w:t xml:space="preserve"> </w:t>
      </w:r>
      <w:r>
        <w:t>BMI270</w:t>
      </w:r>
    </w:p>
    <w:p w14:paraId="4423EA26" w14:textId="5F392A76" w:rsidR="00272E97" w:rsidRDefault="00A134B9" w:rsidP="00A134B9">
      <w:r>
        <w:t xml:space="preserve">The </w:t>
      </w:r>
      <w:r w:rsidR="00A50DC0">
        <w:t>BMI270</w:t>
      </w:r>
      <w:r>
        <w:t xml:space="preserve"> is a </w:t>
      </w:r>
      <w:r w:rsidR="00A50DC0">
        <w:t>cheap IMU model which was chosen for its value and use in testing triple modular redundancy (TMR)</w:t>
      </w:r>
      <w:r>
        <w:t xml:space="preserve">. </w:t>
      </w:r>
      <w:r w:rsidR="00272E97">
        <w:t xml:space="preserve">This sensor was chosen for its accuracy and balance in price, providing great value as a science module. The purpose of the </w:t>
      </w:r>
      <w:r w:rsidR="00A50DC0">
        <w:t>BMI270</w:t>
      </w:r>
      <w:r w:rsidR="00272E97">
        <w:t xml:space="preserve"> is to detect ambient temperature and humidity, and this data is applied to test a software-based form of triple modular redundancy.</w:t>
      </w:r>
    </w:p>
    <w:p w14:paraId="4D0B3282" w14:textId="5D209136" w:rsidR="00272E97" w:rsidRDefault="00272E97" w:rsidP="00272E97">
      <w:pPr>
        <w:pStyle w:val="Heading4"/>
      </w:pPr>
      <w:r>
        <w:t>Modular Redundancy Testing</w:t>
      </w:r>
      <w:r w:rsidR="00200F31">
        <w:t xml:space="preserve"> (TMR)</w:t>
      </w:r>
    </w:p>
    <w:p w14:paraId="631494C7" w14:textId="2129B000" w:rsidR="00272E97" w:rsidRPr="00272E97" w:rsidRDefault="00272E97" w:rsidP="00272E97">
      <w:r>
        <w:t>Triple modular redundancy</w:t>
      </w:r>
      <w:r w:rsidR="00200F31">
        <w:t>, abbreviated TMR,</w:t>
      </w:r>
      <w:r>
        <w:t xml:space="preserve"> is a form of redundancy</w:t>
      </w:r>
      <w:r w:rsidR="00200F31">
        <w:t>—</w:t>
      </w:r>
      <w:r>
        <w:t>usually</w:t>
      </w:r>
      <w:r w:rsidR="00200F31">
        <w:t xml:space="preserve"> </w:t>
      </w:r>
      <w:r>
        <w:t>hardware-based</w:t>
      </w:r>
      <w:r w:rsidR="00200F31">
        <w:t>—</w:t>
      </w:r>
      <w:r>
        <w:t>which</w:t>
      </w:r>
      <w:r w:rsidR="00200F31">
        <w:t xml:space="preserve"> </w:t>
      </w:r>
      <w:r>
        <w:t xml:space="preserve">protects a system from suffering </w:t>
      </w:r>
      <w:r w:rsidR="00200F31">
        <w:t xml:space="preserve">from exceptional error and one-time data upsets. For example, if a sensor </w:t>
      </w:r>
      <w:r w:rsidR="00200F31">
        <w:lastRenderedPageBreak/>
        <w:t xml:space="preserve">malfunctions, if there is only one sensor then data accuracy may be compromised. If three sensors are run in parallel, and one sensor malfunctions, the two other sensors will “catch” the malfunction and automatically disregard the erroneous data from the malfunctioning sensor. This is assuming, of course, that the two other sensors are also not malfunctioning, although this is rare especially for one-time upsets. While triple-modular redundancy has its limits, it is a common way to simply and easily protect a system from receiving unexpected errors in data and keep a system running nominally. </w:t>
      </w:r>
    </w:p>
    <w:p w14:paraId="220C0D15" w14:textId="2DE75F74" w:rsidR="00272F24" w:rsidRDefault="00A134B9" w:rsidP="00A134B9">
      <w:r>
        <w:t xml:space="preserve">Because of its high accuracy and performance, the </w:t>
      </w:r>
      <w:r w:rsidR="00A50DC0">
        <w:t>BMI270</w:t>
      </w:r>
      <w:r>
        <w:t xml:space="preserve"> is the sensor of choice for testing </w:t>
      </w:r>
      <w:r w:rsidR="00272E97">
        <w:t>software</w:t>
      </w:r>
      <w:r w:rsidR="00200F31">
        <w:t>-based</w:t>
      </w:r>
      <w:r w:rsidR="00272E97">
        <w:t xml:space="preserve"> </w:t>
      </w:r>
      <w:r w:rsidR="00200F31">
        <w:t>TMR.</w:t>
      </w:r>
      <w:r w:rsidR="00272E97">
        <w:t xml:space="preserve"> It is not used for hardware redundancy because the </w:t>
      </w:r>
      <w:r w:rsidR="00A50DC0">
        <w:t>BMI270</w:t>
      </w:r>
      <w:r w:rsidR="00272E97">
        <w:t xml:space="preserve"> module is only an I2C module, which inherently prevents a true triple-modular redundant system from being made. SDA, the data line, is bi-directional and thus a voter circuit cannot be installed between the MCU and </w:t>
      </w:r>
      <w:r w:rsidR="00A50DC0">
        <w:t>BMI270</w:t>
      </w:r>
      <w:r w:rsidR="00272E97">
        <w:t>.</w:t>
      </w:r>
      <w:r w:rsidR="00200F31">
        <w:t xml:space="preserve"> Instead of a hardware circuit, the redundancy for the </w:t>
      </w:r>
      <w:r w:rsidR="00A50DC0">
        <w:t>BMI270</w:t>
      </w:r>
      <w:r w:rsidR="00200F31">
        <w:t xml:space="preserve"> implemented on Hal-1 is purely software. </w:t>
      </w:r>
    </w:p>
    <w:p w14:paraId="47096978" w14:textId="6C1F0DC1" w:rsidR="00A134B9" w:rsidRDefault="00200F31" w:rsidP="00A134B9">
      <w:r>
        <w:t xml:space="preserve">The purpose of testing a software-based implementation is to test whether software-based TMR is impactful and accurate enough to be implemented in future avionics boards. TMR is essential within space systems due to the high level of radiation experienced, but on Earth the ozone layer blocks much of the radiation experienced. Despite this layer of protection, due to past observances of sensor errors such as one-time spikes in data and </w:t>
      </w:r>
      <w:r w:rsidR="00272F24">
        <w:t xml:space="preserve">amplified </w:t>
      </w:r>
      <w:r>
        <w:t>variable sensor erro</w:t>
      </w:r>
      <w:r w:rsidR="00272F24">
        <w:t xml:space="preserve">r in a high-vibration environment, it was deemed necessary to evaluate the performance of redundancies. </w:t>
      </w:r>
    </w:p>
    <w:p w14:paraId="2E4F0409" w14:textId="5E6EF458" w:rsidR="00A134B9" w:rsidRPr="00A134B9" w:rsidRDefault="00A134B9" w:rsidP="00A134B9">
      <w:r>
        <w:t>NOTE: when ordering this component, it is EXTREMELY important that all three i2c address variants are ordered!!!! We need all three addresses to be able to have everything function properly.</w:t>
      </w:r>
    </w:p>
    <w:p w14:paraId="55C5193D" w14:textId="395D4AE4" w:rsidR="00441FB1" w:rsidRDefault="00441FB1" w:rsidP="008F0DEF">
      <w:pPr>
        <w:pStyle w:val="Heading3"/>
      </w:pPr>
      <w:r>
        <w:t>GPS: ublox MAX-M8Q</w:t>
      </w:r>
    </w:p>
    <w:p w14:paraId="03B7A500" w14:textId="6B3AC185" w:rsidR="00B70198" w:rsidRPr="00B70198" w:rsidRDefault="00B70198" w:rsidP="00B70198">
      <w:r>
        <w:t xml:space="preserve">The ublox MAX-M8Q is a commercial GPS module. Its implementation was kept as close as possible to manufacturer-provided specifications (See “GPS Datasheet” for all provided specifications). </w:t>
      </w:r>
    </w:p>
    <w:p w14:paraId="5DACB50B" w14:textId="283B3971" w:rsidR="00441FB1" w:rsidRPr="0061745E" w:rsidRDefault="00441FB1" w:rsidP="008F0DEF">
      <w:pPr>
        <w:pStyle w:val="Heading3"/>
      </w:pPr>
      <w:r>
        <w:t>Radio: Ebyte E22 900T22S</w:t>
      </w:r>
    </w:p>
    <w:p w14:paraId="4F293826" w14:textId="1E0A92D5" w:rsidR="009A6E9D" w:rsidRDefault="009A6E9D" w:rsidP="009A6E9D">
      <w:pPr>
        <w:pStyle w:val="Heading2"/>
      </w:pPr>
      <w:r>
        <w:t>STM32 CubeMX and MCU Pinout</w:t>
      </w:r>
    </w:p>
    <w:p w14:paraId="3547E481" w14:textId="4FED1F85" w:rsidR="009A6E9D" w:rsidRDefault="009A6E9D" w:rsidP="009A6E9D">
      <w:r>
        <w:t>Shdjfg</w:t>
      </w:r>
    </w:p>
    <w:p w14:paraId="145530C0" w14:textId="25267EDD" w:rsidR="009A6E9D" w:rsidRDefault="009A6E9D" w:rsidP="009A6E9D">
      <w:pPr>
        <w:pStyle w:val="Heading2"/>
      </w:pPr>
      <w:r>
        <w:t>KiCAD and Hardware Project Organization</w:t>
      </w:r>
    </w:p>
    <w:p w14:paraId="1A4A90D4" w14:textId="7E623331" w:rsidR="003E3778" w:rsidRDefault="003E3778" w:rsidP="003E3778">
      <w:r>
        <w:t>Skhjahdgfkjhs</w:t>
      </w:r>
    </w:p>
    <w:sectPr w:rsidR="003E3778" w:rsidSect="00002182">
      <w:pgSz w:w="12240" w:h="15840"/>
      <w:pgMar w:top="288" w:right="288" w:bottom="288" w:left="288" w:header="0" w:footer="0" w:gutter="0"/>
      <w:cols w:space="720"/>
      <w:noEndnote/>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okChampa">
    <w:altName w:val="DokChampa"/>
    <w:charset w:val="DE"/>
    <w:family w:val="swiss"/>
    <w:pitch w:val="variable"/>
    <w:sig w:usb0="83000003" w:usb1="00000000" w:usb2="00000000" w:usb3="00000000" w:csb0="00010001" w:csb1="00000000"/>
  </w:font>
  <w:font w:name="Calibri">
    <w:panose1 w:val="020F0502020204030204"/>
    <w:charset w:val="00"/>
    <w:family w:val="swiss"/>
    <w:pitch w:val="variable"/>
    <w:sig w:usb0="E4002EFF" w:usb1="C0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52CBA"/>
    <w:multiLevelType w:val="hybridMultilevel"/>
    <w:tmpl w:val="2446FDDA"/>
    <w:lvl w:ilvl="0" w:tplc="6AEAEE86">
      <w:numFmt w:val="bullet"/>
      <w:lvlText w:val=""/>
      <w:lvlJc w:val="left"/>
      <w:pPr>
        <w:ind w:left="720" w:hanging="360"/>
      </w:pPr>
      <w:rPr>
        <w:rFonts w:ascii="Symbol" w:eastAsiaTheme="minorEastAsia" w:hAnsi="Symbol"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AC7D97"/>
    <w:multiLevelType w:val="multilevel"/>
    <w:tmpl w:val="2EC825A8"/>
    <w:styleLink w:val="StyleOutlinenumberedBefore025Hanging0251"/>
    <w:lvl w:ilvl="0">
      <w:start w:val="1"/>
      <w:numFmt w:val="decimal"/>
      <w:lvlText w:val="%1."/>
      <w:lvlJc w:val="left"/>
      <w:pPr>
        <w:ind w:left="720" w:hanging="360"/>
      </w:pPr>
      <w:rPr>
        <w:rFonts w:ascii="Verdana" w:hAnsi="Verdana"/>
        <w:color w:val="auto"/>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02A2E2F"/>
    <w:multiLevelType w:val="multilevel"/>
    <w:tmpl w:val="2EC825A8"/>
    <w:styleLink w:val="StyleOutlinenumberedBefore025Hanging0252"/>
    <w:lvl w:ilvl="0">
      <w:start w:val="1"/>
      <w:numFmt w:val="decimal"/>
      <w:lvlText w:val="%1."/>
      <w:lvlJc w:val="left"/>
      <w:pPr>
        <w:ind w:left="720" w:hanging="360"/>
      </w:pPr>
      <w:rPr>
        <w:rFonts w:ascii="Verdana" w:hAnsi="Verdana"/>
        <w:color w:val="auto"/>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04A112A"/>
    <w:multiLevelType w:val="multilevel"/>
    <w:tmpl w:val="948E9DCA"/>
    <w:styleLink w:val="StyleBulletedSymbolsymbolBefore025Hanging025"/>
    <w:lvl w:ilvl="0">
      <w:start w:val="1"/>
      <w:numFmt w:val="bullet"/>
      <w:lvlText w:val=""/>
      <w:lvlJc w:val="left"/>
      <w:pPr>
        <w:ind w:left="720" w:hanging="360"/>
      </w:pPr>
      <w:rPr>
        <w:rFonts w:ascii="Symbol" w:hAnsi="Symbol"/>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64CA6C00"/>
    <w:multiLevelType w:val="hybridMultilevel"/>
    <w:tmpl w:val="3474CC7E"/>
    <w:lvl w:ilvl="0" w:tplc="72D01090">
      <w:start w:val="1"/>
      <w:numFmt w:val="bullet"/>
      <w:lvlText w:val=""/>
      <w:lvlJc w:val="left"/>
      <w:pPr>
        <w:ind w:left="72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6B64215A"/>
    <w:multiLevelType w:val="hybridMultilevel"/>
    <w:tmpl w:val="2F66CCB6"/>
    <w:lvl w:ilvl="0" w:tplc="7E7E24DA">
      <w:numFmt w:val="bullet"/>
      <w:lvlText w:val="-"/>
      <w:lvlJc w:val="left"/>
      <w:pPr>
        <w:ind w:left="720" w:hanging="360"/>
      </w:pPr>
      <w:rPr>
        <w:rFonts w:ascii="Tahoma" w:eastAsiaTheme="minorEastAsia"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CD36E61"/>
    <w:multiLevelType w:val="multilevel"/>
    <w:tmpl w:val="2EC825A8"/>
    <w:styleLink w:val="StyleOutlinenumberedBefore025Hanging025"/>
    <w:lvl w:ilvl="0">
      <w:start w:val="1"/>
      <w:numFmt w:val="decimal"/>
      <w:lvlText w:val="%1."/>
      <w:lvlJc w:val="left"/>
      <w:pPr>
        <w:ind w:left="720" w:hanging="360"/>
      </w:pPr>
      <w:rPr>
        <w:rFonts w:ascii="Verdana" w:hAnsi="Verdana"/>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23817266">
    <w:abstractNumId w:val="4"/>
  </w:num>
  <w:num w:numId="2" w16cid:durableId="61950435">
    <w:abstractNumId w:val="3"/>
  </w:num>
  <w:num w:numId="3" w16cid:durableId="2064256017">
    <w:abstractNumId w:val="6"/>
  </w:num>
  <w:num w:numId="4" w16cid:durableId="321279958">
    <w:abstractNumId w:val="1"/>
  </w:num>
  <w:num w:numId="5" w16cid:durableId="1096444257">
    <w:abstractNumId w:val="2"/>
  </w:num>
  <w:num w:numId="6" w16cid:durableId="486366197">
    <w:abstractNumId w:val="3"/>
  </w:num>
  <w:num w:numId="7" w16cid:durableId="395930970">
    <w:abstractNumId w:val="6"/>
  </w:num>
  <w:num w:numId="8" w16cid:durableId="1688478785">
    <w:abstractNumId w:val="1"/>
  </w:num>
  <w:num w:numId="9" w16cid:durableId="481656112">
    <w:abstractNumId w:val="2"/>
  </w:num>
  <w:num w:numId="10" w16cid:durableId="1511145667">
    <w:abstractNumId w:val="3"/>
  </w:num>
  <w:num w:numId="11" w16cid:durableId="1227258753">
    <w:abstractNumId w:val="6"/>
  </w:num>
  <w:num w:numId="12" w16cid:durableId="1174303410">
    <w:abstractNumId w:val="1"/>
  </w:num>
  <w:num w:numId="13" w16cid:durableId="1837768025">
    <w:abstractNumId w:val="2"/>
  </w:num>
  <w:num w:numId="14" w16cid:durableId="1339119581">
    <w:abstractNumId w:val="3"/>
  </w:num>
  <w:num w:numId="15" w16cid:durableId="1987080756">
    <w:abstractNumId w:val="6"/>
  </w:num>
  <w:num w:numId="16" w16cid:durableId="2060812070">
    <w:abstractNumId w:val="1"/>
  </w:num>
  <w:num w:numId="17" w16cid:durableId="818310090">
    <w:abstractNumId w:val="2"/>
  </w:num>
  <w:num w:numId="18" w16cid:durableId="609967763">
    <w:abstractNumId w:val="3"/>
  </w:num>
  <w:num w:numId="19" w16cid:durableId="1882551012">
    <w:abstractNumId w:val="6"/>
  </w:num>
  <w:num w:numId="20" w16cid:durableId="1818456907">
    <w:abstractNumId w:val="1"/>
  </w:num>
  <w:num w:numId="21" w16cid:durableId="1351221287">
    <w:abstractNumId w:val="2"/>
  </w:num>
  <w:num w:numId="22" w16cid:durableId="2113358530">
    <w:abstractNumId w:val="5"/>
  </w:num>
  <w:num w:numId="23" w16cid:durableId="1977681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9A6E9D"/>
    <w:rsid w:val="00002182"/>
    <w:rsid w:val="00010579"/>
    <w:rsid w:val="000124A6"/>
    <w:rsid w:val="00024C3B"/>
    <w:rsid w:val="000448E8"/>
    <w:rsid w:val="0006567A"/>
    <w:rsid w:val="000A5345"/>
    <w:rsid w:val="000C6D97"/>
    <w:rsid w:val="001074C1"/>
    <w:rsid w:val="00150287"/>
    <w:rsid w:val="0015789A"/>
    <w:rsid w:val="001A590F"/>
    <w:rsid w:val="00200F31"/>
    <w:rsid w:val="0022490B"/>
    <w:rsid w:val="00252691"/>
    <w:rsid w:val="00266B3E"/>
    <w:rsid w:val="00271284"/>
    <w:rsid w:val="00272E97"/>
    <w:rsid w:val="00272F24"/>
    <w:rsid w:val="00275F08"/>
    <w:rsid w:val="002A64E0"/>
    <w:rsid w:val="002A7B92"/>
    <w:rsid w:val="002B201F"/>
    <w:rsid w:val="002C2C09"/>
    <w:rsid w:val="002F3CBB"/>
    <w:rsid w:val="0031135F"/>
    <w:rsid w:val="0032082F"/>
    <w:rsid w:val="00324D2C"/>
    <w:rsid w:val="00330706"/>
    <w:rsid w:val="00347AEA"/>
    <w:rsid w:val="0035499D"/>
    <w:rsid w:val="003616AA"/>
    <w:rsid w:val="00385C17"/>
    <w:rsid w:val="003E3778"/>
    <w:rsid w:val="0041644E"/>
    <w:rsid w:val="00441FB1"/>
    <w:rsid w:val="00445329"/>
    <w:rsid w:val="004C71BF"/>
    <w:rsid w:val="005565BF"/>
    <w:rsid w:val="00565930"/>
    <w:rsid w:val="00573C7A"/>
    <w:rsid w:val="0057406C"/>
    <w:rsid w:val="00583967"/>
    <w:rsid w:val="005A2981"/>
    <w:rsid w:val="005C1487"/>
    <w:rsid w:val="005F560D"/>
    <w:rsid w:val="0061745E"/>
    <w:rsid w:val="006475B4"/>
    <w:rsid w:val="00651B24"/>
    <w:rsid w:val="0069299D"/>
    <w:rsid w:val="006C7F5B"/>
    <w:rsid w:val="0070239E"/>
    <w:rsid w:val="00712DF1"/>
    <w:rsid w:val="00713D28"/>
    <w:rsid w:val="00747153"/>
    <w:rsid w:val="00752D97"/>
    <w:rsid w:val="00772914"/>
    <w:rsid w:val="00775C87"/>
    <w:rsid w:val="00782F37"/>
    <w:rsid w:val="00794965"/>
    <w:rsid w:val="007A5163"/>
    <w:rsid w:val="007B0D7B"/>
    <w:rsid w:val="007D31F6"/>
    <w:rsid w:val="008034B2"/>
    <w:rsid w:val="00811B86"/>
    <w:rsid w:val="008611F4"/>
    <w:rsid w:val="008A51E9"/>
    <w:rsid w:val="008C30D4"/>
    <w:rsid w:val="008D0F96"/>
    <w:rsid w:val="008F0DEF"/>
    <w:rsid w:val="008F3571"/>
    <w:rsid w:val="00930826"/>
    <w:rsid w:val="009A256D"/>
    <w:rsid w:val="009A6E9D"/>
    <w:rsid w:val="009B1499"/>
    <w:rsid w:val="009E4B5D"/>
    <w:rsid w:val="00A048F2"/>
    <w:rsid w:val="00A134B9"/>
    <w:rsid w:val="00A15971"/>
    <w:rsid w:val="00A47A20"/>
    <w:rsid w:val="00A50DC0"/>
    <w:rsid w:val="00A6549C"/>
    <w:rsid w:val="00A716F7"/>
    <w:rsid w:val="00A769C8"/>
    <w:rsid w:val="00B126F7"/>
    <w:rsid w:val="00B1433A"/>
    <w:rsid w:val="00B25147"/>
    <w:rsid w:val="00B4468A"/>
    <w:rsid w:val="00B70198"/>
    <w:rsid w:val="00B82AC2"/>
    <w:rsid w:val="00BC0098"/>
    <w:rsid w:val="00BC12AE"/>
    <w:rsid w:val="00BC38B9"/>
    <w:rsid w:val="00BF19A0"/>
    <w:rsid w:val="00C049FA"/>
    <w:rsid w:val="00C21E95"/>
    <w:rsid w:val="00C26D9B"/>
    <w:rsid w:val="00C74A9A"/>
    <w:rsid w:val="00C87A1D"/>
    <w:rsid w:val="00D324C2"/>
    <w:rsid w:val="00D75F01"/>
    <w:rsid w:val="00D775C6"/>
    <w:rsid w:val="00D96E13"/>
    <w:rsid w:val="00E22ED1"/>
    <w:rsid w:val="00EF23E6"/>
    <w:rsid w:val="00F131C2"/>
    <w:rsid w:val="00F64B16"/>
    <w:rsid w:val="00FA6CC7"/>
    <w:rsid w:val="00FC1382"/>
  </w:rsids>
  <m:mathPr>
    <m:mathFont m:val="Cambria Math"/>
    <m:brkBin m:val="before"/>
    <m:brkBinSub m:val="--"/>
    <m:smallFrac m:val="0"/>
    <m:dispDef/>
    <m:lMargin m:val="0"/>
    <m:rMargin m:val="0"/>
    <m:defJc m:val="centerGroup"/>
    <m:wrapIndent m:val="1440"/>
    <m:intLim m:val="subSup"/>
    <m:naryLim m:val="undOvr"/>
  </m:mathPr>
  <w:themeFontLang w:val="en-US" w:eastAsia="zh-CN" w:bidi="lo-L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78745"/>
  <w15:chartTrackingRefBased/>
  <w15:docId w15:val="{03CC66CB-A5A1-49C3-9270-09D92FCB0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EastAsia" w:hAnsi="Verdana" w:cs="Verdana"/>
        <w:sz w:val="24"/>
        <w:szCs w:val="24"/>
        <w:lang w:val="en-US" w:eastAsia="zh-CN" w:bidi="lo-LA"/>
      </w:rPr>
    </w:rPrDefault>
    <w:pPrDefault/>
  </w:docDefaults>
  <w:latentStyles w:defLockedState="0" w:defUIPriority="99" w:defSemiHidden="0" w:defUnhideWhenUsed="0" w:defQFormat="0" w:count="376">
    <w:lsdException w:name="Normal" w:uiPriority="1" w:qFormat="1"/>
    <w:lsdException w:name="heading 1" w:uiPriority="2" w:qFormat="1"/>
    <w:lsdException w:name="heading 2" w:semiHidden="1" w:uiPriority="3" w:unhideWhenUsed="1" w:qFormat="1"/>
    <w:lsdException w:name="heading 3" w:uiPriority="4" w:qFormat="1"/>
    <w:lsdException w:name="heading 4" w:uiPriority="5"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2"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10" w:unhideWhenUsed="1"/>
    <w:lsdException w:name="FollowedHyperlink" w:semiHidden="1" w:unhideWhenUsed="1"/>
    <w:lsdException w:name="Strong" w:uiPriority="7" w:qFormat="1"/>
    <w:lsdException w:name="Emphasis" w:uiPriority="6"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8"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12" w:qFormat="1"/>
    <w:lsdException w:name="Subtle Reference" w:semiHidden="1" w:uiPriority="31" w:unhideWhenUsed="1" w:qFormat="1"/>
    <w:lsdException w:name="Intense Reference" w:semiHidden="1" w:uiPriority="32" w:unhideWhenUsed="1"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15789A"/>
    <w:pPr>
      <w:spacing w:after="120"/>
    </w:pPr>
    <w:rPr>
      <w:rFonts w:ascii="Tahoma" w:hAnsi="Tahoma" w:cs="Tahoma"/>
    </w:rPr>
  </w:style>
  <w:style w:type="paragraph" w:styleId="Heading1">
    <w:name w:val="heading 1"/>
    <w:basedOn w:val="Normal"/>
    <w:next w:val="Normal"/>
    <w:link w:val="Heading1Char"/>
    <w:uiPriority w:val="2"/>
    <w:qFormat/>
    <w:rsid w:val="0070239E"/>
    <w:pPr>
      <w:keepNext/>
      <w:spacing w:before="100" w:beforeAutospacing="1"/>
      <w:jc w:val="center"/>
      <w:outlineLvl w:val="0"/>
    </w:pPr>
    <w:rPr>
      <w:rFonts w:eastAsiaTheme="majorEastAsia" w:cstheme="majorBidi"/>
      <w:b/>
      <w:sz w:val="32"/>
      <w:szCs w:val="32"/>
      <w:u w:val="single"/>
    </w:rPr>
  </w:style>
  <w:style w:type="paragraph" w:styleId="Heading2">
    <w:name w:val="heading 2"/>
    <w:basedOn w:val="Normal"/>
    <w:next w:val="Normal"/>
    <w:link w:val="Heading2Char"/>
    <w:uiPriority w:val="3"/>
    <w:qFormat/>
    <w:rsid w:val="0070239E"/>
    <w:pPr>
      <w:keepNext/>
      <w:spacing w:before="100" w:beforeAutospacing="1"/>
      <w:outlineLvl w:val="1"/>
    </w:pPr>
    <w:rPr>
      <w:rFonts w:eastAsiaTheme="majorEastAsia" w:cstheme="majorBidi"/>
      <w:b/>
      <w:sz w:val="32"/>
      <w:szCs w:val="26"/>
      <w:u w:val="single"/>
    </w:rPr>
  </w:style>
  <w:style w:type="paragraph" w:styleId="Heading3">
    <w:name w:val="heading 3"/>
    <w:basedOn w:val="Normal"/>
    <w:next w:val="Normal"/>
    <w:link w:val="Heading3Char"/>
    <w:uiPriority w:val="4"/>
    <w:qFormat/>
    <w:rsid w:val="0070239E"/>
    <w:pPr>
      <w:keepNext/>
      <w:spacing w:before="100" w:beforeAutospacing="1"/>
      <w:outlineLvl w:val="2"/>
    </w:pPr>
    <w:rPr>
      <w:rFonts w:eastAsiaTheme="majorEastAsia" w:cstheme="majorBidi"/>
      <w:b/>
      <w:i/>
      <w:sz w:val="28"/>
      <w:u w:val="single"/>
    </w:rPr>
  </w:style>
  <w:style w:type="paragraph" w:styleId="Heading4">
    <w:name w:val="heading 4"/>
    <w:basedOn w:val="Normal"/>
    <w:next w:val="Normal"/>
    <w:link w:val="Heading4Char"/>
    <w:uiPriority w:val="5"/>
    <w:qFormat/>
    <w:rsid w:val="0070239E"/>
    <w:pPr>
      <w:keepNext/>
      <w:spacing w:before="100" w:beforeAutospacing="1"/>
      <w:outlineLvl w:val="3"/>
    </w:pPr>
    <w:rPr>
      <w:rFonts w:eastAsiaTheme="majorEastAsia" w:cstheme="majorBidi"/>
      <w:b/>
      <w:iCs/>
      <w:sz w:val="26"/>
    </w:rPr>
  </w:style>
  <w:style w:type="paragraph" w:styleId="Heading5">
    <w:name w:val="heading 5"/>
    <w:basedOn w:val="Normal"/>
    <w:next w:val="Normal"/>
    <w:link w:val="Heading5Char"/>
    <w:uiPriority w:val="9"/>
    <w:unhideWhenUsed/>
    <w:qFormat/>
    <w:rsid w:val="0070239E"/>
    <w:pPr>
      <w:keepNext/>
      <w:spacing w:before="100" w:beforeAutospacing="1"/>
      <w:outlineLvl w:val="4"/>
    </w:pPr>
    <w:rPr>
      <w:rFonts w:eastAsia="Calibri"/>
      <w:b/>
      <w:bCs/>
      <w:i/>
      <w:szCs w:val="26"/>
      <w:lang w:val="x-none" w:eastAsia="x-none"/>
    </w:rPr>
  </w:style>
  <w:style w:type="paragraph" w:styleId="Heading6">
    <w:name w:val="heading 6"/>
    <w:basedOn w:val="Normal"/>
    <w:next w:val="Normal"/>
    <w:link w:val="Heading6Char"/>
    <w:uiPriority w:val="9"/>
    <w:unhideWhenUsed/>
    <w:qFormat/>
    <w:rsid w:val="0070239E"/>
    <w:pPr>
      <w:keepNext/>
      <w:spacing w:before="100" w:beforeAutospacing="1"/>
      <w:outlineLvl w:val="5"/>
    </w:pPr>
    <w:rPr>
      <w:rFonts w:eastAsiaTheme="majorEastAsia" w:cstheme="majorBidi"/>
      <w:iCs/>
      <w:u w:val="single"/>
    </w:rPr>
  </w:style>
  <w:style w:type="paragraph" w:styleId="Heading7">
    <w:name w:val="heading 7"/>
    <w:basedOn w:val="Normal"/>
    <w:next w:val="Normal"/>
    <w:link w:val="Heading7Char"/>
    <w:uiPriority w:val="9"/>
    <w:unhideWhenUsed/>
    <w:qFormat/>
    <w:rsid w:val="0070239E"/>
    <w:pPr>
      <w:keepNext/>
      <w:spacing w:before="100" w:beforeAutospacing="1"/>
      <w:outlineLvl w:val="6"/>
    </w:pPr>
    <w:rPr>
      <w:rFonts w:eastAsiaTheme="majorEastAsia" w:cstheme="majorBidi"/>
      <w:i/>
      <w:iCs/>
      <w:sz w:val="22"/>
      <w:u w:val="single"/>
    </w:rPr>
  </w:style>
  <w:style w:type="paragraph" w:styleId="Heading8">
    <w:name w:val="heading 8"/>
    <w:basedOn w:val="Normal"/>
    <w:next w:val="Normal"/>
    <w:link w:val="Heading8Char"/>
    <w:uiPriority w:val="9"/>
    <w:unhideWhenUsed/>
    <w:qFormat/>
    <w:rsid w:val="0070239E"/>
    <w:pPr>
      <w:keepNext/>
      <w:spacing w:before="100" w:beforeAutospacing="1"/>
      <w:outlineLvl w:val="7"/>
    </w:pPr>
    <w:rPr>
      <w:rFonts w:eastAsiaTheme="majorEastAsia" w:cstheme="majorBidi"/>
      <w:i/>
      <w:sz w:val="22"/>
      <w:szCs w:val="21"/>
    </w:rPr>
  </w:style>
  <w:style w:type="paragraph" w:styleId="Heading9">
    <w:name w:val="heading 9"/>
    <w:basedOn w:val="Normal"/>
    <w:next w:val="Normal"/>
    <w:link w:val="Heading9Char"/>
    <w:uiPriority w:val="9"/>
    <w:unhideWhenUsed/>
    <w:qFormat/>
    <w:rsid w:val="0070239E"/>
    <w:pPr>
      <w:keepNext/>
      <w:spacing w:before="100" w:beforeAutospacing="1"/>
      <w:ind w:left="720"/>
      <w:outlineLvl w:val="8"/>
    </w:pPr>
    <w:rPr>
      <w:rFonts w:eastAsiaTheme="majorEastAsia" w:cstheme="majorBidi"/>
      <w:i/>
      <w:iCs/>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sid w:val="0070239E"/>
    <w:rPr>
      <w:rFonts w:ascii="Verdana" w:eastAsiaTheme="majorEastAsia" w:hAnsi="Verdana" w:cstheme="majorBidi"/>
      <w:b/>
      <w:sz w:val="32"/>
      <w:szCs w:val="32"/>
      <w:u w:val="single"/>
    </w:rPr>
  </w:style>
  <w:style w:type="character" w:customStyle="1" w:styleId="Heading2Char">
    <w:name w:val="Heading 2 Char"/>
    <w:basedOn w:val="DefaultParagraphFont"/>
    <w:link w:val="Heading2"/>
    <w:uiPriority w:val="3"/>
    <w:rsid w:val="0070239E"/>
    <w:rPr>
      <w:rFonts w:ascii="Verdana" w:eastAsiaTheme="majorEastAsia" w:hAnsi="Verdana" w:cstheme="majorBidi"/>
      <w:b/>
      <w:sz w:val="32"/>
      <w:szCs w:val="26"/>
      <w:u w:val="single"/>
    </w:rPr>
  </w:style>
  <w:style w:type="character" w:customStyle="1" w:styleId="Heading3Char">
    <w:name w:val="Heading 3 Char"/>
    <w:basedOn w:val="DefaultParagraphFont"/>
    <w:link w:val="Heading3"/>
    <w:uiPriority w:val="4"/>
    <w:rsid w:val="0070239E"/>
    <w:rPr>
      <w:rFonts w:ascii="Verdana" w:eastAsiaTheme="majorEastAsia" w:hAnsi="Verdana" w:cstheme="majorBidi"/>
      <w:b/>
      <w:i/>
      <w:sz w:val="28"/>
      <w:u w:val="single"/>
    </w:rPr>
  </w:style>
  <w:style w:type="character" w:customStyle="1" w:styleId="Heading4Char">
    <w:name w:val="Heading 4 Char"/>
    <w:basedOn w:val="DefaultParagraphFont"/>
    <w:link w:val="Heading4"/>
    <w:uiPriority w:val="5"/>
    <w:rsid w:val="0070239E"/>
    <w:rPr>
      <w:rFonts w:ascii="Verdana" w:eastAsiaTheme="majorEastAsia" w:hAnsi="Verdana" w:cstheme="majorBidi"/>
      <w:b/>
      <w:iCs/>
      <w:sz w:val="26"/>
    </w:rPr>
  </w:style>
  <w:style w:type="paragraph" w:styleId="Quote">
    <w:name w:val="Quote"/>
    <w:basedOn w:val="Normal"/>
    <w:next w:val="Normal"/>
    <w:link w:val="QuoteChar"/>
    <w:uiPriority w:val="8"/>
    <w:qFormat/>
    <w:rsid w:val="0070239E"/>
    <w:pPr>
      <w:spacing w:before="200"/>
      <w:ind w:left="864" w:right="864"/>
      <w:jc w:val="center"/>
    </w:pPr>
    <w:rPr>
      <w:i/>
      <w:iCs/>
    </w:rPr>
  </w:style>
  <w:style w:type="character" w:customStyle="1" w:styleId="QuoteChar">
    <w:name w:val="Quote Char"/>
    <w:basedOn w:val="DefaultParagraphFont"/>
    <w:link w:val="Quote"/>
    <w:uiPriority w:val="8"/>
    <w:rsid w:val="0070239E"/>
    <w:rPr>
      <w:rFonts w:ascii="Verdana" w:hAnsi="Verdana"/>
      <w:i/>
      <w:iCs/>
      <w:sz w:val="24"/>
    </w:rPr>
  </w:style>
  <w:style w:type="paragraph" w:styleId="TOC1">
    <w:name w:val="toc 1"/>
    <w:basedOn w:val="Heading1"/>
    <w:next w:val="Normal"/>
    <w:autoRedefine/>
    <w:uiPriority w:val="39"/>
    <w:unhideWhenUsed/>
    <w:qFormat/>
    <w:rsid w:val="0070239E"/>
    <w:pPr>
      <w:spacing w:after="100"/>
      <w:outlineLvl w:val="9"/>
    </w:pPr>
    <w:rPr>
      <w:color w:val="0F4761" w:themeColor="accent1" w:themeShade="BF"/>
    </w:rPr>
  </w:style>
  <w:style w:type="paragraph" w:styleId="TOC2">
    <w:name w:val="toc 2"/>
    <w:basedOn w:val="Heading2"/>
    <w:next w:val="Normal"/>
    <w:autoRedefine/>
    <w:uiPriority w:val="39"/>
    <w:unhideWhenUsed/>
    <w:qFormat/>
    <w:rsid w:val="0070239E"/>
    <w:pPr>
      <w:spacing w:after="100"/>
      <w:ind w:left="245"/>
      <w:outlineLvl w:val="9"/>
    </w:pPr>
    <w:rPr>
      <w:color w:val="0F4761" w:themeColor="accent1" w:themeShade="BF"/>
    </w:rPr>
  </w:style>
  <w:style w:type="paragraph" w:styleId="TOC3">
    <w:name w:val="toc 3"/>
    <w:basedOn w:val="Heading3"/>
    <w:next w:val="Normal"/>
    <w:autoRedefine/>
    <w:uiPriority w:val="39"/>
    <w:unhideWhenUsed/>
    <w:qFormat/>
    <w:rsid w:val="0070239E"/>
    <w:pPr>
      <w:spacing w:after="100"/>
      <w:ind w:left="475"/>
      <w:outlineLvl w:val="9"/>
    </w:pPr>
    <w:rPr>
      <w:color w:val="0F4761" w:themeColor="accent1" w:themeShade="BF"/>
    </w:rPr>
  </w:style>
  <w:style w:type="paragraph" w:styleId="TOC4">
    <w:name w:val="toc 4"/>
    <w:basedOn w:val="Normal"/>
    <w:next w:val="Normal"/>
    <w:autoRedefine/>
    <w:uiPriority w:val="39"/>
    <w:unhideWhenUsed/>
    <w:qFormat/>
    <w:rsid w:val="0070239E"/>
    <w:pPr>
      <w:spacing w:after="100"/>
      <w:ind w:left="720"/>
    </w:pPr>
    <w:rPr>
      <w:color w:val="0F4761" w:themeColor="accent1" w:themeShade="BF"/>
    </w:rPr>
  </w:style>
  <w:style w:type="table" w:styleId="TableGrid">
    <w:name w:val="Table Grid"/>
    <w:basedOn w:val="TableNormal"/>
    <w:uiPriority w:val="39"/>
    <w:rsid w:val="0070239E"/>
    <w:rPr>
      <w:rFonts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character" w:customStyle="1" w:styleId="Heading5Char">
    <w:name w:val="Heading 5 Char"/>
    <w:link w:val="Heading5"/>
    <w:uiPriority w:val="9"/>
    <w:rsid w:val="0070239E"/>
    <w:rPr>
      <w:rFonts w:ascii="Verdana" w:eastAsia="Calibri" w:hAnsi="Verdana"/>
      <w:b/>
      <w:bCs/>
      <w:i/>
      <w:sz w:val="24"/>
      <w:szCs w:val="26"/>
      <w:lang w:val="x-none" w:eastAsia="x-none"/>
    </w:rPr>
  </w:style>
  <w:style w:type="character" w:styleId="PageNumber">
    <w:name w:val="page number"/>
    <w:basedOn w:val="DefaultParagraphFont"/>
    <w:uiPriority w:val="99"/>
    <w:unhideWhenUsed/>
    <w:rsid w:val="0070239E"/>
    <w:rPr>
      <w:spacing w:val="0"/>
    </w:rPr>
  </w:style>
  <w:style w:type="character" w:styleId="Hyperlink">
    <w:name w:val="Hyperlink"/>
    <w:basedOn w:val="DefaultParagraphFont"/>
    <w:uiPriority w:val="10"/>
    <w:rsid w:val="0070239E"/>
    <w:rPr>
      <w:color w:val="0066CC"/>
      <w:spacing w:val="0"/>
      <w:u w:val="single"/>
    </w:rPr>
  </w:style>
  <w:style w:type="paragraph" w:styleId="NoSpacing">
    <w:name w:val="No Spacing"/>
    <w:basedOn w:val="Normal"/>
    <w:qFormat/>
    <w:rsid w:val="0070239E"/>
    <w:pPr>
      <w:widowControl w:val="0"/>
    </w:pPr>
    <w:rPr>
      <w:rFonts w:cs="Microsoft Sans Serif"/>
      <w:lang w:bidi="ar-SA"/>
    </w:rPr>
  </w:style>
  <w:style w:type="character" w:styleId="Emphasis">
    <w:name w:val="Emphasis"/>
    <w:basedOn w:val="DefaultParagraphFont"/>
    <w:uiPriority w:val="6"/>
    <w:qFormat/>
    <w:rsid w:val="0070239E"/>
    <w:rPr>
      <w:i/>
      <w:iCs/>
      <w:spacing w:val="0"/>
    </w:rPr>
  </w:style>
  <w:style w:type="paragraph" w:styleId="ListParagraph">
    <w:name w:val="List Paragraph"/>
    <w:basedOn w:val="Normal"/>
    <w:uiPriority w:val="34"/>
    <w:qFormat/>
    <w:rsid w:val="0070239E"/>
    <w:pPr>
      <w:ind w:left="360"/>
      <w:contextualSpacing/>
    </w:pPr>
  </w:style>
  <w:style w:type="character" w:styleId="UnresolvedMention">
    <w:name w:val="Unresolved Mention"/>
    <w:basedOn w:val="DefaultParagraphFont"/>
    <w:uiPriority w:val="99"/>
    <w:semiHidden/>
    <w:unhideWhenUsed/>
    <w:rsid w:val="0070239E"/>
    <w:rPr>
      <w:color w:val="605E5C"/>
      <w:spacing w:val="0"/>
      <w:shd w:val="clear" w:color="auto" w:fill="E1DFDD"/>
    </w:rPr>
  </w:style>
  <w:style w:type="paragraph" w:customStyle="1" w:styleId="Style">
    <w:name w:val="Style"/>
    <w:basedOn w:val="Normal"/>
    <w:next w:val="Normal"/>
    <w:autoRedefine/>
    <w:uiPriority w:val="9"/>
    <w:rsid w:val="0070239E"/>
  </w:style>
  <w:style w:type="character" w:customStyle="1" w:styleId="Heading6Char">
    <w:name w:val="Heading 6 Char"/>
    <w:basedOn w:val="DefaultParagraphFont"/>
    <w:link w:val="Heading6"/>
    <w:uiPriority w:val="9"/>
    <w:rsid w:val="0070239E"/>
    <w:rPr>
      <w:rFonts w:ascii="Verdana" w:eastAsiaTheme="majorEastAsia" w:hAnsi="Verdana" w:cstheme="majorBidi"/>
      <w:iCs/>
      <w:sz w:val="24"/>
      <w:u w:val="single"/>
    </w:rPr>
  </w:style>
  <w:style w:type="paragraph" w:styleId="List">
    <w:name w:val="List"/>
    <w:basedOn w:val="Normal"/>
    <w:autoRedefine/>
    <w:uiPriority w:val="99"/>
    <w:unhideWhenUsed/>
    <w:qFormat/>
    <w:rsid w:val="0070239E"/>
    <w:pPr>
      <w:ind w:left="360" w:hanging="360"/>
      <w:contextualSpacing/>
    </w:pPr>
  </w:style>
  <w:style w:type="paragraph" w:styleId="Title">
    <w:name w:val="Title"/>
    <w:basedOn w:val="Normal"/>
    <w:next w:val="Normal"/>
    <w:link w:val="TitleChar"/>
    <w:uiPriority w:val="10"/>
    <w:qFormat/>
    <w:rsid w:val="0070239E"/>
    <w:pPr>
      <w:spacing w:after="0"/>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70239E"/>
    <w:rPr>
      <w:rFonts w:ascii="Verdana" w:eastAsiaTheme="majorEastAsia" w:hAnsi="Verdana" w:cstheme="majorBidi"/>
      <w:spacing w:val="-10"/>
      <w:kern w:val="28"/>
      <w:sz w:val="56"/>
      <w:szCs w:val="56"/>
    </w:rPr>
  </w:style>
  <w:style w:type="paragraph" w:styleId="Caption">
    <w:name w:val="caption"/>
    <w:basedOn w:val="Normal"/>
    <w:next w:val="Normal"/>
    <w:uiPriority w:val="35"/>
    <w:unhideWhenUsed/>
    <w:qFormat/>
    <w:rsid w:val="0070239E"/>
    <w:pPr>
      <w:spacing w:after="200"/>
    </w:pPr>
    <w:rPr>
      <w:iCs/>
      <w:color w:val="0E2841" w:themeColor="text2"/>
      <w:szCs w:val="18"/>
    </w:rPr>
  </w:style>
  <w:style w:type="character" w:styleId="IntenseEmphasis">
    <w:name w:val="Intense Emphasis"/>
    <w:basedOn w:val="DefaultParagraphFont"/>
    <w:uiPriority w:val="12"/>
    <w:qFormat/>
    <w:rsid w:val="0070239E"/>
    <w:rPr>
      <w:b/>
      <w:bCs/>
      <w:i/>
      <w:iCs/>
      <w:color w:val="auto"/>
    </w:rPr>
  </w:style>
  <w:style w:type="character" w:customStyle="1" w:styleId="Heading7Char">
    <w:name w:val="Heading 7 Char"/>
    <w:basedOn w:val="DefaultParagraphFont"/>
    <w:link w:val="Heading7"/>
    <w:uiPriority w:val="9"/>
    <w:rsid w:val="0070239E"/>
    <w:rPr>
      <w:rFonts w:ascii="Verdana" w:eastAsiaTheme="majorEastAsia" w:hAnsi="Verdana" w:cstheme="majorBidi"/>
      <w:i/>
      <w:iCs/>
      <w:sz w:val="22"/>
      <w:u w:val="single"/>
    </w:rPr>
  </w:style>
  <w:style w:type="character" w:customStyle="1" w:styleId="Heading8Char">
    <w:name w:val="Heading 8 Char"/>
    <w:basedOn w:val="DefaultParagraphFont"/>
    <w:link w:val="Heading8"/>
    <w:uiPriority w:val="9"/>
    <w:rsid w:val="0070239E"/>
    <w:rPr>
      <w:rFonts w:ascii="Verdana" w:eastAsiaTheme="majorEastAsia" w:hAnsi="Verdana" w:cstheme="majorBidi"/>
      <w:i/>
      <w:sz w:val="22"/>
      <w:szCs w:val="21"/>
    </w:rPr>
  </w:style>
  <w:style w:type="character" w:customStyle="1" w:styleId="Heading9Char">
    <w:name w:val="Heading 9 Char"/>
    <w:basedOn w:val="DefaultParagraphFont"/>
    <w:link w:val="Heading9"/>
    <w:uiPriority w:val="9"/>
    <w:rsid w:val="0070239E"/>
    <w:rPr>
      <w:rFonts w:ascii="Verdana" w:eastAsiaTheme="majorEastAsia" w:hAnsi="Verdana" w:cstheme="majorBidi"/>
      <w:i/>
      <w:iCs/>
      <w:sz w:val="22"/>
      <w:szCs w:val="21"/>
    </w:rPr>
  </w:style>
  <w:style w:type="numbering" w:customStyle="1" w:styleId="StyleBulletedSymbolsymbolBefore025Hanging025">
    <w:name w:val="Style Bulleted Symbol (symbol) Before:  0.25&quot; Hanging:  0.25&quot;"/>
    <w:basedOn w:val="NoList"/>
    <w:rsid w:val="0070239E"/>
    <w:pPr>
      <w:numPr>
        <w:numId w:val="2"/>
      </w:numPr>
    </w:pPr>
  </w:style>
  <w:style w:type="numbering" w:customStyle="1" w:styleId="StyleOutlinenumberedBefore025Hanging025">
    <w:name w:val="Style Outline numbered Before:  0.25&quot; Hanging:  0.25&quot;"/>
    <w:basedOn w:val="NoList"/>
    <w:rsid w:val="0070239E"/>
    <w:pPr>
      <w:numPr>
        <w:numId w:val="3"/>
      </w:numPr>
    </w:pPr>
  </w:style>
  <w:style w:type="numbering" w:customStyle="1" w:styleId="StyleOutlinenumberedBefore025Hanging0251">
    <w:name w:val="Style Outline numbered Before:  0.25&quot; Hanging:  0.25&quot;1"/>
    <w:basedOn w:val="NoList"/>
    <w:rsid w:val="0070239E"/>
    <w:pPr>
      <w:numPr>
        <w:numId w:val="4"/>
      </w:numPr>
    </w:pPr>
  </w:style>
  <w:style w:type="numbering" w:customStyle="1" w:styleId="StyleOutlinenumberedBefore025Hanging0252">
    <w:name w:val="Style Outline numbered Before:  0.25&quot; Hanging:  0.25&quot;2"/>
    <w:basedOn w:val="NoList"/>
    <w:rsid w:val="0070239E"/>
    <w:pPr>
      <w:numPr>
        <w:numId w:val="5"/>
      </w:numPr>
    </w:pPr>
  </w:style>
  <w:style w:type="paragraph" w:styleId="Subtitle">
    <w:name w:val="Subtitle"/>
    <w:basedOn w:val="Normal"/>
    <w:next w:val="Normal"/>
    <w:link w:val="SubtitleChar"/>
    <w:uiPriority w:val="11"/>
    <w:qFormat/>
    <w:rsid w:val="0070239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239E"/>
    <w:rPr>
      <w:rFonts w:asciiTheme="minorHAnsi" w:eastAsiaTheme="majorEastAsia" w:hAnsiTheme="minorHAnsi" w:cstheme="majorBidi"/>
      <w:color w:val="595959" w:themeColor="text1" w:themeTint="A6"/>
      <w:spacing w:val="15"/>
      <w:sz w:val="28"/>
      <w:szCs w:val="28"/>
    </w:rPr>
  </w:style>
  <w:style w:type="paragraph" w:styleId="IntenseQuote">
    <w:name w:val="Intense Quote"/>
    <w:basedOn w:val="Normal"/>
    <w:next w:val="Normal"/>
    <w:link w:val="IntenseQuoteChar"/>
    <w:uiPriority w:val="30"/>
    <w:semiHidden/>
    <w:unhideWhenUsed/>
    <w:qFormat/>
    <w:rsid w:val="007023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semiHidden/>
    <w:rsid w:val="0070239E"/>
    <w:rPr>
      <w:rFonts w:ascii="Verdana" w:hAnsi="Verdana"/>
      <w:i/>
      <w:iCs/>
      <w:color w:val="0F4761" w:themeColor="accent1" w:themeShade="BF"/>
      <w:sz w:val="24"/>
    </w:rPr>
  </w:style>
  <w:style w:type="character" w:styleId="IntenseReference">
    <w:name w:val="Intense Reference"/>
    <w:basedOn w:val="DefaultParagraphFont"/>
    <w:uiPriority w:val="32"/>
    <w:semiHidden/>
    <w:unhideWhenUsed/>
    <w:qFormat/>
    <w:rsid w:val="0070239E"/>
    <w:rPr>
      <w:b/>
      <w:bCs/>
      <w:smallCaps/>
      <w:color w:val="0F4761" w:themeColor="accent1" w:themeShade="BF"/>
      <w:spacing w:val="5"/>
    </w:rPr>
  </w:style>
  <w:style w:type="character" w:customStyle="1" w:styleId="box">
    <w:name w:val="box"/>
    <w:basedOn w:val="DefaultParagraphFont"/>
    <w:rsid w:val="000656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497</TotalTime>
  <Pages>3</Pages>
  <Words>1057</Words>
  <Characters>6028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Qin, Albert Weizhe</dc:creator>
  <cp:keywords/>
  <dc:description/>
  <cp:lastModifiedBy>Qin, Aleph</cp:lastModifiedBy>
  <cp:revision>10</cp:revision>
  <dcterms:created xsi:type="dcterms:W3CDTF">2025-11-27T03:30:00Z</dcterms:created>
  <dcterms:modified xsi:type="dcterms:W3CDTF">2025-11-28T08:29:00Z</dcterms:modified>
</cp:coreProperties>
</file>