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20"/>
      </w:pPr>
      <w:r>
        <w:rPr>
          <w:rFonts w:ascii="Arial" w:cs="Arial" w:eastAsia="Arial" w:hAnsi="Arial"/>
          <w:b/>
          <w:bCs/>
          <w:color w:val="1F4E79"/>
          <w:sz w:val="29"/>
          <w:szCs w:val="29"/>
        </w:rPr>
        <w:t xml:space="preserve">Variable Codebook and Data Dictionary</w:t>
      </w:r>
    </w:p>
    <w:p>
      <w:pPr>
        <w:spacing w:after="100" w:line="276"/>
      </w:pPr>
      <w:r>
        <w:rPr>
          <w:rFonts w:ascii="Arial" w:cs="Arial" w:eastAsia="Arial" w:hAnsi="Arial"/>
          <w:sz w:val="21"/>
          <w:szCs w:val="21"/>
        </w:rPr>
        <w:t xml:space="preserve">HSSC Technical-Check Submission | Manuscript ID: c184b6df-feca-4378-8b28-ae48e994097</w:t>
      </w:r>
    </w:p>
    <w:p>
      <w:pPr>
        <w:spacing w:after="100" w:line="276"/>
      </w:pPr>
      <w:r>
        <w:rPr>
          <w:rFonts w:ascii="Arial" w:cs="Arial" w:eastAsia="Arial" w:hAnsi="Arial"/>
          <w:sz w:val="21"/>
          <w:szCs w:val="21"/>
        </w:rPr>
        <w:t xml:space="preserve">This codebook describes the de-identified upload copies. Direct contact responses, survey identifiers, exact longitude/latitude, and detailed location metadata were removed before sharing. The local source files were not modified.</w:t>
      </w:r>
    </w:p>
    <w:p>
      <w:pPr>
        <w:pStyle w:val="Heading1"/>
        <w:spacing w:after="120" w:before="220"/>
      </w:pPr>
      <w:r>
        <w:rPr>
          <w:rFonts w:ascii="Arial" w:cs="Arial" w:eastAsia="Arial" w:hAnsi="Arial"/>
          <w:b/>
          <w:bCs/>
          <w:color w:val="1F4E79"/>
          <w:sz w:val="29"/>
          <w:szCs w:val="29"/>
        </w:rPr>
        <w:t xml:space="preserve">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7C9D6" w:sz="1"/>
              <w:left w:val="single" w:color="B7C9D6" w:sz="1"/>
              <w:bottom w:val="single" w:color="B7C9D6" w:sz="1"/>
              <w:right w:val="single" w:color="B7C9D6" w:sz="1"/>
            </w:tcBorders>
            <w:shd w:fill="D9EAF7" w:val="clear"/>
            <w:tcMar>
              <w:top w:type="dxa" w:w="80"/>
              <w:left w:type="dxa" w:w="110"/>
              <w:bottom w:type="dxa" w:w="80"/>
              <w:right w:type="dxa" w:w="110"/>
            </w:tcMar>
          </w:tcPr>
          <w:p>
            <w:pPr>
              <w:spacing w:after="0"/>
            </w:pPr>
            <w:r>
              <w:rPr>
                <w:rFonts w:ascii="Arial" w:cs="Arial" w:eastAsia="Arial" w:hAnsi="Arial"/>
                <w:b/>
                <w:bCs/>
                <w:sz w:val="19"/>
                <w:szCs w:val="19"/>
              </w:rPr>
              <w:t xml:space="preserve">Dataset</w:t>
            </w:r>
          </w:p>
        </w:tc>
        <w:tc>
          <w:tcPr>
            <w:tcW w:type="dxa" w:w="7460"/>
            <w:tcBorders>
              <w:top w:val="single" w:color="B7C9D6" w:sz="1"/>
              <w:left w:val="single" w:color="B7C9D6" w:sz="1"/>
              <w:bottom w:val="single" w:color="B7C9D6" w:sz="1"/>
              <w:right w:val="single" w:color="B7C9D6" w:sz="1"/>
            </w:tcBorders>
            <w:shd w:fill="D9EAF7" w:val="clear"/>
            <w:tcMar>
              <w:top w:type="dxa" w:w="80"/>
              <w:left w:type="dxa" w:w="110"/>
              <w:bottom w:type="dxa" w:w="80"/>
              <w:right w:type="dxa" w:w="110"/>
            </w:tcMar>
          </w:tcPr>
          <w:p>
            <w:pPr>
              <w:spacing w:after="0"/>
            </w:pPr>
            <w:r>
              <w:rPr>
                <w:rFonts w:ascii="Arial" w:cs="Arial" w:eastAsia="Arial" w:hAnsi="Arial"/>
                <w:b/>
                <w:bCs/>
                <w:sz w:val="19"/>
                <w:szCs w:val="19"/>
              </w:rPr>
              <w:t xml:space="preserve">Description</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data/raw/totaldatas.xlsx</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N = 1,047; main dataset for Study 1 and Study 2 analyses.</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data/raw/shanghai_data.csv</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N = 900; independent Shanghai dataset for duration-stratified regression in Table 9.</w:t>
            </w:r>
          </w:p>
        </w:tc>
      </w:tr>
    </w:tbl>
    <w:p>
      <w:pPr>
        <w:pStyle w:val="Heading1"/>
        <w:spacing w:after="120" w:before="220"/>
      </w:pPr>
      <w:r>
        <w:rPr>
          <w:rFonts w:ascii="Arial" w:cs="Arial" w:eastAsia="Arial" w:hAnsi="Arial"/>
          <w:b/>
          <w:bCs/>
          <w:color w:val="1F4E79"/>
          <w:sz w:val="29"/>
          <w:szCs w:val="29"/>
        </w:rPr>
        <w:t xml:space="preserve">2. Main dataset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7C9D6" w:sz="1"/>
              <w:left w:val="single" w:color="B7C9D6" w:sz="1"/>
              <w:bottom w:val="single" w:color="B7C9D6" w:sz="1"/>
              <w:right w:val="single" w:color="B7C9D6" w:sz="1"/>
            </w:tcBorders>
            <w:shd w:fill="D9EAF7" w:val="clear"/>
            <w:tcMar>
              <w:top w:type="dxa" w:w="80"/>
              <w:left w:type="dxa" w:w="110"/>
              <w:bottom w:type="dxa" w:w="80"/>
              <w:right w:type="dxa" w:w="110"/>
            </w:tcMar>
          </w:tcPr>
          <w:p>
            <w:pPr>
              <w:spacing w:after="0"/>
            </w:pPr>
            <w:r>
              <w:rPr>
                <w:rFonts w:ascii="Arial" w:cs="Arial" w:eastAsia="Arial" w:hAnsi="Arial"/>
                <w:b/>
                <w:bCs/>
                <w:sz w:val="19"/>
                <w:szCs w:val="19"/>
              </w:rPr>
              <w:t xml:space="preserve">Variable(s)</w:t>
            </w:r>
          </w:p>
        </w:tc>
        <w:tc>
          <w:tcPr>
            <w:tcW w:type="dxa" w:w="7460"/>
            <w:tcBorders>
              <w:top w:val="single" w:color="B7C9D6" w:sz="1"/>
              <w:left w:val="single" w:color="B7C9D6" w:sz="1"/>
              <w:bottom w:val="single" w:color="B7C9D6" w:sz="1"/>
              <w:right w:val="single" w:color="B7C9D6" w:sz="1"/>
            </w:tcBorders>
            <w:shd w:fill="D9EAF7" w:val="clear"/>
            <w:tcMar>
              <w:top w:type="dxa" w:w="80"/>
              <w:left w:type="dxa" w:w="110"/>
              <w:bottom w:type="dxa" w:w="80"/>
              <w:right w:type="dxa" w:w="110"/>
            </w:tcMar>
          </w:tcPr>
          <w:p>
            <w:pPr>
              <w:spacing w:after="0"/>
            </w:pPr>
            <w:r>
              <w:rPr>
                <w:rFonts w:ascii="Arial" w:cs="Arial" w:eastAsia="Arial" w:hAnsi="Arial"/>
                <w:b/>
                <w:bCs/>
                <w:sz w:val="19"/>
                <w:szCs w:val="19"/>
              </w:rPr>
              <w:t xml:space="preserve">Definition, coding, and use</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提交答卷时间 / time</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Survey submission date; date format.</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first_time</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Date on which local restriction measures began; date format.</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period</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Raw date difference: submission date minus restriction-onset date.</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duration_days</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Inclusive duration: period + 1, counting the first day. Used for the manuscript T1 (&lt;=7 days), T2 (8–21 days), and T3 (&gt;21 days) grouping.</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BR1–BR5</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State boredom items; 1–5 Likert; mean score BR.</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SE1–SE6</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Sensation-seeking items; 1–5 Likert; mean score SE.</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WI1–WI3</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Compensatory travel-intention items; 1–5 Likert; mean score WI.</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block</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Community lockdown; 1 = yes, 0/2 = no; recoded to community_block.</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entertain</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Entertainment venues closed; 1 = yes, 0/2 = no; recoded to entertain_closed.</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closed</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School/workplace closed management; 1 = yes, 0/2 = no; recoded to workplace_closed.</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wfh</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Work/study from home; 1 or 2 = yes, 0/3 = no; recoded to home_based.</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highrisk</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Risk-area indicator used for Table 3 group comparisons.</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gender, age, education, tourtime</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Demographic and prior travel-frequency variables used as controls.</w:t>
            </w:r>
          </w:p>
        </w:tc>
      </w:tr>
    </w:tbl>
    <w:p>
      <w:pPr>
        <w:pStyle w:val="Heading1"/>
        <w:spacing w:after="120" w:before="220"/>
      </w:pPr>
      <w:r>
        <w:rPr>
          <w:rFonts w:ascii="Arial" w:cs="Arial" w:eastAsia="Arial" w:hAnsi="Arial"/>
          <w:b/>
          <w:bCs/>
          <w:color w:val="1F4E79"/>
          <w:sz w:val="29"/>
          <w:szCs w:val="29"/>
        </w:rPr>
        <w:t xml:space="preserve">3. Shanghai dataset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7C9D6" w:sz="1"/>
              <w:left w:val="single" w:color="B7C9D6" w:sz="1"/>
              <w:bottom w:val="single" w:color="B7C9D6" w:sz="1"/>
              <w:right w:val="single" w:color="B7C9D6" w:sz="1"/>
            </w:tcBorders>
            <w:shd w:fill="D9EAF7" w:val="clear"/>
            <w:tcMar>
              <w:top w:type="dxa" w:w="80"/>
              <w:left w:type="dxa" w:w="110"/>
              <w:bottom w:type="dxa" w:w="80"/>
              <w:right w:type="dxa" w:w="110"/>
            </w:tcMar>
          </w:tcPr>
          <w:p>
            <w:pPr>
              <w:spacing w:after="0"/>
            </w:pPr>
            <w:r>
              <w:rPr>
                <w:rFonts w:ascii="Arial" w:cs="Arial" w:eastAsia="Arial" w:hAnsi="Arial"/>
                <w:b/>
                <w:bCs/>
                <w:sz w:val="19"/>
                <w:szCs w:val="19"/>
              </w:rPr>
              <w:t xml:space="preserve">Variable(s)</w:t>
            </w:r>
          </w:p>
        </w:tc>
        <w:tc>
          <w:tcPr>
            <w:tcW w:type="dxa" w:w="7460"/>
            <w:tcBorders>
              <w:top w:val="single" w:color="B7C9D6" w:sz="1"/>
              <w:left w:val="single" w:color="B7C9D6" w:sz="1"/>
              <w:bottom w:val="single" w:color="B7C9D6" w:sz="1"/>
              <w:right w:val="single" w:color="B7C9D6" w:sz="1"/>
            </w:tcBorders>
            <w:shd w:fill="D9EAF7" w:val="clear"/>
            <w:tcMar>
              <w:top w:type="dxa" w:w="80"/>
              <w:left w:type="dxa" w:w="110"/>
              <w:bottom w:type="dxa" w:w="80"/>
              <w:right w:type="dxa" w:w="110"/>
            </w:tcMar>
          </w:tcPr>
          <w:p>
            <w:pPr>
              <w:spacing w:after="0"/>
            </w:pPr>
            <w:r>
              <w:rPr>
                <w:rFonts w:ascii="Arial" w:cs="Arial" w:eastAsia="Arial" w:hAnsi="Arial"/>
                <w:b/>
                <w:bCs/>
                <w:sz w:val="19"/>
                <w:szCs w:val="19"/>
              </w:rPr>
              <w:t xml:space="preserve">Definition, coding, and use</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BR1–BR5, SE1–SE6, WI1–WI3</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Scale items; construct means are computed and standardized for Table 9.</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block_time</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Ordinal restriction-duration level; 1–2 = T1 (&lt;=2 weeks), 3–4 = T2 (2–4 weeks), 5–6 = T3 (&gt;4 weeks).</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gender</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1 = male, 2 = female; recoded to gender_binary.</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age</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Age category; the Shanghai script uses code &gt;=4 for age_binary = 1.</w:t>
            </w:r>
          </w:p>
        </w:tc>
      </w:tr>
      <w:tr>
        <w:tc>
          <w:tcPr>
            <w:tcW w:type="dxa" w:w="190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education, tourtime</w:t>
            </w:r>
          </w:p>
        </w:tc>
        <w:tc>
          <w:tcPr>
            <w:tcW w:type="dxa" w:w="7460"/>
            <w:tcBorders>
              <w:top w:val="single" w:color="B7C9D6" w:sz="1"/>
              <w:left w:val="single" w:color="B7C9D6" w:sz="1"/>
              <w:bottom w:val="single" w:color="B7C9D6" w:sz="1"/>
              <w:right w:val="single" w:color="B7C9D6" w:sz="1"/>
            </w:tcBorders>
            <w:tcMar>
              <w:top w:type="dxa" w:w="80"/>
              <w:left w:type="dxa" w:w="110"/>
              <w:bottom w:type="dxa" w:w="80"/>
              <w:right w:type="dxa" w:w="110"/>
            </w:tcMar>
          </w:tcPr>
          <w:p>
            <w:pPr>
              <w:spacing w:after="0"/>
            </w:pPr>
            <w:r>
              <w:rPr>
                <w:rFonts w:ascii="Arial" w:cs="Arial" w:eastAsia="Arial" w:hAnsi="Arial"/>
                <w:b w:val="false"/>
                <w:bCs w:val="false"/>
                <w:sz w:val="19"/>
                <w:szCs w:val="19"/>
              </w:rPr>
              <w:t xml:space="preserve">Ordinal control variables, converted to numeric and standardized in Table 9.</w:t>
            </w:r>
          </w:p>
        </w:tc>
      </w:tr>
    </w:tbl>
    <w:p>
      <w:pPr>
        <w:pStyle w:val="Heading1"/>
        <w:spacing w:after="120" w:before="220"/>
      </w:pPr>
      <w:r>
        <w:rPr>
          <w:rFonts w:ascii="Arial" w:cs="Arial" w:eastAsia="Arial" w:hAnsi="Arial"/>
          <w:b/>
          <w:bCs/>
          <w:color w:val="1F4E79"/>
          <w:sz w:val="29"/>
          <w:szCs w:val="29"/>
        </w:rPr>
        <w:t xml:space="preserve">4. Analysis transformations</w:t>
      </w:r>
    </w:p>
    <w:p>
      <w:pPr>
        <w:spacing w:after="100" w:line="276"/>
      </w:pPr>
      <w:r>
        <w:rPr>
          <w:rFonts w:ascii="Arial" w:cs="Arial" w:eastAsia="Arial" w:hAnsi="Arial"/>
          <w:sz w:val="21"/>
          <w:szCs w:val="21"/>
        </w:rPr>
        <w:t xml:space="preserve">Construct scores BR, SE, and WI are row means of their respective item sets. The main dataset uses age_binary = 1 for age code &gt;=3 and 0 otherwise. The Shanghai script uses age_binary = 1 for age code &gt;=4 and 0 otherwise. Table 9 regressions standardize the dependent variable, focal predictors, and numeric controls within each duration cohort. The exact implementation is in code/00_data_cleaning.R and code/05_table9_shanghai_regression.R.</w:t>
      </w:r>
    </w:p>
    <w:p>
      <w:pPr>
        <w:pStyle w:val="Heading1"/>
        <w:spacing w:after="120" w:before="220"/>
      </w:pPr>
      <w:r>
        <w:rPr>
          <w:rFonts w:ascii="Arial" w:cs="Arial" w:eastAsia="Arial" w:hAnsi="Arial"/>
          <w:b/>
          <w:bCs/>
          <w:color w:val="1F4E79"/>
          <w:sz w:val="29"/>
          <w:szCs w:val="29"/>
        </w:rPr>
        <w:t xml:space="preserve">5. Reproduction entry point</w:t>
      </w:r>
    </w:p>
    <w:p>
      <w:pPr>
        <w:spacing w:after="100" w:line="276"/>
      </w:pPr>
      <w:r>
        <w:rPr>
          <w:rFonts w:ascii="Arial" w:cs="Arial" w:eastAsia="Arial" w:hAnsi="Arial"/>
          <w:sz w:val="21"/>
          <w:szCs w:val="21"/>
        </w:rPr>
        <w:t xml:space="preserve">Run run_replication.command from the package root. It executes the complete R pipeline and then tests the manuscript-reporting tables. Required packages: readxl, dplyr, lavaan, psych, and broom.</w:t>
      </w:r>
    </w:p>
    <w:p>
      <w:pPr>
        <w:pStyle w:val="Heading1"/>
        <w:spacing w:after="120" w:before="220"/>
      </w:pPr>
      <w:r>
        <w:rPr>
          <w:rFonts w:ascii="Arial" w:cs="Arial" w:eastAsia="Arial" w:hAnsi="Arial"/>
          <w:b/>
          <w:bCs/>
          <w:color w:val="1F4E79"/>
          <w:sz w:val="29"/>
          <w:szCs w:val="29"/>
        </w:rPr>
        <w:t xml:space="preserve">6. Privacy and sharing note</w:t>
      </w:r>
    </w:p>
    <w:p>
      <w:pPr>
        <w:spacing w:after="100" w:line="276"/>
      </w:pPr>
      <w:r>
        <w:rPr>
          <w:rFonts w:ascii="Arial" w:cs="Arial" w:eastAsia="Arial" w:hAnsi="Arial"/>
          <w:sz w:val="21"/>
          <w:szCs w:val="21"/>
        </w:rPr>
        <w:t xml:space="preserve">Only the de-identified upload copies should be submitted. Do not upload the unredacted local source files unless the authors have separately confirmed that sharing is permitted and that no personal or potentially identifying information remains.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1F4E79"/>
      <w:sz w:val="29"/>
      <w:szCs w:val="29"/>
    </w:rPr>
  </w:style>
  <w:style w:type="paragraph" w:styleId="Heading2">
    <w:name w:val="Heading 2"/>
    <w:basedOn w:val="Normal"/>
    <w:next w:val="Normal"/>
    <w:qFormat/>
    <w:pPr>
      <w:spacing w:after="10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2026-09-12T03:54:00.311Z</dcterms:created>
  <dcterms:modified xsi:type="dcterms:W3CDTF">2026-09-12T03:54:00.312Z</dcterms:modified>
</cp:coreProperties>
</file>

<file path=docProps/custom.xml><?xml version="1.0" encoding="utf-8"?>
<Properties xmlns="http://schemas.openxmlformats.org/officeDocument/2006/custom-properties" xmlns:vt="http://schemas.openxmlformats.org/officeDocument/2006/docPropsVTypes"/>
</file>