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变量代码本与数据字典（中文版）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HSSC 技术审查提交材料｜投稿 ID：c184b6df-feca-4378-8b28-ae48e994097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本代码本对应提交用去标识化数据副本。上传前已移除联系方式、问卷/受访者标识、精确经纬度和详细地点信息；本地工作目录中的源文件未被修改。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一、数据集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数据文件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data/raw/totaldatas.xlsx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N=1,047；Study 1 与 Study 2 主数据集。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data/raw/shanghai_data.csv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N=900；上海独立数据集，用于 Table 9 分时段回归。</w:t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二、主数据集变量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定义、编码与用途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提交答卷时间 / time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问卷提交日期。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first_time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当地限制措施开始日期。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period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原始日期差：提交日期减去限制开始日期。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duration_days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计入起始日的持续天数：period + 1。手稿分组为 T1（&lt;=7 天）、T2（8–21 天）、T3（&gt;21 天）。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BR1–BR5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状态无聊感量表题项；1–5 点 Likert；计算均值 BR。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SE1–SE6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感觉寻求量表题项；1–5 点 Likert；计算均值 SE。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WI1–WI3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补偿性旅游意愿题项；1–5 点 Likert；计算均值 WI。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小区封控；1=是，0/2=否；转换为 community_block。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entertain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娱乐场所关闭；1=是，0/2=否；转换为 entertain_closed。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closed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学校/单位封闭管理；1=是，0/2=否；转换为 workplace_closed。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wfh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居家办公/学习；1 或 2=是，0/3=否；转换为 home_based。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highrisk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风险地区指标，用于 Table 3 组间比较。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gender、age、education、tourtime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人口学与疫情前旅游频次变量，用作控制变量。</w:t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三、上海数据集变量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260"/>
      </w:tblGrid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变量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shd w:fill="D9EAF7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定义、编码与用途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BR1–BR5、SE1–SE6、WI1–WI3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量表题项；计算构念均值，并在 Table 9 中进行标准化。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block_time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封控时长等级；1–2=T1（&lt;=2 周），3–4=T2（2–4 周），5–6=T3（&gt;4 周）。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gender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1=男，2=女；转换为 gender_binary。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age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年龄组；上海脚本中 age&gt;=4 时 age_binary=1。</w:t>
            </w:r>
          </w:p>
        </w:tc>
      </w:tr>
      <w:tr>
        <w:tc>
          <w:tcPr>
            <w:tcW w:type="dxa" w:w="210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education、tourtime</w:t>
            </w:r>
          </w:p>
        </w:tc>
        <w:tc>
          <w:tcPr>
            <w:tcW w:type="dxa" w:w="7260"/>
            <w:tcBorders>
              <w:top w:val="single" w:color="B7C9D6" w:sz="1"/>
              <w:left w:val="single" w:color="B7C9D6" w:sz="1"/>
              <w:bottom w:val="single" w:color="B7C9D6" w:sz="1"/>
              <w:right w:val="single" w:color="B7C9D6" w:sz="1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定序控制变量，在 Table 9 中转换为数值并标准化。</w:t>
            </w:r>
          </w:p>
        </w:tc>
      </w:tr>
    </w:tbl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四、数据转换与分析入口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BR、SE、WI 分别为对应题项的行均值。主数据集使用 age_binary=1（age&gt;=3），上海脚本使用 age_binary=1（age&gt;=4）。Table 9 在各时长组内对因变量、核心自变量和数值控制变量进行标准化。具体实现见 code/00_data_cleaning.R 和 code/05_table9_shanghai_regression.R。双击包根目录的 run_replication.command 可运行完整分析和一致性测试。</w:t>
      </w:r>
    </w:p>
    <w:p>
      <w:pPr>
        <w:pStyle w:val="Heading1"/>
        <w:spacing w:after="120" w:before="220"/>
      </w:pPr>
      <w:r>
        <w:rPr>
          <w:rFonts w:ascii="Arial" w:cs="Arial" w:eastAsia="Arial" w:hAnsi="Arial"/>
          <w:b/>
          <w:bCs/>
          <w:color w:val="1F4E79"/>
          <w:sz w:val="29"/>
          <w:szCs w:val="29"/>
        </w:rPr>
        <w:t xml:space="preserve">五、隐私与共享说明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提交时只应使用去标识化上传副本。除非作者另行确认知情同意、伦理安排和共享许可允许，否则不要上传未去标识化的本地源文件。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20"/>
      <w:outlineLvl w:val="0"/>
    </w:pPr>
    <w:rPr>
      <w:rFonts w:ascii="Arial" w:cs="Arial" w:eastAsia="Arial" w:hAnsi="Arial"/>
      <w:b/>
      <w:bCs/>
      <w:color w:val="1F4E79"/>
      <w:sz w:val="29"/>
      <w:szCs w:val="29"/>
    </w:rPr>
  </w:style>
  <w:style w:type="paragraph" w:styleId="Heading2">
    <w:name w:val="Heading 2"/>
    <w:basedOn w:val="Normal"/>
    <w:next w:val="Normal"/>
    <w:qFormat/>
    <w:pPr>
      <w:spacing w:after="100" w:before="16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2026-09-12T03:59:35.382Z</dcterms:created>
  <dcterms:modified xsi:type="dcterms:W3CDTF">2026-09-12T03:59:35.383Z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