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133B1">
      <w:pPr>
        <w:pStyle w:val="2"/>
        <w:bidi w:val="0"/>
        <w:spacing w:line="360" w:lineRule="auto"/>
        <w:jc w:val="center"/>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t>项目说明：中医辨证系统实现</w:t>
      </w:r>
    </w:p>
    <w:p w14:paraId="1C0DA768">
      <w:pPr>
        <w:pStyle w:val="4"/>
        <w:keepNext w:val="0"/>
        <w:keepLines w:val="0"/>
        <w:widowControl/>
        <w:suppressLineNumbers w:val="0"/>
        <w:spacing w:line="360" w:lineRule="auto"/>
        <w:rPr>
          <w:rFonts w:hint="eastAsia" w:ascii="Songti SC Regular" w:hAnsi="Songti SC Regular" w:eastAsia="Songti SC Regular" w:cs="Songti SC Regular"/>
          <w:sz w:val="28"/>
          <w:szCs w:val="28"/>
          <w:lang w:val="en-US" w:eastAsia="zh-CN"/>
        </w:rPr>
      </w:pPr>
      <w:bookmarkStart w:id="0" w:name="_GoBack"/>
      <w:bookmarkEnd w:id="0"/>
      <w:r>
        <w:rPr>
          <w:rFonts w:hint="eastAsia" w:ascii="Songti SC Regular" w:hAnsi="Songti SC Regular" w:eastAsia="Songti SC Regular" w:cs="Songti SC Regular"/>
          <w:sz w:val="28"/>
          <w:szCs w:val="28"/>
        </w:rPr>
        <w:t>一、</w:t>
      </w:r>
      <w:r>
        <w:rPr>
          <w:rFonts w:hint="eastAsia" w:ascii="Songti SC Regular" w:hAnsi="Songti SC Regular" w:eastAsia="Songti SC Regular" w:cs="Songti SC Regular"/>
          <w:sz w:val="28"/>
          <w:szCs w:val="28"/>
          <w:lang w:val="en-US" w:eastAsia="zh-CN"/>
        </w:rPr>
        <w:t>项目目标</w:t>
      </w:r>
    </w:p>
    <w:p w14:paraId="489610A1">
      <w:pPr>
        <w:keepNext w:val="0"/>
        <w:keepLines w:val="0"/>
        <w:widowControl/>
        <w:numPr>
          <w:ilvl w:val="0"/>
          <w:numId w:val="0"/>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本项目希望构建一个针对慢性淋巴细胞白血病的中医智能辨证系统，能够根据患者症状描述自动匹配证型和治法，实现症状-证型-治法的全流程自动匹配，具体目标包括：</w:t>
      </w:r>
    </w:p>
    <w:p w14:paraId="015F3D53">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多策略探索：尝试不同的大模型提示工程</w:t>
      </w:r>
    </w:p>
    <w:p w14:paraId="67B42315">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性能优化：通过投票机制提升辨证准确性和稳定性</w:t>
      </w:r>
    </w:p>
    <w:p w14:paraId="720C4F30">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模型评价：根据测试数据中的预测结果和真实结果的语义相似度判断匹配的准确度</w:t>
      </w:r>
    </w:p>
    <w:p w14:paraId="6D73DFEA">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不同的提示词工程尝试及结果</w:t>
      </w:r>
    </w:p>
    <w:p w14:paraId="2EE74598">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Bold" w:hAnsi="Songti SC Bold" w:eastAsia="Songti SC Bold" w:cs="Songti SC Bold"/>
          <w:b/>
          <w:bCs/>
          <w:sz w:val="28"/>
          <w:szCs w:val="28"/>
          <w:lang w:val="en-US" w:eastAsia="zh-CN"/>
        </w:rPr>
        <w:t>本文选取的四种策略分别是（1）Zero-Shot Prompting、（2）增强自检机制（Self-contrast)、（3）Few shot+CoT和（4）Few-Shot + CoT + Self-Consistency</w:t>
      </w:r>
      <w:r>
        <w:rPr>
          <w:rFonts w:hint="eastAsia" w:ascii="Songti SC Regular" w:hAnsi="Songti SC Regular" w:eastAsia="Songti SC Regular" w:cs="Songti SC Regular"/>
          <w:sz w:val="28"/>
          <w:szCs w:val="28"/>
          <w:lang w:val="en-US" w:eastAsia="zh-CN"/>
        </w:rPr>
        <w:t>，为了验证哪个结果更好，四次尝试均不修改大语言模型框架，采用model="ernie-4.5-0.3b"，并且保持max_completion_tokens不变。</w:t>
      </w:r>
    </w:p>
    <w:p w14:paraId="07153ED6">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每次根据计算预测值与真实值在语义向量空间中的余弦相似度，实现对证型和治法匹配准确性的量化评估，该方法避免了传统分类准确率的局限性，能够捕捉中医术语间的语义关联，为中医自然语言处理任务提供了更为精细的评估手段。</w:t>
      </w:r>
    </w:p>
    <w:p w14:paraId="73898CB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72405" cy="4171315"/>
            <wp:effectExtent l="0" t="0" r="10795" b="1968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5"/>
                    <a:stretch>
                      <a:fillRect/>
                    </a:stretch>
                  </pic:blipFill>
                  <pic:spPr>
                    <a:xfrm>
                      <a:off x="0" y="0"/>
                      <a:ext cx="5272405" cy="4171315"/>
                    </a:xfrm>
                    <a:prstGeom prst="rect">
                      <a:avLst/>
                    </a:prstGeom>
                    <a:noFill/>
                    <a:ln>
                      <a:noFill/>
                    </a:ln>
                  </pic:spPr>
                </pic:pic>
              </a:graphicData>
            </a:graphic>
          </wp:inline>
        </w:drawing>
      </w:r>
    </w:p>
    <w:p w14:paraId="660DD88D">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 Prompting</w:t>
      </w:r>
    </w:p>
    <w:p w14:paraId="2A74B80B">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Elavis Saravia提出的基本指令框架包括</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0"/>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：Instruction（必须）： 指令，即你希望模型执行的具体任务。Context（选填）： 背景信息，或者说是上下文信息，这可以引导模型做出更好的反应。Input Data（选填）： 输入数据，告知模型需要处理的数据。Output Indicator（选填）： 输出指示器，告知模型我们要输出的类型或格式。</w:t>
      </w:r>
    </w:p>
    <w:p w14:paraId="3DF8E59D">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Zero-shot模型的prompt部分没有多余的信息，仅告诉大语言模型充当的角色和需要的输出格式。</w:t>
      </w:r>
    </w:p>
    <w:p w14:paraId="44AB1E4C">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962525" cy="4381500"/>
            <wp:effectExtent l="0" t="0" r="15875"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962525" cy="4381500"/>
                    </a:xfrm>
                    <a:prstGeom prst="rect">
                      <a:avLst/>
                    </a:prstGeom>
                    <a:noFill/>
                    <a:ln>
                      <a:noFill/>
                    </a:ln>
                  </pic:spPr>
                </pic:pic>
              </a:graphicData>
            </a:graphic>
          </wp:inline>
        </w:drawing>
      </w:r>
    </w:p>
    <w:p w14:paraId="390C5278">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在Zero-shot 策略中，模型的表现很不好：</w:t>
      </w:r>
    </w:p>
    <w:p w14:paraId="4D9F3611">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467225" cy="952500"/>
            <wp:effectExtent l="0" t="0" r="3175"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4467225" cy="952500"/>
                    </a:xfrm>
                    <a:prstGeom prst="rect">
                      <a:avLst/>
                    </a:prstGeom>
                    <a:noFill/>
                    <a:ln>
                      <a:noFill/>
                    </a:ln>
                  </pic:spPr>
                </pic:pic>
              </a:graphicData>
            </a:graphic>
          </wp:inline>
        </w:drawing>
      </w:r>
    </w:p>
    <w:p w14:paraId="57D8E54C">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从输出的结果可以看出模型数据有比较大的随意性：</w:t>
      </w:r>
    </w:p>
    <w:p w14:paraId="7D61E536">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66690" cy="3669665"/>
            <wp:effectExtent l="0" t="0" r="16510" b="133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3669665"/>
                    </a:xfrm>
                    <a:prstGeom prst="rect">
                      <a:avLst/>
                    </a:prstGeom>
                    <a:noFill/>
                    <a:ln>
                      <a:noFill/>
                    </a:ln>
                  </pic:spPr>
                </pic:pic>
              </a:graphicData>
            </a:graphic>
          </wp:inline>
        </w:drawing>
      </w:r>
    </w:p>
    <w:p w14:paraId="327A80C8">
      <w:pPr>
        <w:numPr>
          <w:ilvl w:val="0"/>
          <w:numId w:val="0"/>
        </w:numPr>
        <w:spacing w:line="360" w:lineRule="auto"/>
        <w:rPr>
          <w:rFonts w:hint="eastAsia" w:ascii="Songti SC Regular" w:hAnsi="Songti SC Regular" w:eastAsia="Songti SC Regular" w:cs="Songti SC Regular"/>
          <w:sz w:val="28"/>
          <w:szCs w:val="28"/>
          <w:lang w:val="en-US" w:eastAsia="zh-CN"/>
        </w:rPr>
      </w:pPr>
    </w:p>
    <w:p w14:paraId="070300AB">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增强自检机制（Self-contrast)</w:t>
      </w:r>
    </w:p>
    <w:p w14:paraId="48D27C4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 Prompting模型结果存在比较大的随意性，比如大语言模型给出的症状表述比较不规范，存在比较强的直觉思考的现象。Hagendorff 等人（2022）的研究中发现大语言模型同时拥有快思考和慢思考的思维过程</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1"/>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，为了防止大语言出现直觉思考（也就是快思考），本研究改进在提示词工程中增加置信度评估和自评分，要求大语言模型输出包含：证型、治法、理由、置信度、自评分，引入量化评估机制提升模型自省能力。</w:t>
      </w:r>
    </w:p>
    <w:p w14:paraId="3F0EB43C">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66055" cy="3185795"/>
            <wp:effectExtent l="0" t="0" r="1714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6055" cy="3185795"/>
                    </a:xfrm>
                    <a:prstGeom prst="rect">
                      <a:avLst/>
                    </a:prstGeom>
                    <a:noFill/>
                    <a:ln>
                      <a:noFill/>
                    </a:ln>
                  </pic:spPr>
                </pic:pic>
              </a:graphicData>
            </a:graphic>
          </wp:inline>
        </w:drawing>
      </w:r>
    </w:p>
    <w:p w14:paraId="5D3E2064">
      <w:pPr>
        <w:numPr>
          <w:ilvl w:val="0"/>
          <w:numId w:val="0"/>
        </w:numPr>
        <w:spacing w:line="360" w:lineRule="auto"/>
        <w:rPr>
          <w:rFonts w:hint="default"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虽然增加了模型的自我检测机制，但是在缺乏外部反馈的情况下，LLM 内在的反思能力是十分不稳定的，LLM 在自我评估时常表现出过度自信（Overconfident）或高度随机性（Inconsistent），即LLM 往往会提供十分顽固或很随机的 feedback，从而导致反思效果不理想，从结果中可以看出，模型并没有明显的提高，接近zero-shot的结果。</w:t>
      </w:r>
    </w:p>
    <w:p w14:paraId="001C3DE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3800475" cy="885825"/>
            <wp:effectExtent l="0" t="0" r="952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800475" cy="885825"/>
                    </a:xfrm>
                    <a:prstGeom prst="rect">
                      <a:avLst/>
                    </a:prstGeom>
                    <a:noFill/>
                    <a:ln>
                      <a:noFill/>
                    </a:ln>
                  </pic:spPr>
                </pic:pic>
              </a:graphicData>
            </a:graphic>
          </wp:inline>
        </w:drawing>
      </w:r>
    </w:p>
    <w:p w14:paraId="1D008BC8">
      <w:pPr>
        <w:numPr>
          <w:ilvl w:val="0"/>
          <w:numId w:val="0"/>
        </w:numPr>
        <w:spacing w:line="360" w:lineRule="auto"/>
        <w:rPr>
          <w:rFonts w:hint="eastAsia" w:ascii="Songti SC Regular" w:hAnsi="Songti SC Regular" w:eastAsia="Songti SC Regular" w:cs="Songti SC Regular"/>
          <w:sz w:val="28"/>
          <w:szCs w:val="28"/>
          <w:lang w:val="en-US" w:eastAsia="zh-CN"/>
        </w:rPr>
      </w:pPr>
    </w:p>
    <w:p w14:paraId="18133F9F">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Few shot+CoT</w:t>
      </w:r>
    </w:p>
    <w:p w14:paraId="64FB63BD">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增加了自评的模型并没有特别明显的改善，</w:t>
      </w:r>
      <w:r>
        <w:rPr>
          <w:rFonts w:hint="eastAsia" w:ascii="Songti SC Bold" w:hAnsi="Songti SC Bold" w:eastAsia="Songti SC Bold" w:cs="Songti SC Bold"/>
          <w:b/>
          <w:bCs/>
          <w:sz w:val="28"/>
          <w:szCs w:val="28"/>
          <w:lang w:val="en-US" w:eastAsia="zh-CN"/>
        </w:rPr>
        <w:t>说明模型可能缺少一些相关的知识或是一些可以理解的例子</w:t>
      </w:r>
      <w:r>
        <w:rPr>
          <w:rFonts w:hint="eastAsia" w:ascii="Songti SC Regular" w:hAnsi="Songti SC Regular" w:eastAsia="Songti SC Regular" w:cs="Songti SC Regular"/>
          <w:sz w:val="28"/>
          <w:szCs w:val="28"/>
          <w:lang w:val="en-US" w:eastAsia="zh-CN"/>
        </w:rPr>
        <w:t>，因此在这里我们尝试给大语言一些中医相关的知识，并且告诉大语言模型一些类似的案例，参考Brown （2020）提出的Few-Shot Prompting的策略</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2"/>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，且要求大语言模型“一步一步分析”（采用CoT的策略），Kojima 等人（2022）的发现即使在Zero shot的情况下，CoT策略也是有效的，Chain of Thought 的技巧使用起来非常简单，只需要在问题的结尾里放一句 Let‘s think step by step （让我们一步步地思考），模型输出的答案会更加准确</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3"/>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w:t>
      </w:r>
      <w:r>
        <w:rPr>
          <w:rFonts w:hint="eastAsia" w:ascii="Songti SC Bold" w:hAnsi="Songti SC Bold" w:eastAsia="Songti SC Bold" w:cs="Songti SC Bold"/>
          <w:b/>
          <w:bCs/>
          <w:sz w:val="28"/>
          <w:szCs w:val="28"/>
          <w:lang w:val="en-US" w:eastAsia="zh-CN"/>
        </w:rPr>
        <w:t>在这里我参考Wei（2022）等人的工作</w:t>
      </w:r>
      <w:r>
        <w:rPr>
          <w:rStyle w:val="8"/>
          <w:rFonts w:hint="eastAsia" w:ascii="Songti SC Bold" w:hAnsi="Songti SC Bold" w:eastAsia="Songti SC Bold" w:cs="Songti SC Bold"/>
          <w:b/>
          <w:bCs/>
          <w:sz w:val="28"/>
          <w:szCs w:val="28"/>
          <w:lang w:val="en-US" w:eastAsia="zh-CN"/>
        </w:rPr>
        <w:t>[</w:t>
      </w:r>
      <w:r>
        <w:rPr>
          <w:rStyle w:val="8"/>
          <w:rFonts w:hint="eastAsia" w:ascii="Songti SC Bold" w:hAnsi="Songti SC Bold" w:eastAsia="Songti SC Bold" w:cs="Songti SC Bold"/>
          <w:b/>
          <w:bCs/>
          <w:sz w:val="28"/>
          <w:szCs w:val="28"/>
          <w:lang w:val="en-US" w:eastAsia="zh-CN"/>
        </w:rPr>
        <w:endnoteReference w:id="4"/>
      </w:r>
      <w:r>
        <w:rPr>
          <w:rStyle w:val="8"/>
          <w:rFonts w:hint="eastAsia" w:ascii="Songti SC Bold" w:hAnsi="Songti SC Bold" w:eastAsia="Songti SC Bold" w:cs="Songti SC Bold"/>
          <w:b/>
          <w:bCs/>
          <w:sz w:val="28"/>
          <w:szCs w:val="28"/>
          <w:lang w:val="en-US" w:eastAsia="zh-CN"/>
        </w:rPr>
        <w:t>]</w:t>
      </w:r>
      <w:r>
        <w:rPr>
          <w:rFonts w:hint="eastAsia" w:ascii="Songti SC Bold" w:hAnsi="Songti SC Bold" w:eastAsia="Songti SC Bold" w:cs="Songti SC Bold"/>
          <w:b/>
          <w:bCs/>
          <w:sz w:val="28"/>
          <w:szCs w:val="28"/>
          <w:lang w:val="en-US" w:eastAsia="zh-CN"/>
        </w:rPr>
        <w:t>，将Few-shot和CoT结合起来，在给大模型一些相关案例的同时要求大模型一步步思考</w:t>
      </w:r>
      <w:r>
        <w:rPr>
          <w:rFonts w:hint="eastAsia" w:ascii="Songti SC Regular" w:hAnsi="Songti SC Regular" w:eastAsia="Songti SC Regular" w:cs="Songti SC Regular"/>
          <w:sz w:val="28"/>
          <w:szCs w:val="28"/>
          <w:lang w:val="en-US" w:eastAsia="zh-CN"/>
        </w:rPr>
        <w:t>。</w:t>
      </w:r>
    </w:p>
    <w:p w14:paraId="21FB252A">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66690" cy="3388995"/>
            <wp:effectExtent l="0" t="0" r="16510"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3388995"/>
                    </a:xfrm>
                    <a:prstGeom prst="rect">
                      <a:avLst/>
                    </a:prstGeom>
                    <a:noFill/>
                    <a:ln>
                      <a:noFill/>
                    </a:ln>
                  </pic:spPr>
                </pic:pic>
              </a:graphicData>
            </a:graphic>
          </wp:inline>
        </w:drawing>
      </w:r>
    </w:p>
    <w:p w14:paraId="6F1C6987">
      <w:pPr>
        <w:keepNext w:val="0"/>
        <w:keepLines w:val="0"/>
        <w:widowControl/>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在这种策略下，模型相比之前改善了不少，从88提升到94，说明这种策略是有效的：</w:t>
      </w:r>
    </w:p>
    <w:p w14:paraId="20DD0A63">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4714875" cy="876300"/>
            <wp:effectExtent l="0" t="0" r="952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714875" cy="876300"/>
                    </a:xfrm>
                    <a:prstGeom prst="rect">
                      <a:avLst/>
                    </a:prstGeom>
                    <a:noFill/>
                    <a:ln>
                      <a:noFill/>
                    </a:ln>
                  </pic:spPr>
                </pic:pic>
              </a:graphicData>
            </a:graphic>
          </wp:inline>
        </w:drawing>
      </w:r>
    </w:p>
    <w:p w14:paraId="7750F007">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 xml:space="preserve"> Few-Shot + CoT + Self-Consistency</w:t>
      </w:r>
    </w:p>
    <w:p w14:paraId="01A968A0">
      <w:pPr>
        <w:keepNext w:val="0"/>
        <w:keepLines w:val="0"/>
        <w:widowControl/>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在上一个版本的输出中模型预测已经有比较大的改善，但是通过多次输出会发现，模型表现不够稳定，因此再次改进模型，在Few shot+CoT的基础上加上Self-Consistency策略。</w:t>
      </w:r>
    </w:p>
    <w:p w14:paraId="7E966D22">
      <w:pPr>
        <w:keepNext w:val="0"/>
        <w:keepLines w:val="0"/>
        <w:widowControl/>
        <w:suppressLineNumbers w:val="0"/>
        <w:spacing w:line="360" w:lineRule="auto"/>
        <w:jc w:val="left"/>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pPr>
      <w:r>
        <w:rPr>
          <w:rFonts w:hint="eastAsia" w:ascii="Songti SC Regular" w:hAnsi="Songti SC Regular" w:eastAsia="Songti SC Regular" w:cs="Songti SC Regular"/>
          <w:sz w:val="28"/>
          <w:szCs w:val="28"/>
          <w:lang w:val="en-US" w:eastAsia="zh-CN"/>
        </w:rPr>
        <w:t>Self-Consistency策略</w:t>
      </w:r>
      <w:r>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是对 Chain of Thought 的一个补充，对推理结果进行自我校对，让模型生成多种推理路径，并最终选择最一致的答案，Self-Consistency 利用“复杂推理问题通常存在多种不同思考方式”这一特点，生成多样的推理路径有效减少错误答案的影响，提高了最终答案的准确性与模型的鲁棒性，它让模型生成多个思维链，然后让模型进行投票，取最多数答案的作为最终结果</w:t>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w:t>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endnoteReference w:id="5"/>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w:t>
      </w:r>
      <w:r>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。在本研究中多次独立调用大模型（7次），收集证型和治法投票结果，统计频次选择最高票结果。</w:t>
      </w:r>
    </w:p>
    <w:p w14:paraId="377B32FC">
      <w:pPr>
        <w:keepNext w:val="0"/>
        <w:keepLines w:val="0"/>
        <w:widowControl/>
        <w:suppressLineNumbers w:val="0"/>
        <w:spacing w:line="360" w:lineRule="auto"/>
        <w:jc w:val="left"/>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pPr>
      <w:r>
        <w:rPr>
          <w:rFonts w:hint="eastAsia" w:ascii="Songti SC Regular" w:hAnsi="Songti SC Regular" w:eastAsia="Songti SC Regular" w:cs="Songti SC Regular"/>
          <w:sz w:val="28"/>
          <w:szCs w:val="28"/>
        </w:rPr>
        <w:drawing>
          <wp:inline distT="0" distB="0" distL="114300" distR="114300">
            <wp:extent cx="5269230" cy="3985260"/>
            <wp:effectExtent l="0" t="0" r="13970"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269230" cy="3985260"/>
                    </a:xfrm>
                    <a:prstGeom prst="rect">
                      <a:avLst/>
                    </a:prstGeom>
                    <a:noFill/>
                    <a:ln>
                      <a:noFill/>
                    </a:ln>
                  </pic:spPr>
                </pic:pic>
              </a:graphicData>
            </a:graphic>
          </wp:inline>
        </w:drawing>
      </w:r>
    </w:p>
    <w:p w14:paraId="6B794D1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从输出结果中可以看出，和上一次（仅包含Few shot+CoT的策略）的输出结果是一样的，但是如果多次输出具有更高的稳定性，可以改善模型随机回答的概率。</w:t>
      </w:r>
    </w:p>
    <w:p w14:paraId="0561E4C5">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629150" cy="1009650"/>
            <wp:effectExtent l="0" t="0" r="190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629150" cy="1009650"/>
                    </a:xfrm>
                    <a:prstGeom prst="rect">
                      <a:avLst/>
                    </a:prstGeom>
                    <a:noFill/>
                    <a:ln>
                      <a:noFill/>
                    </a:ln>
                  </pic:spPr>
                </pic:pic>
              </a:graphicData>
            </a:graphic>
          </wp:inline>
        </w:drawing>
      </w:r>
    </w:p>
    <w:p w14:paraId="1E9835A0">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这里展示了前几条的预测结果，可以看出和第一次（Zero-shot</w:t>
      </w:r>
      <w:r>
        <w:rPr>
          <w:rFonts w:hint="default"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的结果相比，模型的回答已经比较接近正确回答：</w:t>
      </w:r>
    </w:p>
    <w:p w14:paraId="2DC70470">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73040" cy="4696460"/>
            <wp:effectExtent l="0" t="0" r="10160" b="254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5"/>
                    <a:stretch>
                      <a:fillRect/>
                    </a:stretch>
                  </pic:blipFill>
                  <pic:spPr>
                    <a:xfrm>
                      <a:off x="0" y="0"/>
                      <a:ext cx="5273040" cy="4696460"/>
                    </a:xfrm>
                    <a:prstGeom prst="rect">
                      <a:avLst/>
                    </a:prstGeom>
                    <a:noFill/>
                    <a:ln>
                      <a:noFill/>
                    </a:ln>
                  </pic:spPr>
                </pic:pic>
              </a:graphicData>
            </a:graphic>
          </wp:inline>
        </w:drawing>
      </w:r>
    </w:p>
    <w:p w14:paraId="13138E85">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提示工程对比</w:t>
      </w:r>
    </w:p>
    <w:p w14:paraId="03015768">
      <w:pPr>
        <w:spacing w:line="360" w:lineRule="auto"/>
        <w:rPr>
          <w:rFonts w:hint="eastAsia" w:ascii="Songti SC Regular" w:hAnsi="Songti SC Regular" w:eastAsia="Songti SC Regular" w:cs="Songti SC Regular"/>
          <w:sz w:val="28"/>
          <w:szCs w:val="28"/>
          <w:u w:val="none"/>
          <w:lang w:val="en-US" w:eastAsia="zh-CN"/>
        </w:rPr>
      </w:pPr>
      <w:r>
        <w:rPr>
          <w:rFonts w:hint="eastAsia" w:ascii="Songti SC Regular" w:hAnsi="Songti SC Regular" w:eastAsia="Songti SC Regular" w:cs="Songti SC Regular"/>
          <w:sz w:val="28"/>
          <w:szCs w:val="28"/>
          <w:u w:val="none"/>
          <w:lang w:val="en-US" w:eastAsia="zh-CN"/>
        </w:rPr>
        <w:t>通过上述四种策略的尝试，我们可以对不同提示工程方法在中医辨证任务中的效果进行系统性对比。各策略在准确性、稳定性、可解释性及实现复杂度等方面表现如下：</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18"/>
        <w:gridCol w:w="1418"/>
        <w:gridCol w:w="1606"/>
        <w:gridCol w:w="1299"/>
        <w:gridCol w:w="1028"/>
        <w:gridCol w:w="950"/>
      </w:tblGrid>
      <w:tr w14:paraId="0D539BB8">
        <w:trPr>
          <w:trHeight w:val="360" w:hRule="atLeast"/>
        </w:trPr>
        <w:tc>
          <w:tcPr>
            <w:tcW w:w="830" w:type="pct"/>
            <w:tcBorders>
              <w:top w:val="single" w:color="000000" w:sz="12" w:space="0"/>
              <w:left w:val="nil"/>
              <w:bottom w:val="single" w:color="000000" w:sz="4" w:space="0"/>
              <w:right w:val="nil"/>
              <w:tl2br w:val="nil"/>
            </w:tcBorders>
            <w:shd w:val="clear" w:color="auto" w:fill="FFFFFF"/>
            <w:vAlign w:val="center"/>
          </w:tcPr>
          <w:p w14:paraId="482671F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策略</w:t>
            </w:r>
          </w:p>
        </w:tc>
        <w:tc>
          <w:tcPr>
            <w:tcW w:w="926" w:type="pct"/>
            <w:tcBorders>
              <w:top w:val="single" w:color="000000" w:sz="12" w:space="0"/>
              <w:left w:val="nil"/>
              <w:bottom w:val="single" w:color="000000" w:sz="4" w:space="0"/>
              <w:right w:val="nil"/>
            </w:tcBorders>
            <w:shd w:val="clear" w:color="auto" w:fill="FFFFFF"/>
            <w:vAlign w:val="center"/>
          </w:tcPr>
          <w:p w14:paraId="285E5A1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核心思路</w:t>
            </w:r>
          </w:p>
        </w:tc>
        <w:tc>
          <w:tcPr>
            <w:tcW w:w="1036" w:type="pct"/>
            <w:tcBorders>
              <w:top w:val="single" w:color="000000" w:sz="12" w:space="0"/>
              <w:left w:val="nil"/>
              <w:bottom w:val="single" w:color="000000" w:sz="4" w:space="0"/>
              <w:right w:val="nil"/>
            </w:tcBorders>
            <w:shd w:val="clear" w:color="auto" w:fill="FFFFFF"/>
            <w:vAlign w:val="center"/>
          </w:tcPr>
          <w:p w14:paraId="5AC528F2">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准确性表现</w:t>
            </w:r>
          </w:p>
        </w:tc>
        <w:tc>
          <w:tcPr>
            <w:tcW w:w="856" w:type="pct"/>
            <w:tcBorders>
              <w:top w:val="single" w:color="000000" w:sz="12" w:space="0"/>
              <w:left w:val="nil"/>
              <w:bottom w:val="single" w:color="000000" w:sz="4" w:space="0"/>
              <w:right w:val="nil"/>
            </w:tcBorders>
            <w:shd w:val="clear" w:color="auto" w:fill="FFFFFF"/>
            <w:vAlign w:val="center"/>
          </w:tcPr>
          <w:p w14:paraId="5987E97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稳定性</w:t>
            </w:r>
          </w:p>
        </w:tc>
        <w:tc>
          <w:tcPr>
            <w:tcW w:w="697" w:type="pct"/>
            <w:tcBorders>
              <w:top w:val="single" w:color="000000" w:sz="12" w:space="0"/>
              <w:left w:val="nil"/>
              <w:bottom w:val="single" w:color="000000" w:sz="4" w:space="0"/>
              <w:right w:val="nil"/>
            </w:tcBorders>
            <w:shd w:val="clear" w:color="auto" w:fill="FFFFFF"/>
            <w:vAlign w:val="center"/>
          </w:tcPr>
          <w:p w14:paraId="4B31E019">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可解释性</w:t>
            </w:r>
          </w:p>
        </w:tc>
        <w:tc>
          <w:tcPr>
            <w:tcW w:w="651" w:type="pct"/>
            <w:tcBorders>
              <w:top w:val="single" w:color="000000" w:sz="12" w:space="0"/>
              <w:left w:val="nil"/>
              <w:bottom w:val="single" w:color="000000" w:sz="4" w:space="0"/>
              <w:right w:val="nil"/>
            </w:tcBorders>
            <w:shd w:val="clear" w:color="auto" w:fill="FFFFFF"/>
            <w:vAlign w:val="center"/>
          </w:tcPr>
          <w:p w14:paraId="22BB62E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实现复杂度</w:t>
            </w:r>
          </w:p>
        </w:tc>
      </w:tr>
      <w:tr w14:paraId="2AB9B9EA">
        <w:trPr>
          <w:trHeight w:val="1060" w:hRule="atLeast"/>
        </w:trPr>
        <w:tc>
          <w:tcPr>
            <w:tcW w:w="830" w:type="pct"/>
            <w:tcBorders>
              <w:top w:val="single" w:color="000000" w:sz="4" w:space="0"/>
              <w:left w:val="nil"/>
              <w:bottom w:val="nil"/>
              <w:right w:val="nil"/>
            </w:tcBorders>
            <w:shd w:val="clear" w:color="auto" w:fill="FFFFFF"/>
            <w:vAlign w:val="center"/>
          </w:tcPr>
          <w:p w14:paraId="1D4513A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(1) Zero-Shot</w:t>
            </w:r>
          </w:p>
        </w:tc>
        <w:tc>
          <w:tcPr>
            <w:tcW w:w="926" w:type="pct"/>
            <w:tcBorders>
              <w:top w:val="single" w:color="000000" w:sz="4" w:space="0"/>
              <w:left w:val="nil"/>
              <w:bottom w:val="nil"/>
              <w:right w:val="nil"/>
            </w:tcBorders>
            <w:shd w:val="clear" w:color="auto" w:fill="FFFFFF"/>
            <w:vAlign w:val="center"/>
          </w:tcPr>
          <w:p w14:paraId="7A08B91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仅提供基础指令与格式，无示例或额外引导</w:t>
            </w:r>
          </w:p>
        </w:tc>
        <w:tc>
          <w:tcPr>
            <w:tcW w:w="1036" w:type="pct"/>
            <w:tcBorders>
              <w:top w:val="single" w:color="000000" w:sz="4" w:space="0"/>
              <w:left w:val="nil"/>
              <w:bottom w:val="nil"/>
              <w:right w:val="nil"/>
            </w:tcBorders>
            <w:shd w:val="clear" w:color="auto" w:fill="FFFFFF"/>
            <w:vAlign w:val="center"/>
          </w:tcPr>
          <w:p w14:paraId="224740E2">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较差，输出随意性大，不符合专业规范</w:t>
            </w:r>
          </w:p>
        </w:tc>
        <w:tc>
          <w:tcPr>
            <w:tcW w:w="856" w:type="pct"/>
            <w:tcBorders>
              <w:top w:val="single" w:color="000000" w:sz="4" w:space="0"/>
              <w:left w:val="nil"/>
              <w:bottom w:val="nil"/>
              <w:right w:val="nil"/>
            </w:tcBorders>
            <w:shd w:val="clear" w:color="auto" w:fill="FFFFFF"/>
            <w:vAlign w:val="center"/>
          </w:tcPr>
          <w:p w14:paraId="265CF67E">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低</w:t>
            </w:r>
          </w:p>
        </w:tc>
        <w:tc>
          <w:tcPr>
            <w:tcW w:w="697" w:type="pct"/>
            <w:tcBorders>
              <w:top w:val="single" w:color="000000" w:sz="4" w:space="0"/>
              <w:left w:val="nil"/>
              <w:bottom w:val="nil"/>
              <w:right w:val="nil"/>
            </w:tcBorders>
            <w:shd w:val="clear" w:color="auto" w:fill="FFFFFF"/>
            <w:vAlign w:val="center"/>
          </w:tcPr>
          <w:p w14:paraId="1DD275E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弱，缺乏推理过程</w:t>
            </w:r>
          </w:p>
        </w:tc>
        <w:tc>
          <w:tcPr>
            <w:tcW w:w="651" w:type="pct"/>
            <w:tcBorders>
              <w:top w:val="single" w:color="000000" w:sz="4" w:space="0"/>
              <w:left w:val="nil"/>
              <w:bottom w:val="nil"/>
              <w:right w:val="nil"/>
            </w:tcBorders>
            <w:shd w:val="clear" w:color="auto" w:fill="FFFFFF"/>
            <w:vAlign w:val="center"/>
          </w:tcPr>
          <w:p w14:paraId="6178682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简单</w:t>
            </w:r>
          </w:p>
        </w:tc>
      </w:tr>
      <w:tr w14:paraId="0A7554F8">
        <w:trPr>
          <w:trHeight w:val="1420" w:hRule="atLeast"/>
        </w:trPr>
        <w:tc>
          <w:tcPr>
            <w:tcW w:w="830" w:type="pct"/>
            <w:tcBorders>
              <w:top w:val="nil"/>
              <w:left w:val="nil"/>
              <w:bottom w:val="nil"/>
              <w:right w:val="nil"/>
            </w:tcBorders>
            <w:shd w:val="clear" w:color="auto" w:fill="FFFFFF"/>
            <w:vAlign w:val="center"/>
          </w:tcPr>
          <w:p w14:paraId="07384B6D">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(2) 增强自检（Self-contrast）</w:t>
            </w:r>
          </w:p>
        </w:tc>
        <w:tc>
          <w:tcPr>
            <w:tcW w:w="926" w:type="pct"/>
            <w:tcBorders>
              <w:top w:val="nil"/>
              <w:left w:val="nil"/>
              <w:bottom w:val="nil"/>
              <w:right w:val="nil"/>
            </w:tcBorders>
            <w:shd w:val="clear" w:color="auto" w:fill="FFFFFF"/>
            <w:vAlign w:val="center"/>
          </w:tcPr>
          <w:p w14:paraId="354ECEFA">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引入置信度评估与自评分，强制模型进行慢思考与自我反思</w:t>
            </w:r>
          </w:p>
        </w:tc>
        <w:tc>
          <w:tcPr>
            <w:tcW w:w="1036" w:type="pct"/>
            <w:tcBorders>
              <w:top w:val="nil"/>
              <w:left w:val="nil"/>
              <w:bottom w:val="nil"/>
              <w:right w:val="nil"/>
            </w:tcBorders>
            <w:shd w:val="clear" w:color="auto" w:fill="FFFFFF"/>
            <w:vAlign w:val="center"/>
          </w:tcPr>
          <w:p w14:paraId="3B9AC280">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无明显改善，模型自评存在过度自信或随机性问题</w:t>
            </w:r>
          </w:p>
        </w:tc>
        <w:tc>
          <w:tcPr>
            <w:tcW w:w="856" w:type="pct"/>
            <w:tcBorders>
              <w:top w:val="nil"/>
              <w:left w:val="nil"/>
              <w:bottom w:val="nil"/>
              <w:right w:val="nil"/>
            </w:tcBorders>
            <w:shd w:val="clear" w:color="auto" w:fill="FFFFFF"/>
            <w:vAlign w:val="center"/>
          </w:tcPr>
          <w:p w14:paraId="4135B3EF">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低</w:t>
            </w:r>
          </w:p>
        </w:tc>
        <w:tc>
          <w:tcPr>
            <w:tcW w:w="697" w:type="pct"/>
            <w:tcBorders>
              <w:top w:val="nil"/>
              <w:left w:val="nil"/>
              <w:bottom w:val="nil"/>
              <w:right w:val="nil"/>
            </w:tcBorders>
            <w:shd w:val="clear" w:color="auto" w:fill="FFFFFF"/>
            <w:vAlign w:val="center"/>
          </w:tcPr>
          <w:p w14:paraId="273C41A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中等，有自评分数但可靠性差</w:t>
            </w:r>
          </w:p>
        </w:tc>
        <w:tc>
          <w:tcPr>
            <w:tcW w:w="651" w:type="pct"/>
            <w:tcBorders>
              <w:top w:val="nil"/>
              <w:left w:val="nil"/>
              <w:bottom w:val="nil"/>
              <w:right w:val="nil"/>
            </w:tcBorders>
            <w:shd w:val="clear" w:color="auto" w:fill="FFFFFF"/>
            <w:vAlign w:val="center"/>
          </w:tcPr>
          <w:p w14:paraId="0BAE979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w:t>
            </w:r>
          </w:p>
        </w:tc>
      </w:tr>
      <w:tr w14:paraId="7FFCF4A8">
        <w:trPr>
          <w:trHeight w:val="1060" w:hRule="atLeast"/>
        </w:trPr>
        <w:tc>
          <w:tcPr>
            <w:tcW w:w="830" w:type="pct"/>
            <w:tcBorders>
              <w:top w:val="nil"/>
              <w:left w:val="nil"/>
              <w:bottom w:val="nil"/>
              <w:right w:val="nil"/>
            </w:tcBorders>
            <w:shd w:val="clear" w:color="auto" w:fill="FFFFFF"/>
            <w:vAlign w:val="center"/>
          </w:tcPr>
          <w:p w14:paraId="3F49114D">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(3) Few-Shot + CoT</w:t>
            </w:r>
          </w:p>
        </w:tc>
        <w:tc>
          <w:tcPr>
            <w:tcW w:w="926" w:type="pct"/>
            <w:tcBorders>
              <w:top w:val="nil"/>
              <w:left w:val="nil"/>
              <w:bottom w:val="nil"/>
              <w:right w:val="nil"/>
            </w:tcBorders>
            <w:shd w:val="clear" w:color="auto" w:fill="FFFFFF"/>
            <w:vAlign w:val="center"/>
          </w:tcPr>
          <w:p w14:paraId="55138989">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提供少量中医示例，并要求模型进行逐步推理</w:t>
            </w:r>
          </w:p>
        </w:tc>
        <w:tc>
          <w:tcPr>
            <w:tcW w:w="1036" w:type="pct"/>
            <w:tcBorders>
              <w:top w:val="nil"/>
              <w:left w:val="nil"/>
              <w:bottom w:val="nil"/>
              <w:right w:val="nil"/>
            </w:tcBorders>
            <w:shd w:val="clear" w:color="auto" w:fill="FFFFFF"/>
            <w:vAlign w:val="center"/>
          </w:tcPr>
          <w:p w14:paraId="4C59AE3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显著提升，从88提升至94，输出更符合专业逻辑</w:t>
            </w:r>
          </w:p>
        </w:tc>
        <w:tc>
          <w:tcPr>
            <w:tcW w:w="856" w:type="pct"/>
            <w:tcBorders>
              <w:top w:val="nil"/>
              <w:left w:val="nil"/>
              <w:bottom w:val="nil"/>
              <w:right w:val="nil"/>
            </w:tcBorders>
            <w:shd w:val="clear" w:color="auto" w:fill="FFFFFF"/>
            <w:vAlign w:val="center"/>
          </w:tcPr>
          <w:p w14:paraId="7065906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中等，单次输出质量高但多次运行间可能有波动</w:t>
            </w:r>
          </w:p>
        </w:tc>
        <w:tc>
          <w:tcPr>
            <w:tcW w:w="697" w:type="pct"/>
            <w:tcBorders>
              <w:top w:val="nil"/>
              <w:left w:val="nil"/>
              <w:bottom w:val="nil"/>
              <w:right w:val="nil"/>
            </w:tcBorders>
            <w:shd w:val="clear" w:color="auto" w:fill="FFFFFF"/>
            <w:vAlign w:val="center"/>
          </w:tcPr>
          <w:p w14:paraId="4F03138F">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强，具备清晰的逐步推理链条</w:t>
            </w:r>
          </w:p>
        </w:tc>
        <w:tc>
          <w:tcPr>
            <w:tcW w:w="651" w:type="pct"/>
            <w:tcBorders>
              <w:top w:val="nil"/>
              <w:left w:val="nil"/>
              <w:bottom w:val="nil"/>
              <w:right w:val="nil"/>
            </w:tcBorders>
            <w:shd w:val="clear" w:color="auto" w:fill="FFFFFF"/>
            <w:vAlign w:val="center"/>
          </w:tcPr>
          <w:p w14:paraId="6860BD56">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w:t>
            </w:r>
          </w:p>
        </w:tc>
      </w:tr>
      <w:tr w14:paraId="5771C31E">
        <w:trPr>
          <w:trHeight w:val="1060" w:hRule="atLeast"/>
        </w:trPr>
        <w:tc>
          <w:tcPr>
            <w:tcW w:w="830" w:type="pct"/>
            <w:tcBorders>
              <w:top w:val="nil"/>
              <w:left w:val="nil"/>
              <w:bottom w:val="single" w:color="000000" w:sz="12" w:space="0"/>
              <w:right w:val="nil"/>
            </w:tcBorders>
            <w:shd w:val="clear" w:color="auto" w:fill="FFFFFF"/>
            <w:vAlign w:val="center"/>
          </w:tcPr>
          <w:p w14:paraId="0DC7C8D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(4) Few-Shot + CoT + Self-Consistency</w:t>
            </w:r>
          </w:p>
        </w:tc>
        <w:tc>
          <w:tcPr>
            <w:tcW w:w="926" w:type="pct"/>
            <w:tcBorders>
              <w:top w:val="nil"/>
              <w:left w:val="nil"/>
              <w:bottom w:val="single" w:color="000000" w:sz="12" w:space="0"/>
              <w:right w:val="nil"/>
            </w:tcBorders>
            <w:shd w:val="clear" w:color="auto" w:fill="FFFFFF"/>
            <w:vAlign w:val="center"/>
          </w:tcPr>
          <w:p w14:paraId="21115530">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在(3)基础上，生成多个推理路径并进行投票集成</w:t>
            </w:r>
          </w:p>
        </w:tc>
        <w:tc>
          <w:tcPr>
            <w:tcW w:w="1036" w:type="pct"/>
            <w:tcBorders>
              <w:top w:val="nil"/>
              <w:left w:val="nil"/>
              <w:bottom w:val="single" w:color="000000" w:sz="12" w:space="0"/>
              <w:right w:val="nil"/>
            </w:tcBorders>
            <w:shd w:val="clear" w:color="auto" w:fill="FFFFFF"/>
            <w:vAlign w:val="center"/>
          </w:tcPr>
          <w:p w14:paraId="48C87E6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与(3)单次最佳结果一致，但多次运行稳定性显著提高</w:t>
            </w:r>
          </w:p>
        </w:tc>
        <w:tc>
          <w:tcPr>
            <w:tcW w:w="856" w:type="pct"/>
            <w:tcBorders>
              <w:top w:val="nil"/>
              <w:left w:val="nil"/>
              <w:bottom w:val="single" w:color="000000" w:sz="12" w:space="0"/>
              <w:right w:val="nil"/>
            </w:tcBorders>
            <w:shd w:val="clear" w:color="auto" w:fill="FFFFFF"/>
            <w:vAlign w:val="center"/>
          </w:tcPr>
          <w:p w14:paraId="54C3791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高，投票机制有效降低随机误差</w:t>
            </w:r>
          </w:p>
        </w:tc>
        <w:tc>
          <w:tcPr>
            <w:tcW w:w="697" w:type="pct"/>
            <w:tcBorders>
              <w:top w:val="nil"/>
              <w:left w:val="nil"/>
              <w:bottom w:val="single" w:color="000000" w:sz="12" w:space="0"/>
              <w:right w:val="nil"/>
            </w:tcBorders>
            <w:shd w:val="clear" w:color="auto" w:fill="FFFFFF"/>
            <w:vAlign w:val="center"/>
          </w:tcPr>
          <w:p w14:paraId="45E6E62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最强，兼具推理链与多路径一致性验证</w:t>
            </w:r>
          </w:p>
        </w:tc>
        <w:tc>
          <w:tcPr>
            <w:tcW w:w="651" w:type="pct"/>
            <w:tcBorders>
              <w:top w:val="nil"/>
              <w:left w:val="nil"/>
              <w:bottom w:val="single" w:color="000000" w:sz="12" w:space="0"/>
              <w:right w:val="nil"/>
            </w:tcBorders>
            <w:shd w:val="clear" w:color="auto" w:fill="FFFFFF"/>
            <w:vAlign w:val="center"/>
          </w:tcPr>
          <w:p w14:paraId="3798F4BC">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较高</w:t>
            </w:r>
          </w:p>
        </w:tc>
      </w:tr>
    </w:tbl>
    <w:p w14:paraId="7BEC6F12">
      <w:pPr>
        <w:spacing w:line="360" w:lineRule="auto"/>
        <w:rPr>
          <w:rFonts w:hint="eastAsia" w:ascii="Songti SC Regular" w:hAnsi="Songti SC Regular" w:eastAsia="Songti SC Regular" w:cs="Songti SC Regular"/>
          <w:b/>
          <w:bCs/>
          <w:sz w:val="28"/>
          <w:szCs w:val="28"/>
          <w:u w:val="single"/>
          <w:lang w:val="en-US" w:eastAsia="zh-CN"/>
        </w:rPr>
      </w:pPr>
      <w:r>
        <w:rPr>
          <w:rFonts w:hint="eastAsia" w:ascii="Songti SC Regular" w:hAnsi="Songti SC Regular" w:eastAsia="Songti SC Regular" w:cs="Songti SC Regular"/>
          <w:b/>
          <w:bCs/>
          <w:sz w:val="28"/>
          <w:szCs w:val="28"/>
          <w:u w:val="single"/>
          <w:lang w:val="en-US" w:eastAsia="zh-CN"/>
        </w:rPr>
        <w:t>综合以上对比分析，我最终选择了策略(4)：Few-Shot + CoT + Self-Consistency作为本研究的最终模型方案。主要基于以下几点原因：</w:t>
      </w:r>
    </w:p>
    <w:p w14:paraId="4AFDC9DE">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在保持高准确性的前提下，实现了最优的稳定性：策略(3)（Few-Shot + CoT）已显著提升了模型的推理能力和输出准确性，证明了提供领域示例和引导逐步思考的有效性。然而，对于需要可靠部署的应用场景，单次输出的波动性仍是一个风险。策略(4)通过引入Self-Consistency机制，对同一问题生成多个独立的推理路径并进行多数投票，本质上是一种集成学习方法。这显著降低了模型因随机性而产生错误输出的概率，增加了最终答案在多次运行中的高度一致性，从而获得了最高的综合稳定性。</w:t>
      </w:r>
    </w:p>
    <w:p w14:paraId="625D54ED">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强了结果的可靠性与可信度：从业务的角度看，中医辨证讲究“理法方药”的连贯性与一致性。Self-Consistency机制要求模型从多个角度“思考”同一问题，只有当多数推理路径指向同一证型和治法时，该结果才会被采纳。这种“多路径验证”过程模拟了专家会诊或重复检验的思想，使得最终输出不再是单一的、可能受偶然因素影响的判断，而是经过内部交叉验证的、更可信的结论。</w:t>
      </w:r>
    </w:p>
    <w:p w14:paraId="1E01E78C">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平衡了性能与复杂度的关系：尽管策略(4)的实现复杂度高于前三种（需要多次调用模型并进行结果聚合），但其带来的性能收益是显著的。相比于追求极端简化但效果不佳的Zero-Shot，或引入了不稳定自检环节的策略(2)，策略(4)以可接受的额外计算成本（7次独立调用），换取了准确性与稳定性的双重保障。在资源允许的情况下，这是一种性价比较高的优化方案。</w:t>
      </w:r>
    </w:p>
    <w:p w14:paraId="663A6F6F">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提交结果</w:t>
      </w:r>
    </w:p>
    <w:p w14:paraId="41AEE553">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最终，本研究选择策略(4) Few-Shot + CoT + Self-Consistency 作为最终模型，是在本实验条件下，综合考虑准确性、稳定性、可靠性及可解释性后的最优解。它有效地将领域知识（Few-Shot）、结构化推理（CoT）和自我一致性（Self-Consistency）相结合，提供了一个较为鲁棒和有效的提示工程实践方案。</w:t>
      </w:r>
    </w:p>
    <w:p w14:paraId="516BD212">
      <w:p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lang w:val="en-US" w:eastAsia="zh-CN"/>
        </w:rPr>
        <w:t>在prompt中通过Few-shot和CoT模型告知大模型分析的路径和方法：</w:t>
      </w:r>
      <w:r>
        <w:rPr>
          <w:rFonts w:hint="eastAsia" w:ascii="Songti SC Regular" w:hAnsi="Songti SC Regular" w:eastAsia="Songti SC Regular" w:cs="Songti SC Regular"/>
          <w:sz w:val="28"/>
          <w:szCs w:val="28"/>
        </w:rPr>
        <w:drawing>
          <wp:inline distT="0" distB="0" distL="114300" distR="114300">
            <wp:extent cx="5265420" cy="3120390"/>
            <wp:effectExtent l="0" t="0" r="17780" b="381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6"/>
                    <a:stretch>
                      <a:fillRect/>
                    </a:stretch>
                  </pic:blipFill>
                  <pic:spPr>
                    <a:xfrm>
                      <a:off x="0" y="0"/>
                      <a:ext cx="5265420" cy="3120390"/>
                    </a:xfrm>
                    <a:prstGeom prst="rect">
                      <a:avLst/>
                    </a:prstGeom>
                    <a:noFill/>
                    <a:ln>
                      <a:noFill/>
                    </a:ln>
                  </pic:spPr>
                </pic:pic>
              </a:graphicData>
            </a:graphic>
          </wp:inline>
        </w:drawing>
      </w:r>
    </w:p>
    <w:p w14:paraId="3C6F402B">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再通过多次调用实现Self-consistency：</w:t>
      </w:r>
    </w:p>
    <w:p w14:paraId="4B814FB4">
      <w:p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73675" cy="4173220"/>
            <wp:effectExtent l="0" t="0" r="9525" b="1778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7"/>
                    <a:stretch>
                      <a:fillRect/>
                    </a:stretch>
                  </pic:blipFill>
                  <pic:spPr>
                    <a:xfrm>
                      <a:off x="0" y="0"/>
                      <a:ext cx="5273675" cy="4173220"/>
                    </a:xfrm>
                    <a:prstGeom prst="rect">
                      <a:avLst/>
                    </a:prstGeom>
                    <a:noFill/>
                    <a:ln>
                      <a:noFill/>
                    </a:ln>
                  </pic:spPr>
                </pic:pic>
              </a:graphicData>
            </a:graphic>
          </wp:inline>
        </w:drawing>
      </w:r>
    </w:p>
    <w:p w14:paraId="3FB28EFA">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最终提交的预测结果如下，可以看出具有较高的准确性：</w:t>
      </w:r>
    </w:p>
    <w:p w14:paraId="105CF357">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69865" cy="1704340"/>
            <wp:effectExtent l="0" t="0" r="13335" b="2286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8"/>
                    <a:stretch>
                      <a:fillRect/>
                    </a:stretch>
                  </pic:blipFill>
                  <pic:spPr>
                    <a:xfrm>
                      <a:off x="0" y="0"/>
                      <a:ext cx="5269865" cy="1704340"/>
                    </a:xfrm>
                    <a:prstGeom prst="rect">
                      <a:avLst/>
                    </a:prstGeom>
                    <a:noFill/>
                    <a:ln>
                      <a:noFill/>
                    </a:ln>
                  </pic:spPr>
                </pic:pic>
              </a:graphicData>
            </a:graphic>
          </wp:inline>
        </w:drawing>
      </w:r>
    </w:p>
    <w:p w14:paraId="7BCF509F">
      <w:pPr>
        <w:spacing w:line="360" w:lineRule="auto"/>
        <w:rPr>
          <w:rFonts w:hint="eastAsia" w:ascii="Songti SC Regular" w:hAnsi="Songti SC Regular" w:eastAsia="Songti SC Regular" w:cs="Songti SC Regular"/>
          <w:sz w:val="28"/>
          <w:szCs w:val="28"/>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2">
    <w:p>
      <w:r>
        <w:separator/>
      </w:r>
    </w:p>
  </w:endnote>
  <w:endnote w:type="continuationSeparator" w:id="13">
    <w:p>
      <w:r>
        <w:continuationSeparator/>
      </w:r>
    </w:p>
  </w:endnote>
  <w:endnote w:id="0">
    <w:p w14:paraId="1AF9654C">
      <w:pPr>
        <w:pStyle w:val="9"/>
        <w:snapToGrid w:val="0"/>
        <w:rPr>
          <w:rFonts w:hint="default" w:ascii="Times New Roman Regular" w:hAnsi="Times New Roman Regular" w:cs="Times New Roman Regular"/>
          <w:sz w:val="28"/>
          <w:szCs w:val="28"/>
        </w:rPr>
      </w:pPr>
      <w:r>
        <w:rPr>
          <w:rStyle w:val="8"/>
        </w:rPr>
        <w:t>[</w:t>
      </w:r>
      <w:r>
        <w:rPr>
          <w:rStyle w:val="8"/>
        </w:rPr>
        <w:endnoteRef/>
      </w:r>
      <w:r>
        <w:rPr>
          <w:rStyle w:val="8"/>
        </w:rPr>
        <w:t>]</w:t>
      </w:r>
      <w:r>
        <w:rPr>
          <w:rFonts w:hint="default" w:ascii="Times New Roman Regular" w:hAnsi="Times New Roman Regular" w:cs="Times New Roman Regular"/>
          <w:sz w:val="28"/>
          <w:szCs w:val="28"/>
        </w:rPr>
        <w:t xml:space="preserve"> https://github.com/dair-ai/Prompt-Engineering-Guide/tree/main/guides</w:t>
      </w:r>
    </w:p>
  </w:endnote>
  <w:endnote w:id="1">
    <w:p w14:paraId="270E037B">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Hagendorff T, Fabi S, Kosinski M. Thinking fast and slow in large language models[J]. arXiv preprint arXiv:2212.05206, 2022.</w:t>
      </w:r>
    </w:p>
  </w:endnote>
  <w:endnote w:id="2">
    <w:p w14:paraId="595A8241">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Brown T, Mann B, Ryder N, et al. Language models are few-shot learners[J]. Advances in neural information processing systems, 2020, 33: 1877-1901.</w:t>
      </w:r>
    </w:p>
  </w:endnote>
  <w:endnote w:id="3">
    <w:p w14:paraId="51384CB9">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Kojima T, Gu S S, Reid M, et al. Large language models are zero-shot reasoners[J]. Advances in neural information processing systems, 2022, 35: 22199-22213.</w:t>
      </w:r>
    </w:p>
  </w:endnote>
  <w:endnote w:id="4">
    <w:p w14:paraId="00B0E2FD">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Wei J, Wang X, Schuurmans D, et al. Chain-of-thought prompting elicits reasoning in large language models[J]. Advances in neural information processing systems, 2022, 35: 24824-24837.</w:t>
      </w:r>
    </w:p>
  </w:endnote>
  <w:endnote w:id="5">
    <w:p w14:paraId="426CC973">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Wang X, Wei J, Schuurmans D, et al. Self-consistency improves chain of thought reasoning in language models[J]. arXiv preprint arXiv:2203.11171, 2022.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ourier New">
    <w:panose1 w:val="02070609020205020404"/>
    <w:charset w:val="01"/>
    <w:family w:val="modern"/>
    <w:pitch w:val="default"/>
    <w:sig w:usb0="E0002AFF" w:usb1="C0007843" w:usb2="00000009" w:usb3="00000000" w:csb0="400001FF" w:csb1="FFFF0000"/>
  </w:font>
  <w:font w:name="Songti SC Regular">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Wingdings">
    <w:panose1 w:val="05000000000000000000"/>
    <w:charset w:val="02"/>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F9278"/>
    <w:multiLevelType w:val="singleLevel"/>
    <w:tmpl w:val="AEBF9278"/>
    <w:lvl w:ilvl="0" w:tentative="0">
      <w:start w:val="1"/>
      <w:numFmt w:val="bullet"/>
      <w:lvlText w:val=""/>
      <w:lvlJc w:val="left"/>
      <w:pPr>
        <w:ind w:left="420" w:hanging="420"/>
      </w:pPr>
      <w:rPr>
        <w:rFonts w:hint="default" w:ascii="Wingdings" w:hAnsi="Wingdings"/>
      </w:rPr>
    </w:lvl>
  </w:abstractNum>
  <w:abstractNum w:abstractNumId="1">
    <w:nsid w:val="FDF3160E"/>
    <w:multiLevelType w:val="singleLevel"/>
    <w:tmpl w:val="FDF3160E"/>
    <w:lvl w:ilvl="0" w:tentative="0">
      <w:start w:val="1"/>
      <w:numFmt w:val="decimal"/>
      <w:suff w:val="nothing"/>
      <w:lvlText w:val="%1、"/>
      <w:lvlJc w:val="left"/>
    </w:lvl>
  </w:abstractNum>
  <w:abstractNum w:abstractNumId="2">
    <w:nsid w:val="FFDE66E5"/>
    <w:multiLevelType w:val="singleLevel"/>
    <w:tmpl w:val="FFDE66E5"/>
    <w:lvl w:ilvl="0" w:tentative="0">
      <w:start w:val="2"/>
      <w:numFmt w:val="chineseCounting"/>
      <w:suff w:val="nothing"/>
      <w:lvlText w:val="%1、"/>
      <w:lvlJc w:val="left"/>
      <w:rPr>
        <w:rFonts w:hint="eastAsia"/>
      </w:rPr>
    </w:lvl>
  </w:abstractNum>
  <w:abstractNum w:abstractNumId="3">
    <w:nsid w:val="6F6AA8CC"/>
    <w:multiLevelType w:val="singleLevel"/>
    <w:tmpl w:val="6F6AA8CC"/>
    <w:lvl w:ilvl="0" w:tentative="0">
      <w:start w:val="1"/>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12"/>
    <w:endnote w:id="13"/>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1BD3F"/>
    <w:rsid w:val="4F8B2C43"/>
    <w:rsid w:val="5FFBF73F"/>
    <w:rsid w:val="7557AC14"/>
    <w:rsid w:val="7F5B3E90"/>
    <w:rsid w:val="7FB1BD3F"/>
    <w:rsid w:val="9FFFDF4E"/>
    <w:rsid w:val="F73FCBA1"/>
    <w:rsid w:val="F7776F24"/>
    <w:rsid w:val="FDF88099"/>
    <w:rsid w:val="FEF0E785"/>
    <w:rsid w:val="FF2C2DF0"/>
    <w:rsid w:val="FFFEE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ndnote reference"/>
    <w:basedOn w:val="6"/>
    <w:uiPriority w:val="0"/>
    <w:rPr>
      <w:vertAlign w:val="superscript"/>
    </w:rPr>
  </w:style>
  <w:style w:type="paragraph" w:styleId="9">
    <w:name w:val="endnote text"/>
    <w:basedOn w:val="1"/>
    <w:uiPriority w:val="0"/>
    <w:pPr>
      <w:snapToGrid w:val="0"/>
      <w:jc w:val="left"/>
    </w:pPr>
  </w:style>
  <w:style w:type="character" w:styleId="10">
    <w:name w:val="HTML Code"/>
    <w:basedOn w:val="6"/>
    <w:uiPriority w:val="0"/>
    <w:rPr>
      <w:rFonts w:ascii="Courier New" w:hAnsi="Courier New"/>
      <w:sz w:val="20"/>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character" w:styleId="13">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endnotes" Target="end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2025-12-10T04:12:00Z</dcterms:created>
  <dc:creator>Anonymous</dc:creator>
  <cp:lastModifiedBy>Anonymous</cp:lastModifiedBy>
  <dcterms:modified xsi:type="dcterms:W3CDTF">2026-06-21T19:45:30Z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F2FCE763BD7FD35222123869FF7A77E2_41</vt:lpwstr>
  </property>
</Properties>
</file>