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78F4" w14:textId="7A4882D0" w:rsidR="00E02A39" w:rsidRDefault="00000000" w:rsidP="00DA795F">
      <w:pPr>
        <w:pStyle w:val="Heading2"/>
        <w:spacing w:before="240"/>
      </w:pPr>
      <w:bookmarkStart w:id="0" w:name="introduction"/>
      <w:r>
        <w:t>Introduction</w:t>
      </w:r>
    </w:p>
    <w:p w14:paraId="5CC40507" w14:textId="77777777" w:rsidR="00E02A39" w:rsidRDefault="00000000">
      <w:r>
        <w:t>À travers le Canada, près de 300 communautés, surtout autochtones et isolées, fonctionnent avec des micro-réseaux électriques non reliés au réseau principal. Leur production repose largement sur des génératrices au diesel, entraînant des coûts six à dix fois supérieurs à la moyenne et rendant le chauffage électrique inaccessible. Cela force le recours à des chaudières au mazout, amplifiant la dépendance aux combustibles fossiles et les émissions polluantes, en plus de poser des défis logistiques liés au transport (glace, maritime). Étant donné les enjeux économiques et environnementaux, et en accord avec les stratégies nationales et territoriales de décarbonation, la conversion à des sources d’énergie plus propres et moins coûteuses devient un impératif pour le développement durable et la transition énergétique des régions isolées.</w:t>
      </w:r>
    </w:p>
    <w:p w14:paraId="6701B5F5" w14:textId="2170CF3F" w:rsidR="00E02A39" w:rsidRPr="003B3B08" w:rsidRDefault="00000000">
      <w:pPr>
        <w:rPr>
          <w:color w:val="0070C0"/>
        </w:rPr>
      </w:pPr>
      <w:r w:rsidRPr="003B3B08">
        <w:rPr>
          <w:color w:val="0070C0"/>
        </w:rPr>
        <w:t xml:space="preserve">L’intégration massive d’énergies renouvelables intermittentes, bien que prometteuse, soulève un défi majeur : la coordination d’une multitude de ressources énergétiques distribuées (production, stockage, charges flexibles) pour optimiser leur performance individuelle tout en garantissant la sécurité et la stabilité physique du réseau global. Une gestion purement décentralisée risque de violer les contraintes du réseau, tandis qu’une approche centralisée est peu scalable et moins résiliente. La littérature scientifique récente confirme que les approches de contrôle hiérarchique sont une solution de premier plan pour gérer cette complexité, et l’intégration de techniques d’apprentissage automatique est de plus en plus reconnue pour améliorer la robustesse et l’optimalité de ces systèmes. Pour relever ce défi, ce projet propose une </w:t>
      </w:r>
      <w:r w:rsidRPr="003B3B08">
        <w:rPr>
          <w:b/>
          <w:bCs/>
          <w:color w:val="0070C0"/>
        </w:rPr>
        <w:t>approche de gestion hiérarchique et intelligente du risque</w:t>
      </w:r>
      <w:r w:rsidRPr="003B3B08">
        <w:rPr>
          <w:color w:val="0070C0"/>
        </w:rPr>
        <w:t xml:space="preserve">. D’une part, nous développerons un cadre de planification basé sur des </w:t>
      </w:r>
      <w:r w:rsidRPr="003B3B08">
        <w:rPr>
          <w:b/>
          <w:bCs/>
          <w:color w:val="0070C0"/>
        </w:rPr>
        <w:t>Enveloppes Opérationnelles Dynamiques (DOEs)</w:t>
      </w:r>
      <w:r w:rsidR="00041DE0" w:rsidRPr="003B3B08">
        <w:rPr>
          <w:color w:val="0070C0"/>
        </w:rPr>
        <w:t>,</w:t>
      </w:r>
      <w:r w:rsidRPr="003B3B08">
        <w:rPr>
          <w:color w:val="0070C0"/>
        </w:rPr>
        <w:t xml:space="preserve"> des limites sur la puissance pouvant être importée ou exportée à chaque point de connexion</w:t>
      </w:r>
      <w:r w:rsidR="00041DE0" w:rsidRPr="003B3B08">
        <w:rPr>
          <w:color w:val="0070C0"/>
        </w:rPr>
        <w:t>,</w:t>
      </w:r>
      <w:r w:rsidRPr="003B3B08">
        <w:rPr>
          <w:color w:val="0070C0"/>
        </w:rPr>
        <w:t xml:space="preserve"> qui garantissent l’opération sécuritaire du réseau en prévenant les surcharges et les instabilités de tension. Ces DOEs seront calculées par optimisation stochastique pour gérer l’incertitude à l’avance. D’autre part, à l’intérieur de ces enveloppes, des algorithmes d’optimisation distribuée basés sur l’</w:t>
      </w:r>
      <w:r w:rsidRPr="003B3B08">
        <w:rPr>
          <w:b/>
          <w:bCs/>
          <w:color w:val="0070C0"/>
        </w:rPr>
        <w:t>apprentissage par renforcement multi-agents (MARL)</w:t>
      </w:r>
      <w:r w:rsidRPr="003B3B08">
        <w:rPr>
          <w:color w:val="0070C0"/>
        </w:rPr>
        <w:t xml:space="preserve"> permettront une gestion coordonnée et en temps réel des ressources, visant à équilibrer les objectifs de coût, de fiabilité et de confort des usagers.</w:t>
      </w:r>
    </w:p>
    <w:p w14:paraId="47AE5EBB" w14:textId="77777777" w:rsidR="00E02A39" w:rsidRPr="003B3B08" w:rsidRDefault="00000000">
      <w:pPr>
        <w:rPr>
          <w:color w:val="0070C0"/>
        </w:rPr>
      </w:pPr>
      <w:r w:rsidRPr="003B3B08">
        <w:rPr>
          <w:color w:val="0070C0"/>
        </w:rPr>
        <w:t xml:space="preserve">Cette approche s’appuiera sur des </w:t>
      </w:r>
      <w:r w:rsidRPr="003B3B08">
        <w:rPr>
          <w:b/>
          <w:bCs/>
          <w:color w:val="0070C0"/>
        </w:rPr>
        <w:t>modèles électrothermiques multi-échelles pilotés par les données</w:t>
      </w:r>
      <w:r w:rsidRPr="003B3B08">
        <w:rPr>
          <w:color w:val="0070C0"/>
        </w:rPr>
        <w:t xml:space="preserve">, considérant les bâtiments comme des éléments actifs de stockage thermique pour une meilleure gestion de l’intermittence. Le programme inclut également le développement de </w:t>
      </w:r>
      <w:r w:rsidRPr="003B3B08">
        <w:rPr>
          <w:b/>
          <w:bCs/>
          <w:color w:val="0070C0"/>
        </w:rPr>
        <w:t>modèles économiques équitables</w:t>
      </w:r>
      <w:r w:rsidRPr="003B3B08">
        <w:rPr>
          <w:color w:val="0070C0"/>
        </w:rPr>
        <w:t xml:space="preserve"> pour valoriser la flexibilité des utilisateurs et assurer leur engagement. Un enjeu clé sera de valider ces modèles afin de gérer les risques d’inconfort liés aux limitations de puissance dynamiques, garantissant ainsi une opération à la fois optimisée et sécuritaire. L’objectif final est de développer et valider l’ensemble de ces stratégies via une </w:t>
      </w:r>
      <w:r w:rsidRPr="003B3B08">
        <w:rPr>
          <w:b/>
          <w:bCs/>
          <w:color w:val="0070C0"/>
        </w:rPr>
        <w:t>analyse technico-économique</w:t>
      </w:r>
      <w:r w:rsidRPr="003B3B08">
        <w:rPr>
          <w:color w:val="0070C0"/>
        </w:rPr>
        <w:t xml:space="preserve"> et un cadre de cosimulation intégré, afin de produire des guides de conception robustes qui permettront aux communautés et aux décideurs de piloter efficacement leur transition énergétique.</w:t>
      </w:r>
    </w:p>
    <w:p w14:paraId="077506E6" w14:textId="77777777" w:rsidR="00E02A39" w:rsidRDefault="00000000">
      <w:pPr>
        <w:pStyle w:val="Heading2"/>
      </w:pPr>
      <w:bookmarkStart w:id="1" w:name="progrès-réalisés-récemment"/>
      <w:bookmarkEnd w:id="0"/>
      <w:r>
        <w:t>Progrès réalisés récemment</w:t>
      </w:r>
    </w:p>
    <w:p w14:paraId="2F966CAA" w14:textId="77777777" w:rsidR="00E02A39" w:rsidRDefault="00000000">
      <w:r>
        <w:t>Nos travaux des six dernières années, soutenus par le CRSNG, ont jeté les bases d’une gestion thermoénergétique distribuée pour les réseaux autonomes. Nos progrès se concentrent sur trois axes principaux :</w:t>
      </w:r>
    </w:p>
    <w:p w14:paraId="38D377B2" w14:textId="77777777" w:rsidR="00E02A39" w:rsidRDefault="00000000">
      <w:pPr>
        <w:pStyle w:val="Heading3"/>
      </w:pPr>
      <w:bookmarkStart w:id="2" w:name="Xfdd004a954f8f828d3ef7035ef608f2106fd448"/>
      <w:r>
        <w:t>Axe 1 : Modélisation et Caractérisation des Systèmes Énergétiques</w:t>
      </w:r>
    </w:p>
    <w:p w14:paraId="23A3BB83" w14:textId="77777777" w:rsidR="00E02A39" w:rsidRDefault="00000000">
      <w:r>
        <w:t xml:space="preserve">Dans le contexte de ce premier axe, nos efforts se sont concentrés sur le développement d’une expertise pointue en modélisation thermo-énergétique des bâtiments, particulièrement en climat froid [1]. Nous avons créé des modèles prédictifs de consommation pour l’identification en temps réel des systèmes de chauffage. Nos méthodes s’attaquent aux problèmes de </w:t>
      </w:r>
      <w:r>
        <w:rPr>
          <w:i/>
          <w:iCs/>
        </w:rPr>
        <w:t>data and concept drift</w:t>
      </w:r>
      <w:r>
        <w:t xml:space="preserve"> pour améliorer l’automatisation du processus de modélisation [2], [3] et à la quantification de l’incertitude dans les prévisions de charge [4]. Récemment, nous avons intégré et validé le comportement des systèmes de stockage thermique (ETS) via des approches de co-simulation distribuée (EnergyPlus, Modelica), nous permettant de créer des jumeaux numériques pour analyser des scénarios complexes en conditions nordiques et de démontrer des économies potentielles allant jusqu’à 45% [5]. Nos travaux incluent aussi la génération automatisée de modèles RC pour les études de flexibilité énergétique [6] et la modélisation des systèmes de stockage thermique [7].</w:t>
      </w:r>
    </w:p>
    <w:p w14:paraId="5B5D4DE1" w14:textId="77777777" w:rsidR="00E02A39" w:rsidRDefault="00000000">
      <w:pPr>
        <w:pStyle w:val="Heading3"/>
      </w:pPr>
      <w:bookmarkStart w:id="3" w:name="Xb52444e5e895717bb6cd98322f76440a87966c3"/>
      <w:bookmarkEnd w:id="2"/>
      <w:r>
        <w:t>Axe 2 : Développement de Stratégies de Contrôle Distribué</w:t>
      </w:r>
    </w:p>
    <w:p w14:paraId="2581A0E8" w14:textId="77777777" w:rsidR="00E02A39" w:rsidRDefault="00000000">
      <w:r>
        <w:t xml:space="preserve">Pour ce deuxième axe, l’accent a été mis sur la conception et la validation d’algorithmes de gestion distribuée basés sur les systèmes multi-agents (SMA) et l’apprentissage automatique pour la coordination décentralisée des ressources énergétiques [8]. Ces </w:t>
      </w:r>
      <w:r>
        <w:lastRenderedPageBreak/>
        <w:t xml:space="preserve">systèmes permettent d’exploiter les sources diverses de données, pourront s’adapter et apprendre des environnements changeants et fourniront de réponses en temps réel en fonction de multiples objectifs tels que l’efficacité, la stabilité et la fiabilité. Nos recherches sur les marchés locaux de flexibilité ont mené à la création de plateformes de test ouvertes comme ORFLEX, une plateforme </w:t>
      </w:r>
      <w:r>
        <w:rPr>
          <w:i/>
          <w:iCs/>
        </w:rPr>
        <w:t>open-source</w:t>
      </w:r>
      <w:r>
        <w:t xml:space="preserve"> pour le test et le déploiement rapide de marchés de flexibilité locaux, qui est scalable et sécurisée grâce à une infrastructure cloud et edge [9]. Nous avons également exploré la programmation stochastique et la gestion du risque pour une gestion robuste des incertitudes [10], [11], [12]. Une étude de cas à Kuujjuaq a montré que notre approche de coordination stochastique des ETS peut réduire la consommation de diesel de plus de 35% [10]. Nos travaux ont aussi porté sur l’évaluation de l’impact des mécanismes de tarification sur les marchés d’énergie transactifs [13], [14] et sur la coordination coopérative des prosumers résidentiels via le MARL et la théorie des jeux [15].</w:t>
      </w:r>
    </w:p>
    <w:p w14:paraId="7906BAE5" w14:textId="77777777" w:rsidR="00E02A39" w:rsidRDefault="00000000">
      <w:pPr>
        <w:pStyle w:val="Heading3"/>
      </w:pPr>
      <w:bookmarkStart w:id="4" w:name="X8b15ac82882c254ab7440ebce4d87a02fdb8be4"/>
      <w:bookmarkEnd w:id="3"/>
      <w:r>
        <w:t>Axe 3 : Intégration et Dimensionnement Optimal du Stockage</w:t>
      </w:r>
    </w:p>
    <w:p w14:paraId="123CE27F" w14:textId="77777777" w:rsidR="00E02A39" w:rsidRDefault="00000000">
      <w:r>
        <w:t>Dans le cadre de ce troisième axe, nous avons mené des études approfondies sur le dimensionnement et l’opération de systèmes de stockage thermique électrique (ETS) pour les bâtiments résidentiels, démontrant leur potentiel pour réduire les pointes de consommation et les coûts [9]. Parallèlement, nous avons analysé le potentiel du stockage saisonnier de l’hydrogène comme solution de secours pour les micro-réseaux à forte pénétration d’énergies renouvelables. Notre méthodologie de dimensionnement optimal, qui considère des actifs partagés pour les électrolyseurs et des piles à combustible individuelles avec récupération de chaleur, a confirmé sa faisabilité technico-économique pour améliorer la résilience en exploitant un schéma de stockage saisonnier (stockage en été, utilisation en hiver) [16]. L’Institut de Recherche sur l’Hydrogène a contribué développer des expertises permettant d’améliorer l’efficacité des technologies de l’hydrogène dans des environnements très froids.</w:t>
      </w:r>
    </w:p>
    <w:p w14:paraId="44C9ECFD" w14:textId="77777777" w:rsidR="00E02A39" w:rsidRDefault="00000000">
      <w:r>
        <w:t>Ces avancées, validées par de nombreuses publications, ont consolidé notre expertise en gestion intégrée des systèmes énergétiques en climat froid et constituent une base solide pour la prochaine étape de notre programme.</w:t>
      </w:r>
    </w:p>
    <w:p w14:paraId="1195915C" w14:textId="77777777" w:rsidR="00E02A39" w:rsidRDefault="00000000">
      <w:pPr>
        <w:pStyle w:val="Heading2"/>
      </w:pPr>
      <w:bookmarkStart w:id="5" w:name="objectifs"/>
      <w:bookmarkEnd w:id="1"/>
      <w:bookmarkEnd w:id="4"/>
      <w:r>
        <w:t>Objectifs</w:t>
      </w:r>
    </w:p>
    <w:p w14:paraId="31F63C08" w14:textId="77777777" w:rsidR="00E02A39" w:rsidRDefault="00000000">
      <w:pPr>
        <w:pStyle w:val="Heading3"/>
      </w:pPr>
      <w:bookmarkStart w:id="6" w:name="objectif-à-long-terme"/>
      <w:r>
        <w:t>Objectif à long terme</w:t>
      </w:r>
    </w:p>
    <w:p w14:paraId="4E69CEEE" w14:textId="3607621A" w:rsidR="00E02A39" w:rsidRDefault="00000000">
      <w:r>
        <w:t xml:space="preserve">L’objectif à long terme consiste à développer de stratégies pour la gestion </w:t>
      </w:r>
      <w:commentRangeStart w:id="7"/>
      <w:r w:rsidR="00FE4C08" w:rsidRPr="00892481">
        <w:rPr>
          <w:color w:val="0070C0"/>
        </w:rPr>
        <w:t>thermo énergétique</w:t>
      </w:r>
      <w:r w:rsidRPr="00892481">
        <w:rPr>
          <w:color w:val="0070C0"/>
        </w:rPr>
        <w:t xml:space="preserve"> </w:t>
      </w:r>
      <w:commentRangeEnd w:id="7"/>
      <w:r w:rsidR="00892481">
        <w:rPr>
          <w:rStyle w:val="CommentReference"/>
        </w:rPr>
        <w:commentReference w:id="7"/>
      </w:r>
      <w:r>
        <w:t>distribuée des réseaux autonomes canadiens ayant une forte pénétration de sources renouvelables intermittentes. Ces stratégies utiliseront des technologies de l’information et de la communication afin de faciliter la coordination et la coopération entre les différentes unités du réseau. Les stations et services météorologiques, les thermostats communicants, les compteurs intelligents et l’infrastructure de mesurage avancé (AMI) fourniront des données exploitables dans la modélisation et opération du réseau.</w:t>
      </w:r>
    </w:p>
    <w:p w14:paraId="4C345A00" w14:textId="544B4906" w:rsidR="00E02A39" w:rsidRDefault="00000000" w:rsidP="00FE4C08">
      <w:pPr>
        <w:pStyle w:val="Heading3"/>
        <w:tabs>
          <w:tab w:val="left" w:pos="8727"/>
        </w:tabs>
      </w:pPr>
      <w:bookmarkStart w:id="8" w:name="objectifs-spécifiques"/>
      <w:bookmarkEnd w:id="6"/>
      <w:r>
        <w:t>Objectifs spécifiques</w:t>
      </w:r>
      <w:r w:rsidR="00FE4C08">
        <w:tab/>
      </w:r>
    </w:p>
    <w:p w14:paraId="0F6D8E2A" w14:textId="77777777" w:rsidR="00E02A39" w:rsidRDefault="00000000">
      <w:r>
        <w:t>Pour répondre aux défis identifiés dans l’introduction, le programme s’articule autour de cinq objectifs scientifiques et techniques fondamentaux :</w:t>
      </w:r>
    </w:p>
    <w:p w14:paraId="78F3A4C4" w14:textId="77777777" w:rsidR="00E02A39" w:rsidRDefault="00000000">
      <w:r>
        <w:rPr>
          <w:b/>
          <w:bCs/>
        </w:rPr>
        <w:t>1. Développer des modèles électrothermiques multi-échelles pilotés par les données :</w:t>
      </w:r>
      <w:r>
        <w:t xml:space="preserve"> Créer des modèles </w:t>
      </w:r>
      <w:r>
        <w:rPr>
          <w:i/>
          <w:iCs/>
        </w:rPr>
        <w:t>data-driven</w:t>
      </w:r>
      <w:r>
        <w:t xml:space="preserve"> qui capturent les particularités thermiques des résidences du nord canadien. Ces modèles simuleront le comportement dynamique des composantes clés du réseau : production renouvelable stochastique (éolien/solaire), systèmes de stockage hybrides (batteries, hydrogène, thermique), et charges résidentielles, en intégrant la physique du bâtiment et les habitudes de consommation.</w:t>
      </w:r>
    </w:p>
    <w:p w14:paraId="3604E64B" w14:textId="77777777" w:rsidR="00E02A39" w:rsidRDefault="00000000">
      <w:r>
        <w:rPr>
          <w:b/>
          <w:bCs/>
        </w:rPr>
        <w:t>2. Concevoir un cadre de gestion basé sur les enveloppes opérationnelles dynamiques (DOEs) :</w:t>
      </w:r>
      <w:r>
        <w:t xml:space="preserve"> Développer des méthodologies pour définir des limites de puissance (DOEs) à court terme (jusqu’à 24 heures) qui garantissent la sécurité du réseau face aux incertitudes. Cet objectif inclut l’étude de l’optimisation stochastique pour la définition de ces enveloppes et la conception de mécanismes équitables pour leur allocation.</w:t>
      </w:r>
    </w:p>
    <w:p w14:paraId="7503A515" w14:textId="77777777" w:rsidR="00E02A39" w:rsidRDefault="00000000">
      <w:r>
        <w:rPr>
          <w:b/>
          <w:bCs/>
        </w:rPr>
        <w:t>3. Concevoir des algorithmes d’optimisation distribuée basés sur le MARL :</w:t>
      </w:r>
      <w:r>
        <w:t xml:space="preserve"> Développer des stratégies de contrôle avancées basées sur l’apprentissage par renforcement multi-agents (MARL) pour la gestion optimisée et coordonnée des ressources énergétiques </w:t>
      </w:r>
      <w:r>
        <w:rPr>
          <w:i/>
          <w:iCs/>
        </w:rPr>
        <w:t>à l’intérieur</w:t>
      </w:r>
      <w:r>
        <w:t xml:space="preserve"> des limites fixées par les DOEs. Ces algorithmes viseront à équilibrer en temps réel les objectifs de coût, de fiabilité, d’efficacité et de confort des usagers, tout en intégrant des mécanismes de flexibilité en temps réel.</w:t>
      </w:r>
    </w:p>
    <w:p w14:paraId="27E10EAA" w14:textId="77777777" w:rsidR="00E02A39" w:rsidRDefault="00000000">
      <w:r>
        <w:rPr>
          <w:b/>
          <w:bCs/>
        </w:rPr>
        <w:lastRenderedPageBreak/>
        <w:t>4. Réaliser une analyse technico-économique et de modèles d’affaires :</w:t>
      </w:r>
      <w:r>
        <w:t xml:space="preserve"> Mener une évaluation technico-économique comparative des architectures de systèmes, mais aussi développer des modèles économiques et des mécanismes incitatifs visant à motiver la participation des utilisateurs au respect des DOEs et à la fourniture de flexibilité.</w:t>
      </w:r>
    </w:p>
    <w:p w14:paraId="7FFC694B" w14:textId="77777777" w:rsidR="00E02A39" w:rsidRDefault="00000000">
      <w:r>
        <w:rPr>
          <w:b/>
          <w:bCs/>
        </w:rPr>
        <w:t>5. Construire et valider un cadre de cosimulation intégré :</w:t>
      </w:r>
      <w:r>
        <w:t xml:space="preserve"> Évaluer la performance, la robustesse et la viabilité technico-économique des solutions proposées via un cadre de cosimulation. L’objectif est de produire des recommandations validées et des guides de conception pour les communautés isolées.</w:t>
      </w:r>
    </w:p>
    <w:p w14:paraId="116064C6" w14:textId="77777777" w:rsidR="00E02A39" w:rsidRDefault="00000000">
      <w:pPr>
        <w:pStyle w:val="Heading2"/>
      </w:pPr>
      <w:bookmarkStart w:id="9" w:name="revue-de-la-littérature"/>
      <w:bookmarkEnd w:id="5"/>
      <w:bookmarkEnd w:id="8"/>
      <w:r>
        <w:t>Revue de la littérature</w:t>
      </w:r>
    </w:p>
    <w:p w14:paraId="308A5285" w14:textId="0D07E786" w:rsidR="00E02A39" w:rsidRDefault="00000000">
      <w:r>
        <w:t>La décarbonation des systèmes électriques est un pilier de la transition énergétique mondiale, un enjeu particulièrement critique pour les réseaux autonomes dépendants des combustibles fossiles. Dans les réseaux autonomes, l’intégration massive d’énergies renouvelables intermittentes est une solution prometteuse, mais elle introduit une complexité de gestion significative. La littérature s’accorde sur la nécessité de recourir à la flexibilité de la demande et au stockage pour pallier cette intermittence. La littérature a exploré avec succès les systèmes multi-agents (SMA) et l’apprentissage automatique pour la coordination décentralisée de ces ressources, une approche qui a récemment démontré des améliorations significatives en matière de fiabilité, d’efficacité et de coûts [17]. De plus, l’application du MARL a été étendue à des systèmes complexes incluant le stockage d’hydrogène [8], et de nouvelles approches comme l’apprentissage fédéré sont explorées pour garantir la confidentialité des données [18].</w:t>
      </w:r>
      <w:r w:rsidR="009A5B7A">
        <w:t xml:space="preserve"> </w:t>
      </w:r>
      <w:r>
        <w:t>Parallèlement, le dimensionnement et l’opération optimale des systèmes de stockage d’énergie sont fondamentaux pour minimiser le risque de manque d’énergie pour les consommateurs. Des études récentes soulignent que le dimensionnement optimal des systèmes de stockage, axé sur la résilience, est crucial pour garantir la continuité de l’approvisionnement dans les micro-réseaux isolés, en particulier face à des pannes prolongées ou des conditions météorologiques extrêmes [19], [20].</w:t>
      </w:r>
    </w:p>
    <w:p w14:paraId="458C89EA" w14:textId="77777777" w:rsidR="00E02A39" w:rsidRDefault="00000000">
      <w:r>
        <w:t xml:space="preserve">Cependant, une lacune majeure persiste : la coordination doit non seulement être optimale du point de vue des utilisateurs, mais aussi garantir la sécurité physique du réseau à chaque instant. Une approche de pointe pour répondre à ce défi est l’utilisation des </w:t>
      </w:r>
      <w:r>
        <w:rPr>
          <w:b/>
          <w:bCs/>
        </w:rPr>
        <w:t>Enveloppes Opérationnelles Dynamiques (DOEs)</w:t>
      </w:r>
      <w:r>
        <w:t>, un domaine qui a fait l’objet de récentes revues approfondies [21]. Les DOEs définissent, pour un horizon de temps donné (par exemple, les prochaines 24 heures), les limites de puissance (import/export) à chaque point de connexion pour assurer que le réseau opère dans ses limites de sécurité (tension, charge thermique) [22], [23].</w:t>
      </w:r>
    </w:p>
    <w:p w14:paraId="3B93A86E" w14:textId="77777777" w:rsidR="00E02A39" w:rsidRDefault="00000000">
      <w:r>
        <w:t xml:space="preserve">L’un des défis majeurs dans la définition de ces enveloppes est la </w:t>
      </w:r>
      <w:r>
        <w:rPr>
          <w:b/>
          <w:bCs/>
        </w:rPr>
        <w:t>gestion de l’incertitude</w:t>
      </w:r>
      <w:r>
        <w:t>. La production renouvelable et la consommation sont intrinsèquement stochastiques. Fixer des limites déterministes peut être soit trop conservateur (limitant la participation des DERs), soit trop risqué. La littérature s’oriente donc vers des approches probabilistes comme l’</w:t>
      </w:r>
      <w:r>
        <w:rPr>
          <w:b/>
          <w:bCs/>
        </w:rPr>
        <w:t>optimisation stochastique</w:t>
      </w:r>
      <w:r>
        <w:t xml:space="preserve"> pour calculer des enveloppes qui optimisent la performance en moyenne [24], [25]. Parallèlement, pour garantir la résilience face aux événements extrêmes, l’</w:t>
      </w:r>
      <w:r>
        <w:rPr>
          <w:b/>
          <w:bCs/>
        </w:rPr>
        <w:t>optimisation robuste</w:t>
      </w:r>
      <w:r>
        <w:t xml:space="preserve"> est de plus en plus utilisée pour le dimensionnement et l’opération, car elle vise à garantir la performance du système même dans les pires scénarios. Des cadres d’optimisation stochastique sont également développés pour la gestion des micro-réseaux multi-ressources, garantissant un équilibre entre les objectifs économiques et de fiabilité [26], et pour la gestion des échanges d’énergie et de carbone entre micro-réseaux [27].</w:t>
      </w:r>
    </w:p>
    <w:p w14:paraId="2AB1564F" w14:textId="34C65D4A" w:rsidR="00E02A39" w:rsidRPr="00892481" w:rsidRDefault="00000000">
      <w:pPr>
        <w:rPr>
          <w:color w:val="0070C0"/>
        </w:rPr>
      </w:pPr>
      <w:r w:rsidRPr="00892481">
        <w:rPr>
          <w:color w:val="0070C0"/>
        </w:rPr>
        <w:t xml:space="preserve">Toutefois, la fixation de limites, même robustes, soulève une deuxième question: que se passe-t-il lorsque les conditions réelles s’écartent des prévisions ? La littérature existante montre que la planification à court terme via les DOEs doit impérativement être couplée à des </w:t>
      </w:r>
      <w:r w:rsidRPr="00892481">
        <w:rPr>
          <w:b/>
          <w:bCs/>
          <w:color w:val="0070C0"/>
        </w:rPr>
        <w:t>mécanismes d’équilibrage en temps réel</w:t>
      </w:r>
      <w:r w:rsidRPr="00892481">
        <w:rPr>
          <w:color w:val="0070C0"/>
        </w:rPr>
        <w:t>. Sans de tels mécanismes, les violations de contraintes deviennent inévitables, nécessitant des actions correctives d’urgence qui sont souvent inefficaces. Récemment, le concept d’« enveloppes de flexibilité » a été proposé comme une solution pratique pour la répartition économique en temps réel dans les micro-réseaux, permettant de gérer les incertitudes de la production renouvelable et de la demande sans recourir à des logiciels d’optimisation complexes [28]. Cette approche a démontré sa capacité à réduire les coûts de production énergétique tout en maximisant l’utilisation des énergies renouvelables [29].</w:t>
      </w:r>
    </w:p>
    <w:p w14:paraId="7048E013" w14:textId="77777777" w:rsidR="00E02A39" w:rsidRDefault="00000000">
      <w:r>
        <w:t xml:space="preserve">Enfin, l’efficacité d’un système basé sur les DOEs dépend de l’adhésion des utilisateurs. Si les limites sont perçues comme des contraintes injustes ou économiquement pénalisantes, les utilisateurs ne participeront pas. Il est donc essentiel de développer des </w:t>
      </w:r>
      <w:r>
        <w:rPr>
          <w:b/>
          <w:bCs/>
        </w:rPr>
        <w:t>modèles économiques et des mécanismes incitatifs</w:t>
      </w:r>
      <w:r>
        <w:t xml:space="preserve"> attractifs. Plutôt que des approches purement transactionnelles de type peer-to-peer (P2P), la littérature récente s’oriente vers des cadres de </w:t>
      </w:r>
      <w:r>
        <w:rPr>
          <w:b/>
          <w:bCs/>
        </w:rPr>
        <w:t>jeux coopératifs</w:t>
      </w:r>
      <w:r>
        <w:t xml:space="preserve"> pour la gestion des ressources énergétiques partagées [30]. Ces approches permettent la formation de coalitions d’utilisateurs qui collaborent pour maximiser le bénéfice </w:t>
      </w:r>
      <w:r>
        <w:lastRenderedPageBreak/>
        <w:t xml:space="preserve">collectif. Pour assurer une répartition juste des gains et des contraintes au sein de la coalition, des mécanismes d’allocation équitable, comme la </w:t>
      </w:r>
      <w:r>
        <w:rPr>
          <w:b/>
          <w:bCs/>
        </w:rPr>
        <w:t>valeur de Shapley</w:t>
      </w:r>
      <w:r>
        <w:t>, sont utilisés pour récompenser chaque participant en fonction de sa contribution marginale à la performance globale du système [31], [32]. Cette approche favorise la stabilité et l’équité, garantissant que la coopération reste économiquement avantageuse pour tous.</w:t>
      </w:r>
    </w:p>
    <w:p w14:paraId="36C92EC4" w14:textId="77777777" w:rsidR="00E02A39" w:rsidRDefault="00000000">
      <w:r>
        <w:t>En synthèse, la revue de la littérature révèle que si des solutions avancées existent pour la planification robuste (DOEs), l’optimisation en temps réel (MARL) et les incitations économiques (jeux coopératifs), ces approches sont rarement intégrées. La principale lacune identifiée est donc l’absence d’un cadre unifié qui articule ces trois dimensions. Ce projet se positionne pour combler ce vide en proposant une approche multi-niveaux qui synthétise ces axes pour une gestion complète du risque, de la planification à l’opération, tout en garantissant l’engagement des participants.</w:t>
      </w:r>
    </w:p>
    <w:p w14:paraId="5F13E467" w14:textId="77777777" w:rsidR="00E02A39" w:rsidRDefault="00000000">
      <w:pPr>
        <w:pStyle w:val="Heading2"/>
      </w:pPr>
      <w:bookmarkStart w:id="10" w:name="méthodologie"/>
      <w:bookmarkEnd w:id="9"/>
      <w:r>
        <w:t>Méthodologie</w:t>
      </w:r>
    </w:p>
    <w:p w14:paraId="192E1D09" w14:textId="77777777" w:rsidR="00E02A39" w:rsidRPr="00F74982" w:rsidRDefault="00000000">
      <w:pPr>
        <w:rPr>
          <w:color w:val="0070C0"/>
        </w:rPr>
      </w:pPr>
      <w:r w:rsidRPr="00F74982">
        <w:rPr>
          <w:color w:val="0070C0"/>
        </w:rPr>
        <w:t>La méthodologie est conçue pour atteindre les objectifs spécifiques du projet. De manière générale, elle vise à optimiser les ajouts de flexibilité provenant principalement du stockage distribué (électrique et thermique) et de son couplage avec la gestion thermique du bâtiment. Les autres charges résidentielles, dont la flexibilité est plus difficile à mobiliser ou à prédire, seront traitées comme des charges stochastiques non flexibles. L’approche se décline en cinq phases séquentielles et itératives :</w:t>
      </w:r>
    </w:p>
    <w:p w14:paraId="191C9F0A" w14:textId="77777777" w:rsidR="00E02A39" w:rsidRDefault="00000000">
      <w:r>
        <w:rPr>
          <w:b/>
          <w:bCs/>
        </w:rPr>
        <w:t>Phase 1 : Modélisation et caractérisation data-driven</w:t>
      </w:r>
      <w:r>
        <w:t xml:space="preserve"> Cette phase se concentrera sur le développement de modèles numériques pilotés par les données. Cette approche est privilégiée car la complexité des phénomènes thermiques, la grande variabilité des types de construction et les comportements des occupants dans les communautés nordiques rendent les modèles purement physiques (white-box) difficiles à généraliser. En utilisant des données météorologiques et des profils de consommation réels, nous pourrons calibrer et valider des modèles de production renouvelable et de demande garantissant une haute fidélité. Pour capturer les incertitudes et les corrélations complexes, des techniques d’apprentissage automatique de pointe, telles que les </w:t>
      </w:r>
      <w:r>
        <w:rPr>
          <w:b/>
          <w:bCs/>
        </w:rPr>
        <w:t>réseaux antagonistes génératifs (GANs)</w:t>
      </w:r>
      <w:r>
        <w:t>, seront utilisées pour générer des scénarios stochastiques réalistes. Ces scénarios serviront d’entrées pour les étapes d’optimisation robuste et stochastique.</w:t>
      </w:r>
    </w:p>
    <w:p w14:paraId="7A0E0205" w14:textId="77777777" w:rsidR="00E02A39" w:rsidRDefault="00000000">
      <w:r>
        <w:rPr>
          <w:b/>
          <w:bCs/>
        </w:rPr>
        <w:t>Phase 2 : Développement du cadre de planification par DOEs</w:t>
      </w:r>
      <w:r>
        <w:t xml:space="preserve"> Cette phase se concentrera sur la conception des mécanismes de définition des enveloppes opérationnelles. Nous développerons des algorithmes d’optimisation stochastique pour calculer les DOEs à l’horizon journalier, en tenant compte des incertitudes de production et de consommation. Une attention particulière sera portée à la complexité de la détermination des limites de puissance et à la mise en place de mécanismes d’allocation équitables, inspirés par des approches de négociation [33].</w:t>
      </w:r>
    </w:p>
    <w:p w14:paraId="06706D49" w14:textId="77777777" w:rsidR="00E02A39" w:rsidRDefault="00000000">
      <w:r>
        <w:rPr>
          <w:b/>
          <w:bCs/>
        </w:rPr>
        <w:t>Phase 3 : Conception et simulation du contrôle distribué (MARL)</w:t>
      </w:r>
      <w:r>
        <w:t xml:space="preserve"> Les algorithmes d’optimisation distribuée basés sur le MARL seront développés pour opérer à l’intérieur des DOEs. Les agents apprendront à optimiser leurs objectifs (coût, confort) tout en respectant les limites. Conscients des défis inhérents au MARL, tels que la stabilité de l’apprentissage dans un environnement non-stationnaire, une attention particulière sera portée à la conception des fonctions de récompense et à l’architecture des agents pour assurer une convergence robuste. De plus, nous intégrerons des mécanismes de flexibilité en temps réel, permettant aux agents de répondre dynamiquement aux écarts entre les prévisions et les conditions réelles.</w:t>
      </w:r>
    </w:p>
    <w:p w14:paraId="221D398D" w14:textId="77777777" w:rsidR="00E02A39" w:rsidRDefault="00000000">
      <w:r>
        <w:rPr>
          <w:b/>
          <w:bCs/>
        </w:rPr>
        <w:t>Phase 4 : Analyse de viabilité technico-économique et sociale</w:t>
      </w:r>
      <w:r>
        <w:t xml:space="preserve"> L’évaluation technico-économique sera un pilier de cette phase. Pour renforcer l’analyse des incertitudes au stade de la conception, le dimensionnement des systèmes de stockage hybrides sera traité par une approche de </w:t>
      </w:r>
      <w:r>
        <w:rPr>
          <w:b/>
          <w:bCs/>
        </w:rPr>
        <w:t>co-optimisation robuste</w:t>
      </w:r>
      <w:r>
        <w:t xml:space="preserve">. Cette méthode visera à minimiser le coût actualisé de l’énergie (LCOE) tout en garantissant un niveau de résilience prédéfini (ex: autonomie de 72h) face aux pires scénarios d’incertitude, identifiés par des </w:t>
      </w:r>
      <w:r>
        <w:rPr>
          <w:b/>
          <w:bCs/>
        </w:rPr>
        <w:t>simulations de Monte Carlo</w:t>
      </w:r>
      <w:r>
        <w:t xml:space="preserve"> et des techniques de génération de scénarios basées sur les données historiques. En parallèle, nous analyserons les modèles d’affaires basés sur des cadres coopératifs et développerons des mécanismes d’allocation des coûts et bénéfices inspirés de la théorie des jeux coopératifs pour assurer une participation équitable et durable des utilisateurs. Une méthodologie sera développée pour quantifier des indicateurs sociaux clés, tels que la justice énergétique dans la répartition des contraintes et des bénéfices.</w:t>
      </w:r>
    </w:p>
    <w:p w14:paraId="56359A42" w14:textId="20286945" w:rsidR="00E02A39" w:rsidRDefault="00000000">
      <w:r>
        <w:rPr>
          <w:b/>
          <w:bCs/>
        </w:rPr>
        <w:t>Phase 5 : Analyse et validation</w:t>
      </w:r>
      <w:r>
        <w:t xml:space="preserve"> Cette phase finale s’appuiera sur le cadre de cosimulation intégré pour une validation rigoureuse des stratégies développées. La performance sera évaluée à l’aide d’un ensemble d’indicateurs de performance clés (KPIs) </w:t>
      </w:r>
      <w:r>
        <w:lastRenderedPageBreak/>
        <w:t xml:space="preserve">techniques (fiabilité, taux de pénétration renouvelable, réduction de la consommation de diesel), économiques (coût actualisé de l’énergie) et sociaux (équité dans la répartition des coûts et bénéfices). Nous réaliserons une analyse comparative en confrontant notre approche (DOEs + MARL + jeux coopératifs) à des scénarios de référence (ex: gestion centralisée). </w:t>
      </w:r>
      <w:r w:rsidRPr="00F74982">
        <w:rPr>
          <w:color w:val="0070C0"/>
        </w:rPr>
        <w:t xml:space="preserve">La </w:t>
      </w:r>
      <w:r w:rsidR="00F74982">
        <w:rPr>
          <w:color w:val="0070C0"/>
        </w:rPr>
        <w:t xml:space="preserve">fiabilité </w:t>
      </w:r>
      <w:r w:rsidRPr="00F74982">
        <w:rPr>
          <w:color w:val="0070C0"/>
        </w:rPr>
        <w:t xml:space="preserve">du système </w:t>
      </w:r>
      <w:r w:rsidR="00F74982" w:rsidRPr="00F74982">
        <w:rPr>
          <w:color w:val="0070C0"/>
        </w:rPr>
        <w:t>de gestion</w:t>
      </w:r>
      <w:r w:rsidR="00F74982">
        <w:rPr>
          <w:color w:val="0070C0"/>
        </w:rPr>
        <w:t xml:space="preserve"> et la robustesse du dimensionnement</w:t>
      </w:r>
      <w:r w:rsidR="00F74982" w:rsidRPr="00F74982">
        <w:rPr>
          <w:color w:val="0070C0"/>
        </w:rPr>
        <w:t xml:space="preserve"> </w:t>
      </w:r>
      <w:r w:rsidR="00F74982">
        <w:rPr>
          <w:color w:val="0070C0"/>
        </w:rPr>
        <w:t xml:space="preserve">des mécanismes de stockage </w:t>
      </w:r>
      <w:r w:rsidRPr="00F74982">
        <w:rPr>
          <w:color w:val="0070C0"/>
        </w:rPr>
        <w:t>sera testée en soumettant le modèle à un large éventail de scénarios générés en Phase 1.</w:t>
      </w:r>
      <w:r>
        <w:t xml:space="preserve"> Une analyse de la scalabilité évaluera la performance des algorithmes distribués. Les conclusions permettront de formuler des recommandations concrètes et des guides de conception pour les communautés.</w:t>
      </w:r>
    </w:p>
    <w:p w14:paraId="616BAD1E" w14:textId="77777777" w:rsidR="00E02A39" w:rsidRDefault="00000000">
      <w:pPr>
        <w:pStyle w:val="Heading3"/>
      </w:pPr>
      <w:bookmarkStart w:id="11" w:name="X2187eafd276a8c6c85cca87e7915659faefed8b"/>
      <w:r>
        <w:t>Intégration de l’EDI et de l’Engagement Communautaire</w:t>
      </w:r>
    </w:p>
    <w:p w14:paraId="7ADD3B40" w14:textId="77777777" w:rsidR="00E02A39" w:rsidRDefault="00000000">
      <w:r>
        <w:t>Conformément aux directives du CRSNG, nous intégrerons les principes d’équité, de diversité et d’inclusion (EDI) à chaque étape de notre recherche. Pour nous assurer que nos recherches sont culturellement pertinentes et répondent aux besoins spécifiques des communautés isolées, nous nous appuierons sur l’expertise de chercheurs et de spécialistes ayant une expérience avérée des projets énergétiques dans ces contextes. Des consultations avec ces experts permettront d’intégrer les leçons apprises et les connaissances locales dans la conception des systèmes énergétiques. Cette approche vise à garantir que les solutions développées sont non seulement techniquement robustes, mais aussi socialement acceptables et équitables.</w:t>
      </w:r>
    </w:p>
    <w:p w14:paraId="143700E9" w14:textId="77777777" w:rsidR="00E02A39" w:rsidRDefault="00000000">
      <w:pPr>
        <w:pStyle w:val="Heading2"/>
      </w:pPr>
      <w:bookmarkStart w:id="12" w:name="incidence"/>
      <w:bookmarkEnd w:id="10"/>
      <w:bookmarkEnd w:id="11"/>
      <w:r>
        <w:t>Incidence</w:t>
      </w:r>
    </w:p>
    <w:p w14:paraId="1D2AAB76" w14:textId="77777777" w:rsidR="00E02A39" w:rsidRDefault="00000000">
      <w:pPr>
        <w:pStyle w:val="Heading3"/>
      </w:pPr>
      <w:bookmarkStart w:id="13" w:name="Xe3a51ca946511e080cc9bc2cdac613753075822"/>
      <w:r>
        <w:t>Originalité et importance prévue des travaux</w:t>
      </w:r>
    </w:p>
    <w:p w14:paraId="090085EB" w14:textId="77777777" w:rsidR="00E02A39" w:rsidRDefault="00000000">
      <w:r>
        <w:t>L’originalité de ce programme de recherche réside dans trois aspects principaux :</w:t>
      </w:r>
    </w:p>
    <w:p w14:paraId="741E36C0" w14:textId="77777777" w:rsidR="00E02A39" w:rsidRDefault="00000000">
      <w:r>
        <w:rPr>
          <w:b/>
          <w:bCs/>
        </w:rPr>
        <w:t>Approche holistique électrothermique :</w:t>
      </w:r>
      <w:r>
        <w:t xml:space="preserve"> Contrairement aux études qui se concentrent majoritairement sur le domaine électrique, ce projet propose une intégration fondamentale de la dynamique thermique des bâtiments comme ressource de flexibilité active. Cette approche permet de débloquer un potentiel de stockage à très faible coût, ce qui est particulièrement pertinent dans les climats froids.</w:t>
      </w:r>
    </w:p>
    <w:p w14:paraId="46274E4C" w14:textId="77777777" w:rsidR="00E02A39" w:rsidRDefault="00000000">
      <w:r w:rsidRPr="00F74982">
        <w:rPr>
          <w:b/>
          <w:bCs/>
          <w:color w:val="0070C0"/>
        </w:rPr>
        <w:t>Gestion Intelligente et Intégrée du Risque :</w:t>
      </w:r>
      <w:r w:rsidRPr="00F74982">
        <w:rPr>
          <w:color w:val="0070C0"/>
        </w:rPr>
        <w:t xml:space="preserve"> L’originalité majeure est l’intégration cohérente d’un contrôle distribué (MARL) avec un cadre de planification robuste (DOEs) pour une gestion complète et à double niveau du risque. Notre approche combine : 1) une </w:t>
      </w:r>
      <w:r w:rsidRPr="00F74982">
        <w:rPr>
          <w:b/>
          <w:bCs/>
          <w:color w:val="0070C0"/>
        </w:rPr>
        <w:t>gestion de la fiabilité du système (long terme)</w:t>
      </w:r>
      <w:r w:rsidRPr="00F74982">
        <w:rPr>
          <w:color w:val="0070C0"/>
        </w:rPr>
        <w:t>, assurée par un dimensionnement issu de l’</w:t>
      </w:r>
      <w:r w:rsidRPr="00F74982">
        <w:rPr>
          <w:b/>
          <w:bCs/>
          <w:color w:val="0070C0"/>
        </w:rPr>
        <w:t>optimisation robuste</w:t>
      </w:r>
      <w:r w:rsidRPr="00F74982">
        <w:rPr>
          <w:color w:val="0070C0"/>
        </w:rPr>
        <w:t xml:space="preserve"> qui garantit la résilience du système face aux événements extrêmes ; et 2) une </w:t>
      </w:r>
      <w:r w:rsidRPr="00F74982">
        <w:rPr>
          <w:b/>
          <w:bCs/>
          <w:color w:val="0070C0"/>
        </w:rPr>
        <w:t>gestion du risque opérationnel (court terme)</w:t>
      </w:r>
      <w:r w:rsidRPr="00F74982">
        <w:rPr>
          <w:color w:val="0070C0"/>
        </w:rPr>
        <w:t xml:space="preserve">, assurée par l’optimisation stochastique pour les DOEs et l’adaptation en temps réel du MARL. </w:t>
      </w:r>
      <w:r>
        <w:t>Cette synergie, soutenue par des modèles économiques équitables, permet une optimisation locale autonome qui garantit la sécurité globale du réseau, tout en gérant les risques liés aux prévisions et en assurant l’engagement des utilisateurs via des incitations justes.</w:t>
      </w:r>
    </w:p>
    <w:p w14:paraId="592160CA" w14:textId="2ED3DF45" w:rsidR="00E02A39" w:rsidRDefault="00000000">
      <w:r>
        <w:rPr>
          <w:b/>
          <w:bCs/>
        </w:rPr>
        <w:t>Cadre d’évaluation socio-technico-économique et d’équité :</w:t>
      </w:r>
      <w:r>
        <w:t xml:space="preserve"> Le projet innove en intégrant formellement des critères d’équité dans l’allocation des ressources et la gestion des contraintes. En plus des critères sociaux classiques, nous évaluerons explicitement comment les bénéfices et les contraintes sont répartis, fournissant un outil d’aide à la décision plus juste et mieux adapté aux projets communautaires.</w:t>
      </w:r>
      <w:r w:rsidR="000F37AC">
        <w:t xml:space="preserve"> </w:t>
      </w:r>
      <w:r>
        <w:t>L’importance de ces travaux est considérable, particulièrement dans le contexte canadien. En fournissant des solutions adaptées aux défis logistiques et climatiques extrêmes du Nord, les résultats de ce programme aideront à mieux exploiter les ressources énergétiques des collectivités éloignées. Ces communautés pourront accéder à une énergie à des coûts compétitifs et en minimisant les effets négatifs sur l’environnement. L’introduction des technologies de l’information permettra de recueillir des données qui aideront à l’amélioration de l’efficacité énergétique des bâtiments nordiques. Les études sur le stockage thermique distribué seront applicables dans d’autres régions canadiennes ayant des conditions et besoins similaires. En plus de la formation du personnel hautement qualifié, les résultats pourront être utiles à plusieurs compagnies canadiennes en électricité œuvrant dans les régions éloignées ou sur des réseaux décentralisés.</w:t>
      </w:r>
    </w:p>
    <w:p w14:paraId="708B18B2" w14:textId="014D7D75" w:rsidR="001954F6" w:rsidRDefault="00000000">
      <w:r>
        <w:t>Finalement, dans un esprit de science ouverte et pour maximiser l’impact des retombées, tous les algorithmes, modèles et ensembles de données anonymisées développés dans le cadre de ce projet seront rendus publics et disponibles en open source. Cette démarche vise à favoriser la collaboration, la reproductibilité des résultats et à accélérer l’innovation au bénéfice des communautés et de l’ensemble de l’écosystème de recherche.</w:t>
      </w:r>
    </w:p>
    <w:p w14:paraId="778E4222" w14:textId="278C0DC3" w:rsidR="00F61C4A" w:rsidRDefault="00F61C4A">
      <w:r>
        <w:br w:type="page"/>
      </w:r>
    </w:p>
    <w:p w14:paraId="42F8AB9C" w14:textId="77777777" w:rsidR="00F61C4A" w:rsidRDefault="00F61C4A"/>
    <w:p w14:paraId="796A6C25" w14:textId="67336958" w:rsidR="00B84FAF" w:rsidRPr="00B84FAF" w:rsidRDefault="00B84FAF" w:rsidP="00B84FAF">
      <w:pPr>
        <w:pStyle w:val="Heading2"/>
        <w:rPr>
          <w:color w:val="0070C0"/>
        </w:rPr>
      </w:pPr>
      <w:bookmarkStart w:id="14" w:name="résumé-summary"/>
      <w:r w:rsidRPr="00B84FAF">
        <w:rPr>
          <w:color w:val="0070C0"/>
        </w:rPr>
        <w:t xml:space="preserve">Résumé </w:t>
      </w:r>
    </w:p>
    <w:p w14:paraId="163483BF" w14:textId="6AC1FD64" w:rsidR="00B84FAF" w:rsidRPr="00B84FAF" w:rsidRDefault="00B84FAF" w:rsidP="00B84FAF">
      <w:pPr>
        <w:rPr>
          <w:color w:val="0070C0"/>
        </w:rPr>
      </w:pPr>
      <w:r w:rsidRPr="00B84FAF">
        <w:rPr>
          <w:color w:val="0070C0"/>
        </w:rPr>
        <w:t xml:space="preserve">Ce projet de recherche s’attaque au défi de la transition énergétique pour les nombreuses communautés isolées au Canada, souvent autochtones, qui dépendent de génératrices au diesel coûteuses et polluantes. L’objectif est de décarboner leurs micro-réseaux en permettant une intégration massive d’énergies renouvelables intermittentes. Pour surmonter la complexité de la coordination des ressources énergétiques distribuées (production, stockage, charges flexibles) tout en assurant la stabilité du réseau, le projet propose une </w:t>
      </w:r>
      <w:r w:rsidRPr="00B84FAF">
        <w:rPr>
          <w:b/>
          <w:bCs/>
          <w:color w:val="0070C0"/>
        </w:rPr>
        <w:t>approche de gestion hiérarchique et intelligente du risque</w:t>
      </w:r>
      <w:r w:rsidRPr="00B84FAF">
        <w:rPr>
          <w:color w:val="0070C0"/>
        </w:rPr>
        <w:t>.</w:t>
      </w:r>
      <w:r w:rsidR="009F54E9">
        <w:rPr>
          <w:color w:val="0070C0"/>
        </w:rPr>
        <w:t xml:space="preserve"> </w:t>
      </w:r>
      <w:r w:rsidRPr="00B84FAF">
        <w:rPr>
          <w:color w:val="0070C0"/>
        </w:rPr>
        <w:t xml:space="preserve">Cette stratégie s’articule sur deux niveaux complémentaires. D’une part, un cadre de planification basé sur des </w:t>
      </w:r>
      <w:r w:rsidRPr="00B84FAF">
        <w:rPr>
          <w:b/>
          <w:bCs/>
          <w:color w:val="0070C0"/>
        </w:rPr>
        <w:t>Enveloppes Opérationnelles Dynamiques (</w:t>
      </w:r>
      <w:proofErr w:type="spellStart"/>
      <w:r w:rsidRPr="00B84FAF">
        <w:rPr>
          <w:b/>
          <w:bCs/>
          <w:color w:val="0070C0"/>
        </w:rPr>
        <w:t>DOEs</w:t>
      </w:r>
      <w:proofErr w:type="spellEnd"/>
      <w:r w:rsidRPr="00B84FAF">
        <w:rPr>
          <w:b/>
          <w:bCs/>
          <w:color w:val="0070C0"/>
        </w:rPr>
        <w:t>)</w:t>
      </w:r>
      <w:r w:rsidRPr="00B84FAF">
        <w:rPr>
          <w:color w:val="0070C0"/>
        </w:rPr>
        <w:t xml:space="preserve"> définit des limites de puissance (import/export) pour chaque point de connexion sur un horizon de 24 heures. Calculées par optimisation stochastique, ces enveloppes garantissent la sécurité physique du réseau (tension, charge) face aux incertitudes. D’autre part, à l’intérieur de ces limites sécuritaires, des algorithmes d’</w:t>
      </w:r>
      <w:r w:rsidRPr="00B84FAF">
        <w:rPr>
          <w:b/>
          <w:bCs/>
          <w:color w:val="0070C0"/>
        </w:rPr>
        <w:t>apprentissage par renforcement multi-agents (MARL)</w:t>
      </w:r>
      <w:r w:rsidRPr="00B84FAF">
        <w:rPr>
          <w:color w:val="0070C0"/>
        </w:rPr>
        <w:t xml:space="preserve"> permettent une optimisation distribuée et en temps réel. Les agents apprennent de manière autonome à coordonner les ressources pour équilibrer les objectifs de coût, de fiabilité et de confort des usagers.</w:t>
      </w:r>
      <w:r w:rsidR="009F54E9">
        <w:rPr>
          <w:color w:val="0070C0"/>
        </w:rPr>
        <w:t xml:space="preserve"> </w:t>
      </w:r>
      <w:r w:rsidRPr="00B84FAF">
        <w:rPr>
          <w:color w:val="0070C0"/>
        </w:rPr>
        <w:t xml:space="preserve">La méthodologie innove en utilisant des </w:t>
      </w:r>
      <w:r w:rsidRPr="00B84FAF">
        <w:rPr>
          <w:b/>
          <w:bCs/>
          <w:color w:val="0070C0"/>
        </w:rPr>
        <w:t>modèles électrothermiques pilotés par les données</w:t>
      </w:r>
      <w:r w:rsidRPr="00B84FAF">
        <w:rPr>
          <w:color w:val="0070C0"/>
        </w:rPr>
        <w:t xml:space="preserve"> qui considèrent les bâtiments comme des unités de stockage thermique actives, une source de flexibilité à faible coût. Le projet intègre également des </w:t>
      </w:r>
      <w:r w:rsidRPr="00B84FAF">
        <w:rPr>
          <w:b/>
          <w:bCs/>
          <w:color w:val="0070C0"/>
        </w:rPr>
        <w:t>modèles économiques équitables</w:t>
      </w:r>
      <w:r w:rsidRPr="00B84FAF">
        <w:rPr>
          <w:color w:val="0070C0"/>
        </w:rPr>
        <w:t>, basés sur la théorie des jeux coopératifs, pour valoriser la contribution des utilisateurs et assurer leur engagement. La validation de l’ensemble se fera via un cadre de cosimulation intégré, menant à la production de guides de conception robustes pour aider les communautés à piloter leur transition énergétique.</w:t>
      </w:r>
    </w:p>
    <w:p w14:paraId="25CAD680" w14:textId="7472321E" w:rsidR="00B84FAF" w:rsidRPr="006D5D9B" w:rsidRDefault="00B84FAF" w:rsidP="006D5D9B">
      <w:pPr>
        <w:pStyle w:val="Heading2"/>
        <w:rPr>
          <w:color w:val="0070C0"/>
        </w:rPr>
      </w:pPr>
      <w:proofErr w:type="spellStart"/>
      <w:r w:rsidRPr="006D5D9B">
        <w:rPr>
          <w:color w:val="0070C0"/>
        </w:rPr>
        <w:t>Summary</w:t>
      </w:r>
      <w:proofErr w:type="spellEnd"/>
    </w:p>
    <w:p w14:paraId="2FC9867D" w14:textId="185DB808" w:rsidR="00B84FAF" w:rsidRPr="00B84FAF" w:rsidRDefault="00B84FAF" w:rsidP="00B84FAF">
      <w:pPr>
        <w:rPr>
          <w:color w:val="0070C0"/>
        </w:rPr>
      </w:pPr>
      <w:r w:rsidRPr="00B84FAF">
        <w:rPr>
          <w:color w:val="0070C0"/>
        </w:rPr>
        <w:t xml:space="preserve">This </w:t>
      </w:r>
      <w:proofErr w:type="spellStart"/>
      <w:r w:rsidRPr="00B84FAF">
        <w:rPr>
          <w:color w:val="0070C0"/>
        </w:rPr>
        <w:t>research</w:t>
      </w:r>
      <w:proofErr w:type="spellEnd"/>
      <w:r w:rsidRPr="00B84FAF">
        <w:rPr>
          <w:color w:val="0070C0"/>
        </w:rPr>
        <w:t xml:space="preserve"> </w:t>
      </w:r>
      <w:proofErr w:type="spellStart"/>
      <w:r w:rsidRPr="00B84FAF">
        <w:rPr>
          <w:color w:val="0070C0"/>
        </w:rPr>
        <w:t>project</w:t>
      </w:r>
      <w:proofErr w:type="spellEnd"/>
      <w:r w:rsidRPr="00B84FAF">
        <w:rPr>
          <w:color w:val="0070C0"/>
        </w:rPr>
        <w:t xml:space="preserve"> </w:t>
      </w:r>
      <w:proofErr w:type="spellStart"/>
      <w:r w:rsidRPr="00B84FAF">
        <w:rPr>
          <w:color w:val="0070C0"/>
        </w:rPr>
        <w:t>addresses</w:t>
      </w:r>
      <w:proofErr w:type="spellEnd"/>
      <w:r w:rsidRPr="00B84FAF">
        <w:rPr>
          <w:color w:val="0070C0"/>
        </w:rPr>
        <w:t xml:space="preserve"> the </w:t>
      </w:r>
      <w:proofErr w:type="spellStart"/>
      <w:r w:rsidRPr="00B84FAF">
        <w:rPr>
          <w:color w:val="0070C0"/>
        </w:rPr>
        <w:t>energy</w:t>
      </w:r>
      <w:proofErr w:type="spellEnd"/>
      <w:r w:rsidRPr="00B84FAF">
        <w:rPr>
          <w:color w:val="0070C0"/>
        </w:rPr>
        <w:t xml:space="preserve"> transition challenge for </w:t>
      </w:r>
      <w:proofErr w:type="spellStart"/>
      <w:r w:rsidRPr="00B84FAF">
        <w:rPr>
          <w:color w:val="0070C0"/>
        </w:rPr>
        <w:t>numerous</w:t>
      </w:r>
      <w:proofErr w:type="spellEnd"/>
      <w:r w:rsidRPr="00B84FAF">
        <w:rPr>
          <w:color w:val="0070C0"/>
        </w:rPr>
        <w:t xml:space="preserve"> </w:t>
      </w:r>
      <w:proofErr w:type="spellStart"/>
      <w:r w:rsidRPr="00B84FAF">
        <w:rPr>
          <w:color w:val="0070C0"/>
        </w:rPr>
        <w:t>isolated</w:t>
      </w:r>
      <w:proofErr w:type="spellEnd"/>
      <w:r w:rsidRPr="00B84FAF">
        <w:rPr>
          <w:color w:val="0070C0"/>
        </w:rPr>
        <w:t xml:space="preserve"> </w:t>
      </w:r>
      <w:proofErr w:type="spellStart"/>
      <w:r w:rsidRPr="00B84FAF">
        <w:rPr>
          <w:color w:val="0070C0"/>
        </w:rPr>
        <w:t>communities</w:t>
      </w:r>
      <w:proofErr w:type="spellEnd"/>
      <w:r w:rsidRPr="00B84FAF">
        <w:rPr>
          <w:color w:val="0070C0"/>
        </w:rPr>
        <w:t xml:space="preserve"> in Canada, </w:t>
      </w:r>
      <w:proofErr w:type="spellStart"/>
      <w:r w:rsidRPr="00B84FAF">
        <w:rPr>
          <w:color w:val="0070C0"/>
        </w:rPr>
        <w:t>often</w:t>
      </w:r>
      <w:proofErr w:type="spellEnd"/>
      <w:r w:rsidRPr="00B84FAF">
        <w:rPr>
          <w:color w:val="0070C0"/>
        </w:rPr>
        <w:t xml:space="preserve"> </w:t>
      </w:r>
      <w:proofErr w:type="spellStart"/>
      <w:r w:rsidRPr="00B84FAF">
        <w:rPr>
          <w:color w:val="0070C0"/>
        </w:rPr>
        <w:t>Indigenous</w:t>
      </w:r>
      <w:proofErr w:type="spellEnd"/>
      <w:r w:rsidRPr="00B84FAF">
        <w:rPr>
          <w:color w:val="0070C0"/>
        </w:rPr>
        <w:t xml:space="preserve">, </w:t>
      </w:r>
      <w:proofErr w:type="spellStart"/>
      <w:r w:rsidRPr="00B84FAF">
        <w:rPr>
          <w:color w:val="0070C0"/>
        </w:rPr>
        <w:t>which</w:t>
      </w:r>
      <w:proofErr w:type="spellEnd"/>
      <w:r w:rsidRPr="00B84FAF">
        <w:rPr>
          <w:color w:val="0070C0"/>
        </w:rPr>
        <w:t xml:space="preserve"> </w:t>
      </w:r>
      <w:proofErr w:type="spellStart"/>
      <w:r w:rsidRPr="00B84FAF">
        <w:rPr>
          <w:color w:val="0070C0"/>
        </w:rPr>
        <w:t>rely</w:t>
      </w:r>
      <w:proofErr w:type="spellEnd"/>
      <w:r w:rsidRPr="00B84FAF">
        <w:rPr>
          <w:color w:val="0070C0"/>
        </w:rPr>
        <w:t xml:space="preserve"> on </w:t>
      </w:r>
      <w:proofErr w:type="spellStart"/>
      <w:r w:rsidRPr="00B84FAF">
        <w:rPr>
          <w:color w:val="0070C0"/>
        </w:rPr>
        <w:t>expensive</w:t>
      </w:r>
      <w:proofErr w:type="spellEnd"/>
      <w:r w:rsidRPr="00B84FAF">
        <w:rPr>
          <w:color w:val="0070C0"/>
        </w:rPr>
        <w:t xml:space="preserve"> and </w:t>
      </w:r>
      <w:proofErr w:type="spellStart"/>
      <w:r w:rsidRPr="00B84FAF">
        <w:rPr>
          <w:color w:val="0070C0"/>
        </w:rPr>
        <w:t>polluting</w:t>
      </w:r>
      <w:proofErr w:type="spellEnd"/>
      <w:r w:rsidRPr="00B84FAF">
        <w:rPr>
          <w:color w:val="0070C0"/>
        </w:rPr>
        <w:t xml:space="preserve"> diesel </w:t>
      </w:r>
      <w:proofErr w:type="spellStart"/>
      <w:r w:rsidRPr="00B84FAF">
        <w:rPr>
          <w:color w:val="0070C0"/>
        </w:rPr>
        <w:t>generators</w:t>
      </w:r>
      <w:proofErr w:type="spellEnd"/>
      <w:r w:rsidRPr="00B84FAF">
        <w:rPr>
          <w:color w:val="0070C0"/>
        </w:rPr>
        <w:t xml:space="preserve">. The goal </w:t>
      </w:r>
      <w:proofErr w:type="spellStart"/>
      <w:r w:rsidRPr="00B84FAF">
        <w:rPr>
          <w:color w:val="0070C0"/>
        </w:rPr>
        <w:t>is</w:t>
      </w:r>
      <w:proofErr w:type="spellEnd"/>
      <w:r w:rsidRPr="00B84FAF">
        <w:rPr>
          <w:color w:val="0070C0"/>
        </w:rPr>
        <w:t xml:space="preserve"> to </w:t>
      </w:r>
      <w:proofErr w:type="spellStart"/>
      <w:r w:rsidRPr="00B84FAF">
        <w:rPr>
          <w:color w:val="0070C0"/>
        </w:rPr>
        <w:t>decarbonize</w:t>
      </w:r>
      <w:proofErr w:type="spellEnd"/>
      <w:r w:rsidRPr="00B84FAF">
        <w:rPr>
          <w:color w:val="0070C0"/>
        </w:rPr>
        <w:t xml:space="preserve"> </w:t>
      </w:r>
      <w:proofErr w:type="spellStart"/>
      <w:r w:rsidRPr="00B84FAF">
        <w:rPr>
          <w:color w:val="0070C0"/>
        </w:rPr>
        <w:t>their</w:t>
      </w:r>
      <w:proofErr w:type="spellEnd"/>
      <w:r w:rsidRPr="00B84FAF">
        <w:rPr>
          <w:color w:val="0070C0"/>
        </w:rPr>
        <w:t xml:space="preserve"> </w:t>
      </w:r>
      <w:proofErr w:type="spellStart"/>
      <w:r w:rsidRPr="00B84FAF">
        <w:rPr>
          <w:color w:val="0070C0"/>
        </w:rPr>
        <w:t>microgrids</w:t>
      </w:r>
      <w:proofErr w:type="spellEnd"/>
      <w:r w:rsidRPr="00B84FAF">
        <w:rPr>
          <w:color w:val="0070C0"/>
        </w:rPr>
        <w:t xml:space="preserve"> by </w:t>
      </w:r>
      <w:proofErr w:type="spellStart"/>
      <w:r w:rsidRPr="00B84FAF">
        <w:rPr>
          <w:color w:val="0070C0"/>
        </w:rPr>
        <w:t>enabling</w:t>
      </w:r>
      <w:proofErr w:type="spellEnd"/>
      <w:r w:rsidRPr="00B84FAF">
        <w:rPr>
          <w:color w:val="0070C0"/>
        </w:rPr>
        <w:t xml:space="preserve"> the massive </w:t>
      </w:r>
      <w:proofErr w:type="spellStart"/>
      <w:r w:rsidRPr="00B84FAF">
        <w:rPr>
          <w:color w:val="0070C0"/>
        </w:rPr>
        <w:t>integration</w:t>
      </w:r>
      <w:proofErr w:type="spellEnd"/>
      <w:r w:rsidRPr="00B84FAF">
        <w:rPr>
          <w:color w:val="0070C0"/>
        </w:rPr>
        <w:t xml:space="preserve"> of intermittent </w:t>
      </w:r>
      <w:proofErr w:type="spellStart"/>
      <w:r w:rsidRPr="00B84FAF">
        <w:rPr>
          <w:color w:val="0070C0"/>
        </w:rPr>
        <w:t>renewable</w:t>
      </w:r>
      <w:proofErr w:type="spellEnd"/>
      <w:r w:rsidRPr="00B84FAF">
        <w:rPr>
          <w:color w:val="0070C0"/>
        </w:rPr>
        <w:t xml:space="preserve"> </w:t>
      </w:r>
      <w:proofErr w:type="spellStart"/>
      <w:r w:rsidRPr="00B84FAF">
        <w:rPr>
          <w:color w:val="0070C0"/>
        </w:rPr>
        <w:t>energy</w:t>
      </w:r>
      <w:proofErr w:type="spellEnd"/>
      <w:r w:rsidRPr="00B84FAF">
        <w:rPr>
          <w:color w:val="0070C0"/>
        </w:rPr>
        <w:t xml:space="preserve">. To </w:t>
      </w:r>
      <w:proofErr w:type="spellStart"/>
      <w:r w:rsidRPr="00B84FAF">
        <w:rPr>
          <w:color w:val="0070C0"/>
        </w:rPr>
        <w:t>overcome</w:t>
      </w:r>
      <w:proofErr w:type="spellEnd"/>
      <w:r w:rsidRPr="00B84FAF">
        <w:rPr>
          <w:color w:val="0070C0"/>
        </w:rPr>
        <w:t xml:space="preserve"> the </w:t>
      </w:r>
      <w:proofErr w:type="spellStart"/>
      <w:r w:rsidRPr="00B84FAF">
        <w:rPr>
          <w:color w:val="0070C0"/>
        </w:rPr>
        <w:t>complexity</w:t>
      </w:r>
      <w:proofErr w:type="spellEnd"/>
      <w:r w:rsidRPr="00B84FAF">
        <w:rPr>
          <w:color w:val="0070C0"/>
        </w:rPr>
        <w:t xml:space="preserve"> of </w:t>
      </w:r>
      <w:proofErr w:type="spellStart"/>
      <w:r w:rsidRPr="00B84FAF">
        <w:rPr>
          <w:color w:val="0070C0"/>
        </w:rPr>
        <w:t>coordinating</w:t>
      </w:r>
      <w:proofErr w:type="spellEnd"/>
      <w:r w:rsidRPr="00B84FAF">
        <w:rPr>
          <w:color w:val="0070C0"/>
        </w:rPr>
        <w:t xml:space="preserve"> </w:t>
      </w:r>
      <w:proofErr w:type="spellStart"/>
      <w:r w:rsidRPr="00B84FAF">
        <w:rPr>
          <w:color w:val="0070C0"/>
        </w:rPr>
        <w:t>distributed</w:t>
      </w:r>
      <w:proofErr w:type="spellEnd"/>
      <w:r w:rsidRPr="00B84FAF">
        <w:rPr>
          <w:color w:val="0070C0"/>
        </w:rPr>
        <w:t xml:space="preserve"> </w:t>
      </w:r>
      <w:proofErr w:type="spellStart"/>
      <w:r w:rsidRPr="00B84FAF">
        <w:rPr>
          <w:color w:val="0070C0"/>
        </w:rPr>
        <w:t>energy</w:t>
      </w:r>
      <w:proofErr w:type="spellEnd"/>
      <w:r w:rsidRPr="00B84FAF">
        <w:rPr>
          <w:color w:val="0070C0"/>
        </w:rPr>
        <w:t xml:space="preserve"> </w:t>
      </w:r>
      <w:proofErr w:type="spellStart"/>
      <w:r w:rsidRPr="00B84FAF">
        <w:rPr>
          <w:color w:val="0070C0"/>
        </w:rPr>
        <w:t>resources</w:t>
      </w:r>
      <w:proofErr w:type="spellEnd"/>
      <w:r w:rsidRPr="00B84FAF">
        <w:rPr>
          <w:color w:val="0070C0"/>
        </w:rPr>
        <w:t xml:space="preserve"> (</w:t>
      </w:r>
      <w:proofErr w:type="spellStart"/>
      <w:r w:rsidRPr="00B84FAF">
        <w:rPr>
          <w:color w:val="0070C0"/>
        </w:rPr>
        <w:t>generation</w:t>
      </w:r>
      <w:proofErr w:type="spellEnd"/>
      <w:r w:rsidRPr="00B84FAF">
        <w:rPr>
          <w:color w:val="0070C0"/>
        </w:rPr>
        <w:t xml:space="preserve">, </w:t>
      </w:r>
      <w:proofErr w:type="spellStart"/>
      <w:r w:rsidRPr="00B84FAF">
        <w:rPr>
          <w:color w:val="0070C0"/>
        </w:rPr>
        <w:t>storage</w:t>
      </w:r>
      <w:proofErr w:type="spellEnd"/>
      <w:r w:rsidRPr="00B84FAF">
        <w:rPr>
          <w:color w:val="0070C0"/>
        </w:rPr>
        <w:t xml:space="preserve">, flexible </w:t>
      </w:r>
      <w:proofErr w:type="spellStart"/>
      <w:r w:rsidRPr="00B84FAF">
        <w:rPr>
          <w:color w:val="0070C0"/>
        </w:rPr>
        <w:t>loads</w:t>
      </w:r>
      <w:proofErr w:type="spellEnd"/>
      <w:r w:rsidRPr="00B84FAF">
        <w:rPr>
          <w:color w:val="0070C0"/>
        </w:rPr>
        <w:t xml:space="preserve">) </w:t>
      </w:r>
      <w:proofErr w:type="spellStart"/>
      <w:r w:rsidRPr="00B84FAF">
        <w:rPr>
          <w:color w:val="0070C0"/>
        </w:rPr>
        <w:t>while</w:t>
      </w:r>
      <w:proofErr w:type="spellEnd"/>
      <w:r w:rsidRPr="00B84FAF">
        <w:rPr>
          <w:color w:val="0070C0"/>
        </w:rPr>
        <w:t xml:space="preserve"> </w:t>
      </w:r>
      <w:proofErr w:type="spellStart"/>
      <w:r w:rsidRPr="00B84FAF">
        <w:rPr>
          <w:color w:val="0070C0"/>
        </w:rPr>
        <w:t>ensuring</w:t>
      </w:r>
      <w:proofErr w:type="spellEnd"/>
      <w:r w:rsidRPr="00B84FAF">
        <w:rPr>
          <w:color w:val="0070C0"/>
        </w:rPr>
        <w:t xml:space="preserve"> </w:t>
      </w:r>
      <w:proofErr w:type="spellStart"/>
      <w:r w:rsidRPr="00B84FAF">
        <w:rPr>
          <w:color w:val="0070C0"/>
        </w:rPr>
        <w:t>grid</w:t>
      </w:r>
      <w:proofErr w:type="spellEnd"/>
      <w:r w:rsidRPr="00B84FAF">
        <w:rPr>
          <w:color w:val="0070C0"/>
        </w:rPr>
        <w:t xml:space="preserve"> </w:t>
      </w:r>
      <w:proofErr w:type="spellStart"/>
      <w:r w:rsidRPr="00B84FAF">
        <w:rPr>
          <w:color w:val="0070C0"/>
        </w:rPr>
        <w:t>stability</w:t>
      </w:r>
      <w:proofErr w:type="spellEnd"/>
      <w:r w:rsidRPr="00B84FAF">
        <w:rPr>
          <w:color w:val="0070C0"/>
        </w:rPr>
        <w:t xml:space="preserve">, the </w:t>
      </w:r>
      <w:proofErr w:type="spellStart"/>
      <w:r w:rsidRPr="00B84FAF">
        <w:rPr>
          <w:color w:val="0070C0"/>
        </w:rPr>
        <w:t>project</w:t>
      </w:r>
      <w:proofErr w:type="spellEnd"/>
      <w:r w:rsidRPr="00B84FAF">
        <w:rPr>
          <w:color w:val="0070C0"/>
        </w:rPr>
        <w:t xml:space="preserve"> proposes a </w:t>
      </w:r>
      <w:proofErr w:type="spellStart"/>
      <w:r w:rsidRPr="00B84FAF">
        <w:rPr>
          <w:b/>
          <w:bCs/>
          <w:color w:val="0070C0"/>
        </w:rPr>
        <w:t>hierarchical</w:t>
      </w:r>
      <w:proofErr w:type="spellEnd"/>
      <w:r w:rsidRPr="00B84FAF">
        <w:rPr>
          <w:b/>
          <w:bCs/>
          <w:color w:val="0070C0"/>
        </w:rPr>
        <w:t xml:space="preserve"> and intelligent </w:t>
      </w:r>
      <w:proofErr w:type="spellStart"/>
      <w:r w:rsidRPr="00B84FAF">
        <w:rPr>
          <w:b/>
          <w:bCs/>
          <w:color w:val="0070C0"/>
        </w:rPr>
        <w:t>risk</w:t>
      </w:r>
      <w:proofErr w:type="spellEnd"/>
      <w:r w:rsidRPr="00B84FAF">
        <w:rPr>
          <w:b/>
          <w:bCs/>
          <w:color w:val="0070C0"/>
        </w:rPr>
        <w:t xml:space="preserve"> management </w:t>
      </w:r>
      <w:proofErr w:type="spellStart"/>
      <w:r w:rsidRPr="00B84FAF">
        <w:rPr>
          <w:b/>
          <w:bCs/>
          <w:color w:val="0070C0"/>
        </w:rPr>
        <w:t>approach</w:t>
      </w:r>
      <w:proofErr w:type="spellEnd"/>
      <w:r w:rsidRPr="00B84FAF">
        <w:rPr>
          <w:color w:val="0070C0"/>
        </w:rPr>
        <w:t>.</w:t>
      </w:r>
      <w:r w:rsidR="009F54E9">
        <w:rPr>
          <w:color w:val="0070C0"/>
        </w:rPr>
        <w:t xml:space="preserve"> </w:t>
      </w:r>
      <w:r w:rsidRPr="00B84FAF">
        <w:rPr>
          <w:color w:val="0070C0"/>
        </w:rPr>
        <w:t xml:space="preserve">This </w:t>
      </w:r>
      <w:proofErr w:type="spellStart"/>
      <w:r w:rsidRPr="00B84FAF">
        <w:rPr>
          <w:color w:val="0070C0"/>
        </w:rPr>
        <w:t>strategy</w:t>
      </w:r>
      <w:proofErr w:type="spellEnd"/>
      <w:r w:rsidRPr="00B84FAF">
        <w:rPr>
          <w:color w:val="0070C0"/>
        </w:rPr>
        <w:t xml:space="preserve"> </w:t>
      </w:r>
      <w:proofErr w:type="spellStart"/>
      <w:r w:rsidRPr="00B84FAF">
        <w:rPr>
          <w:color w:val="0070C0"/>
        </w:rPr>
        <w:t>is</w:t>
      </w:r>
      <w:proofErr w:type="spellEnd"/>
      <w:r w:rsidRPr="00B84FAF">
        <w:rPr>
          <w:color w:val="0070C0"/>
        </w:rPr>
        <w:t xml:space="preserve"> </w:t>
      </w:r>
      <w:proofErr w:type="spellStart"/>
      <w:r w:rsidRPr="00B84FAF">
        <w:rPr>
          <w:color w:val="0070C0"/>
        </w:rPr>
        <w:t>structured</w:t>
      </w:r>
      <w:proofErr w:type="spellEnd"/>
      <w:r w:rsidRPr="00B84FAF">
        <w:rPr>
          <w:color w:val="0070C0"/>
        </w:rPr>
        <w:t xml:space="preserve"> on </w:t>
      </w:r>
      <w:proofErr w:type="spellStart"/>
      <w:r w:rsidRPr="00B84FAF">
        <w:rPr>
          <w:color w:val="0070C0"/>
        </w:rPr>
        <w:t>two</w:t>
      </w:r>
      <w:proofErr w:type="spellEnd"/>
      <w:r w:rsidRPr="00B84FAF">
        <w:rPr>
          <w:color w:val="0070C0"/>
        </w:rPr>
        <w:t xml:space="preserve"> </w:t>
      </w:r>
      <w:proofErr w:type="spellStart"/>
      <w:r w:rsidRPr="00B84FAF">
        <w:rPr>
          <w:color w:val="0070C0"/>
        </w:rPr>
        <w:t>complementary</w:t>
      </w:r>
      <w:proofErr w:type="spellEnd"/>
      <w:r w:rsidRPr="00B84FAF">
        <w:rPr>
          <w:color w:val="0070C0"/>
        </w:rPr>
        <w:t xml:space="preserve"> </w:t>
      </w:r>
      <w:proofErr w:type="spellStart"/>
      <w:r w:rsidRPr="00B84FAF">
        <w:rPr>
          <w:color w:val="0070C0"/>
        </w:rPr>
        <w:t>levels</w:t>
      </w:r>
      <w:proofErr w:type="spellEnd"/>
      <w:r w:rsidRPr="00B84FAF">
        <w:rPr>
          <w:color w:val="0070C0"/>
        </w:rPr>
        <w:t xml:space="preserve">. First, a planning </w:t>
      </w:r>
      <w:proofErr w:type="spellStart"/>
      <w:r w:rsidRPr="00B84FAF">
        <w:rPr>
          <w:color w:val="0070C0"/>
        </w:rPr>
        <w:t>framework</w:t>
      </w:r>
      <w:proofErr w:type="spellEnd"/>
      <w:r w:rsidRPr="00B84FAF">
        <w:rPr>
          <w:color w:val="0070C0"/>
        </w:rPr>
        <w:t xml:space="preserve"> </w:t>
      </w:r>
      <w:proofErr w:type="spellStart"/>
      <w:r w:rsidRPr="00B84FAF">
        <w:rPr>
          <w:color w:val="0070C0"/>
        </w:rPr>
        <w:t>based</w:t>
      </w:r>
      <w:proofErr w:type="spellEnd"/>
      <w:r w:rsidRPr="00B84FAF">
        <w:rPr>
          <w:color w:val="0070C0"/>
        </w:rPr>
        <w:t xml:space="preserve"> on </w:t>
      </w:r>
      <w:r w:rsidRPr="00B84FAF">
        <w:rPr>
          <w:b/>
          <w:bCs/>
          <w:color w:val="0070C0"/>
        </w:rPr>
        <w:t xml:space="preserve">Dynamic </w:t>
      </w:r>
      <w:proofErr w:type="spellStart"/>
      <w:r w:rsidRPr="00B84FAF">
        <w:rPr>
          <w:b/>
          <w:bCs/>
          <w:color w:val="0070C0"/>
        </w:rPr>
        <w:t>Operational</w:t>
      </w:r>
      <w:proofErr w:type="spellEnd"/>
      <w:r w:rsidRPr="00B84FAF">
        <w:rPr>
          <w:b/>
          <w:bCs/>
          <w:color w:val="0070C0"/>
        </w:rPr>
        <w:t xml:space="preserve"> </w:t>
      </w:r>
      <w:proofErr w:type="spellStart"/>
      <w:r w:rsidRPr="00B84FAF">
        <w:rPr>
          <w:b/>
          <w:bCs/>
          <w:color w:val="0070C0"/>
        </w:rPr>
        <w:t>Envelopes</w:t>
      </w:r>
      <w:proofErr w:type="spellEnd"/>
      <w:r w:rsidRPr="00B84FAF">
        <w:rPr>
          <w:b/>
          <w:bCs/>
          <w:color w:val="0070C0"/>
        </w:rPr>
        <w:t xml:space="preserve"> (</w:t>
      </w:r>
      <w:proofErr w:type="spellStart"/>
      <w:r w:rsidRPr="00B84FAF">
        <w:rPr>
          <w:b/>
          <w:bCs/>
          <w:color w:val="0070C0"/>
        </w:rPr>
        <w:t>DOEs</w:t>
      </w:r>
      <w:proofErr w:type="spellEnd"/>
      <w:r w:rsidRPr="00B84FAF">
        <w:rPr>
          <w:b/>
          <w:bCs/>
          <w:color w:val="0070C0"/>
        </w:rPr>
        <w:t>)</w:t>
      </w:r>
      <w:r w:rsidRPr="00B84FAF">
        <w:rPr>
          <w:color w:val="0070C0"/>
        </w:rPr>
        <w:t xml:space="preserve"> </w:t>
      </w:r>
      <w:proofErr w:type="spellStart"/>
      <w:r w:rsidRPr="00B84FAF">
        <w:rPr>
          <w:color w:val="0070C0"/>
        </w:rPr>
        <w:t>defines</w:t>
      </w:r>
      <w:proofErr w:type="spellEnd"/>
      <w:r w:rsidRPr="00B84FAF">
        <w:rPr>
          <w:color w:val="0070C0"/>
        </w:rPr>
        <w:t xml:space="preserve"> power </w:t>
      </w:r>
      <w:proofErr w:type="spellStart"/>
      <w:r w:rsidRPr="00B84FAF">
        <w:rPr>
          <w:color w:val="0070C0"/>
        </w:rPr>
        <w:t>limits</w:t>
      </w:r>
      <w:proofErr w:type="spellEnd"/>
      <w:r w:rsidRPr="00B84FAF">
        <w:rPr>
          <w:color w:val="0070C0"/>
        </w:rPr>
        <w:t xml:space="preserve"> (import/export) for </w:t>
      </w:r>
      <w:proofErr w:type="spellStart"/>
      <w:r w:rsidRPr="00B84FAF">
        <w:rPr>
          <w:color w:val="0070C0"/>
        </w:rPr>
        <w:t>each</w:t>
      </w:r>
      <w:proofErr w:type="spellEnd"/>
      <w:r w:rsidRPr="00B84FAF">
        <w:rPr>
          <w:color w:val="0070C0"/>
        </w:rPr>
        <w:t xml:space="preserve"> </w:t>
      </w:r>
      <w:proofErr w:type="spellStart"/>
      <w:r w:rsidRPr="00B84FAF">
        <w:rPr>
          <w:color w:val="0070C0"/>
        </w:rPr>
        <w:t>connection</w:t>
      </w:r>
      <w:proofErr w:type="spellEnd"/>
      <w:r w:rsidRPr="00B84FAF">
        <w:rPr>
          <w:color w:val="0070C0"/>
        </w:rPr>
        <w:t xml:space="preserve"> point over a 24-hour horizon. </w:t>
      </w:r>
      <w:proofErr w:type="spellStart"/>
      <w:r w:rsidRPr="00B84FAF">
        <w:rPr>
          <w:color w:val="0070C0"/>
        </w:rPr>
        <w:t>Calculated</w:t>
      </w:r>
      <w:proofErr w:type="spellEnd"/>
      <w:r w:rsidRPr="00B84FAF">
        <w:rPr>
          <w:color w:val="0070C0"/>
        </w:rPr>
        <w:t xml:space="preserve"> </w:t>
      </w:r>
      <w:proofErr w:type="spellStart"/>
      <w:r w:rsidRPr="00B84FAF">
        <w:rPr>
          <w:color w:val="0070C0"/>
        </w:rPr>
        <w:t>through</w:t>
      </w:r>
      <w:proofErr w:type="spellEnd"/>
      <w:r w:rsidRPr="00B84FAF">
        <w:rPr>
          <w:color w:val="0070C0"/>
        </w:rPr>
        <w:t xml:space="preserve"> </w:t>
      </w:r>
      <w:proofErr w:type="spellStart"/>
      <w:r w:rsidRPr="00B84FAF">
        <w:rPr>
          <w:color w:val="0070C0"/>
        </w:rPr>
        <w:t>stochastic</w:t>
      </w:r>
      <w:proofErr w:type="spellEnd"/>
      <w:r w:rsidRPr="00B84FAF">
        <w:rPr>
          <w:color w:val="0070C0"/>
        </w:rPr>
        <w:t xml:space="preserve"> </w:t>
      </w:r>
      <w:proofErr w:type="spellStart"/>
      <w:r w:rsidRPr="00B84FAF">
        <w:rPr>
          <w:color w:val="0070C0"/>
        </w:rPr>
        <w:t>optimization</w:t>
      </w:r>
      <w:proofErr w:type="spellEnd"/>
      <w:r w:rsidRPr="00B84FAF">
        <w:rPr>
          <w:color w:val="0070C0"/>
        </w:rPr>
        <w:t xml:space="preserve">, </w:t>
      </w:r>
      <w:proofErr w:type="spellStart"/>
      <w:r w:rsidRPr="00B84FAF">
        <w:rPr>
          <w:color w:val="0070C0"/>
        </w:rPr>
        <w:t>these</w:t>
      </w:r>
      <w:proofErr w:type="spellEnd"/>
      <w:r w:rsidRPr="00B84FAF">
        <w:rPr>
          <w:color w:val="0070C0"/>
        </w:rPr>
        <w:t xml:space="preserve"> </w:t>
      </w:r>
      <w:proofErr w:type="spellStart"/>
      <w:r w:rsidRPr="00B84FAF">
        <w:rPr>
          <w:color w:val="0070C0"/>
        </w:rPr>
        <w:t>envelopes</w:t>
      </w:r>
      <w:proofErr w:type="spellEnd"/>
      <w:r w:rsidRPr="00B84FAF">
        <w:rPr>
          <w:color w:val="0070C0"/>
        </w:rPr>
        <w:t xml:space="preserve"> </w:t>
      </w:r>
      <w:proofErr w:type="spellStart"/>
      <w:r w:rsidRPr="00B84FAF">
        <w:rPr>
          <w:color w:val="0070C0"/>
        </w:rPr>
        <w:t>guarantee</w:t>
      </w:r>
      <w:proofErr w:type="spellEnd"/>
      <w:r w:rsidRPr="00B84FAF">
        <w:rPr>
          <w:color w:val="0070C0"/>
        </w:rPr>
        <w:t xml:space="preserve"> the </w:t>
      </w:r>
      <w:proofErr w:type="spellStart"/>
      <w:r w:rsidRPr="00B84FAF">
        <w:rPr>
          <w:color w:val="0070C0"/>
        </w:rPr>
        <w:t>physical</w:t>
      </w:r>
      <w:proofErr w:type="spellEnd"/>
      <w:r w:rsidRPr="00B84FAF">
        <w:rPr>
          <w:color w:val="0070C0"/>
        </w:rPr>
        <w:t xml:space="preserve"> </w:t>
      </w:r>
      <w:proofErr w:type="spellStart"/>
      <w:r w:rsidRPr="00B84FAF">
        <w:rPr>
          <w:color w:val="0070C0"/>
        </w:rPr>
        <w:t>security</w:t>
      </w:r>
      <w:proofErr w:type="spellEnd"/>
      <w:r w:rsidRPr="00B84FAF">
        <w:rPr>
          <w:color w:val="0070C0"/>
        </w:rPr>
        <w:t xml:space="preserve"> of the </w:t>
      </w:r>
      <w:proofErr w:type="spellStart"/>
      <w:r w:rsidRPr="00B84FAF">
        <w:rPr>
          <w:color w:val="0070C0"/>
        </w:rPr>
        <w:t>grid</w:t>
      </w:r>
      <w:proofErr w:type="spellEnd"/>
      <w:r w:rsidRPr="00B84FAF">
        <w:rPr>
          <w:color w:val="0070C0"/>
        </w:rPr>
        <w:t xml:space="preserve"> (voltage, </w:t>
      </w:r>
      <w:proofErr w:type="spellStart"/>
      <w:r w:rsidRPr="00B84FAF">
        <w:rPr>
          <w:color w:val="0070C0"/>
        </w:rPr>
        <w:t>load</w:t>
      </w:r>
      <w:proofErr w:type="spellEnd"/>
      <w:r w:rsidRPr="00B84FAF">
        <w:rPr>
          <w:color w:val="0070C0"/>
        </w:rPr>
        <w:t xml:space="preserve">) in the face of </w:t>
      </w:r>
      <w:proofErr w:type="spellStart"/>
      <w:r w:rsidRPr="00B84FAF">
        <w:rPr>
          <w:color w:val="0070C0"/>
        </w:rPr>
        <w:t>uncertainty</w:t>
      </w:r>
      <w:proofErr w:type="spellEnd"/>
      <w:r w:rsidRPr="00B84FAF">
        <w:rPr>
          <w:color w:val="0070C0"/>
        </w:rPr>
        <w:t xml:space="preserve">. Second, </w:t>
      </w:r>
      <w:proofErr w:type="spellStart"/>
      <w:r w:rsidRPr="00B84FAF">
        <w:rPr>
          <w:color w:val="0070C0"/>
        </w:rPr>
        <w:t>within</w:t>
      </w:r>
      <w:proofErr w:type="spellEnd"/>
      <w:r w:rsidRPr="00B84FAF">
        <w:rPr>
          <w:color w:val="0070C0"/>
        </w:rPr>
        <w:t xml:space="preserve"> </w:t>
      </w:r>
      <w:proofErr w:type="spellStart"/>
      <w:r w:rsidRPr="00B84FAF">
        <w:rPr>
          <w:color w:val="0070C0"/>
        </w:rPr>
        <w:t>these</w:t>
      </w:r>
      <w:proofErr w:type="spellEnd"/>
      <w:r w:rsidRPr="00B84FAF">
        <w:rPr>
          <w:color w:val="0070C0"/>
        </w:rPr>
        <w:t xml:space="preserve"> </w:t>
      </w:r>
      <w:proofErr w:type="spellStart"/>
      <w:r w:rsidRPr="00B84FAF">
        <w:rPr>
          <w:color w:val="0070C0"/>
        </w:rPr>
        <w:t>safe</w:t>
      </w:r>
      <w:proofErr w:type="spellEnd"/>
      <w:r w:rsidRPr="00B84FAF">
        <w:rPr>
          <w:color w:val="0070C0"/>
        </w:rPr>
        <w:t xml:space="preserve"> </w:t>
      </w:r>
      <w:proofErr w:type="spellStart"/>
      <w:r w:rsidRPr="00B84FAF">
        <w:rPr>
          <w:color w:val="0070C0"/>
        </w:rPr>
        <w:t>limits</w:t>
      </w:r>
      <w:proofErr w:type="spellEnd"/>
      <w:r w:rsidRPr="00B84FAF">
        <w:rPr>
          <w:color w:val="0070C0"/>
        </w:rPr>
        <w:t xml:space="preserve">, </w:t>
      </w:r>
      <w:r w:rsidRPr="00B84FAF">
        <w:rPr>
          <w:b/>
          <w:bCs/>
          <w:color w:val="0070C0"/>
        </w:rPr>
        <w:t xml:space="preserve">Multi-Agent </w:t>
      </w:r>
      <w:proofErr w:type="spellStart"/>
      <w:r w:rsidRPr="00B84FAF">
        <w:rPr>
          <w:b/>
          <w:bCs/>
          <w:color w:val="0070C0"/>
        </w:rPr>
        <w:t>Reinforcement</w:t>
      </w:r>
      <w:proofErr w:type="spellEnd"/>
      <w:r w:rsidRPr="00B84FAF">
        <w:rPr>
          <w:b/>
          <w:bCs/>
          <w:color w:val="0070C0"/>
        </w:rPr>
        <w:t xml:space="preserve"> Learning (MARL)</w:t>
      </w:r>
      <w:r w:rsidRPr="00B84FAF">
        <w:rPr>
          <w:color w:val="0070C0"/>
        </w:rPr>
        <w:t xml:space="preserve"> </w:t>
      </w:r>
      <w:proofErr w:type="spellStart"/>
      <w:r w:rsidRPr="00B84FAF">
        <w:rPr>
          <w:color w:val="0070C0"/>
        </w:rPr>
        <w:t>algorithms</w:t>
      </w:r>
      <w:proofErr w:type="spellEnd"/>
      <w:r w:rsidRPr="00B84FAF">
        <w:rPr>
          <w:color w:val="0070C0"/>
        </w:rPr>
        <w:t xml:space="preserve"> enable </w:t>
      </w:r>
      <w:proofErr w:type="spellStart"/>
      <w:r w:rsidRPr="00B84FAF">
        <w:rPr>
          <w:color w:val="0070C0"/>
        </w:rPr>
        <w:t>distributed</w:t>
      </w:r>
      <w:proofErr w:type="spellEnd"/>
      <w:r w:rsidRPr="00B84FAF">
        <w:rPr>
          <w:color w:val="0070C0"/>
        </w:rPr>
        <w:t xml:space="preserve">, real-time </w:t>
      </w:r>
      <w:proofErr w:type="spellStart"/>
      <w:r w:rsidRPr="00B84FAF">
        <w:rPr>
          <w:color w:val="0070C0"/>
        </w:rPr>
        <w:t>optimization</w:t>
      </w:r>
      <w:proofErr w:type="spellEnd"/>
      <w:r w:rsidRPr="00B84FAF">
        <w:rPr>
          <w:color w:val="0070C0"/>
        </w:rPr>
        <w:t xml:space="preserve">. The agents </w:t>
      </w:r>
      <w:proofErr w:type="spellStart"/>
      <w:r w:rsidRPr="00B84FAF">
        <w:rPr>
          <w:color w:val="0070C0"/>
        </w:rPr>
        <w:t>autonomously</w:t>
      </w:r>
      <w:proofErr w:type="spellEnd"/>
      <w:r w:rsidRPr="00B84FAF">
        <w:rPr>
          <w:color w:val="0070C0"/>
        </w:rPr>
        <w:t xml:space="preserve"> </w:t>
      </w:r>
      <w:proofErr w:type="spellStart"/>
      <w:r w:rsidRPr="00B84FAF">
        <w:rPr>
          <w:color w:val="0070C0"/>
        </w:rPr>
        <w:t>learn</w:t>
      </w:r>
      <w:proofErr w:type="spellEnd"/>
      <w:r w:rsidRPr="00B84FAF">
        <w:rPr>
          <w:color w:val="0070C0"/>
        </w:rPr>
        <w:t xml:space="preserve"> to </w:t>
      </w:r>
      <w:proofErr w:type="spellStart"/>
      <w:r w:rsidRPr="00B84FAF">
        <w:rPr>
          <w:color w:val="0070C0"/>
        </w:rPr>
        <w:t>coordinate</w:t>
      </w:r>
      <w:proofErr w:type="spellEnd"/>
      <w:r w:rsidRPr="00B84FAF">
        <w:rPr>
          <w:color w:val="0070C0"/>
        </w:rPr>
        <w:t xml:space="preserve"> </w:t>
      </w:r>
      <w:proofErr w:type="spellStart"/>
      <w:r w:rsidRPr="00B84FAF">
        <w:rPr>
          <w:color w:val="0070C0"/>
        </w:rPr>
        <w:t>resources</w:t>
      </w:r>
      <w:proofErr w:type="spellEnd"/>
      <w:r w:rsidRPr="00B84FAF">
        <w:rPr>
          <w:color w:val="0070C0"/>
        </w:rPr>
        <w:t xml:space="preserve"> to balance objectives of </w:t>
      </w:r>
      <w:proofErr w:type="spellStart"/>
      <w:r w:rsidRPr="00B84FAF">
        <w:rPr>
          <w:color w:val="0070C0"/>
        </w:rPr>
        <w:t>cost</w:t>
      </w:r>
      <w:proofErr w:type="spellEnd"/>
      <w:r w:rsidRPr="00B84FAF">
        <w:rPr>
          <w:color w:val="0070C0"/>
        </w:rPr>
        <w:t xml:space="preserve">, </w:t>
      </w:r>
      <w:proofErr w:type="spellStart"/>
      <w:r w:rsidRPr="00B84FAF">
        <w:rPr>
          <w:color w:val="0070C0"/>
        </w:rPr>
        <w:t>reliability</w:t>
      </w:r>
      <w:proofErr w:type="spellEnd"/>
      <w:r w:rsidRPr="00B84FAF">
        <w:rPr>
          <w:color w:val="0070C0"/>
        </w:rPr>
        <w:t xml:space="preserve">, and user </w:t>
      </w:r>
      <w:proofErr w:type="spellStart"/>
      <w:r w:rsidRPr="00B84FAF">
        <w:rPr>
          <w:color w:val="0070C0"/>
        </w:rPr>
        <w:t>comfort</w:t>
      </w:r>
      <w:proofErr w:type="spellEnd"/>
      <w:r w:rsidRPr="00B84FAF">
        <w:rPr>
          <w:color w:val="0070C0"/>
        </w:rPr>
        <w:t>.</w:t>
      </w:r>
      <w:r w:rsidR="009F54E9">
        <w:rPr>
          <w:color w:val="0070C0"/>
        </w:rPr>
        <w:t xml:space="preserve"> </w:t>
      </w:r>
      <w:r w:rsidRPr="00B84FAF">
        <w:rPr>
          <w:color w:val="0070C0"/>
        </w:rPr>
        <w:t xml:space="preserve">The </w:t>
      </w:r>
      <w:proofErr w:type="spellStart"/>
      <w:r w:rsidRPr="00B84FAF">
        <w:rPr>
          <w:color w:val="0070C0"/>
        </w:rPr>
        <w:t>methodology</w:t>
      </w:r>
      <w:proofErr w:type="spellEnd"/>
      <w:r w:rsidRPr="00B84FAF">
        <w:rPr>
          <w:color w:val="0070C0"/>
        </w:rPr>
        <w:t xml:space="preserve"> </w:t>
      </w:r>
      <w:proofErr w:type="spellStart"/>
      <w:r w:rsidRPr="00B84FAF">
        <w:rPr>
          <w:color w:val="0070C0"/>
        </w:rPr>
        <w:t>innovates</w:t>
      </w:r>
      <w:proofErr w:type="spellEnd"/>
      <w:r w:rsidRPr="00B84FAF">
        <w:rPr>
          <w:color w:val="0070C0"/>
        </w:rPr>
        <w:t xml:space="preserve"> by </w:t>
      </w:r>
      <w:proofErr w:type="spellStart"/>
      <w:r w:rsidRPr="00B84FAF">
        <w:rPr>
          <w:color w:val="0070C0"/>
        </w:rPr>
        <w:t>using</w:t>
      </w:r>
      <w:proofErr w:type="spellEnd"/>
      <w:r w:rsidRPr="00B84FAF">
        <w:rPr>
          <w:color w:val="0070C0"/>
        </w:rPr>
        <w:t xml:space="preserve"> </w:t>
      </w:r>
      <w:r w:rsidRPr="00B84FAF">
        <w:rPr>
          <w:b/>
          <w:bCs/>
          <w:color w:val="0070C0"/>
        </w:rPr>
        <w:t>data-</w:t>
      </w:r>
      <w:proofErr w:type="spellStart"/>
      <w:r w:rsidRPr="00B84FAF">
        <w:rPr>
          <w:b/>
          <w:bCs/>
          <w:color w:val="0070C0"/>
        </w:rPr>
        <w:t>driven</w:t>
      </w:r>
      <w:proofErr w:type="spellEnd"/>
      <w:r w:rsidRPr="00B84FAF">
        <w:rPr>
          <w:b/>
          <w:bCs/>
          <w:color w:val="0070C0"/>
        </w:rPr>
        <w:t xml:space="preserve"> </w:t>
      </w:r>
      <w:proofErr w:type="spellStart"/>
      <w:r w:rsidRPr="00B84FAF">
        <w:rPr>
          <w:b/>
          <w:bCs/>
          <w:color w:val="0070C0"/>
        </w:rPr>
        <w:t>electro</w:t>
      </w:r>
      <w:proofErr w:type="spellEnd"/>
      <w:r w:rsidRPr="00B84FAF">
        <w:rPr>
          <w:b/>
          <w:bCs/>
          <w:color w:val="0070C0"/>
        </w:rPr>
        <w:t xml:space="preserve">-thermal </w:t>
      </w:r>
      <w:proofErr w:type="spellStart"/>
      <w:r w:rsidRPr="00B84FAF">
        <w:rPr>
          <w:b/>
          <w:bCs/>
          <w:color w:val="0070C0"/>
        </w:rPr>
        <w:t>models</w:t>
      </w:r>
      <w:proofErr w:type="spellEnd"/>
      <w:r w:rsidRPr="00B84FAF">
        <w:rPr>
          <w:color w:val="0070C0"/>
        </w:rPr>
        <w:t xml:space="preserve"> </w:t>
      </w:r>
      <w:proofErr w:type="spellStart"/>
      <w:r w:rsidRPr="00B84FAF">
        <w:rPr>
          <w:color w:val="0070C0"/>
        </w:rPr>
        <w:t>that</w:t>
      </w:r>
      <w:proofErr w:type="spellEnd"/>
      <w:r w:rsidRPr="00B84FAF">
        <w:rPr>
          <w:color w:val="0070C0"/>
        </w:rPr>
        <w:t xml:space="preserve"> </w:t>
      </w:r>
      <w:proofErr w:type="spellStart"/>
      <w:r w:rsidRPr="00B84FAF">
        <w:rPr>
          <w:color w:val="0070C0"/>
        </w:rPr>
        <w:t>treat</w:t>
      </w:r>
      <w:proofErr w:type="spellEnd"/>
      <w:r w:rsidRPr="00B84FAF">
        <w:rPr>
          <w:color w:val="0070C0"/>
        </w:rPr>
        <w:t xml:space="preserve"> buildings as active thermal </w:t>
      </w:r>
      <w:proofErr w:type="spellStart"/>
      <w:r w:rsidRPr="00B84FAF">
        <w:rPr>
          <w:color w:val="0070C0"/>
        </w:rPr>
        <w:t>storage</w:t>
      </w:r>
      <w:proofErr w:type="spellEnd"/>
      <w:r w:rsidRPr="00B84FAF">
        <w:rPr>
          <w:color w:val="0070C0"/>
        </w:rPr>
        <w:t xml:space="preserve"> </w:t>
      </w:r>
      <w:proofErr w:type="spellStart"/>
      <w:r w:rsidRPr="00B84FAF">
        <w:rPr>
          <w:color w:val="0070C0"/>
        </w:rPr>
        <w:t>units</w:t>
      </w:r>
      <w:proofErr w:type="spellEnd"/>
      <w:r w:rsidRPr="00B84FAF">
        <w:rPr>
          <w:color w:val="0070C0"/>
        </w:rPr>
        <w:t xml:space="preserve">, a low-cost source of </w:t>
      </w:r>
      <w:proofErr w:type="spellStart"/>
      <w:r w:rsidRPr="00B84FAF">
        <w:rPr>
          <w:color w:val="0070C0"/>
        </w:rPr>
        <w:t>flexibility</w:t>
      </w:r>
      <w:proofErr w:type="spellEnd"/>
      <w:r w:rsidRPr="00B84FAF">
        <w:rPr>
          <w:color w:val="0070C0"/>
        </w:rPr>
        <w:t xml:space="preserve">. The </w:t>
      </w:r>
      <w:proofErr w:type="spellStart"/>
      <w:r w:rsidRPr="00B84FAF">
        <w:rPr>
          <w:color w:val="0070C0"/>
        </w:rPr>
        <w:t>project</w:t>
      </w:r>
      <w:proofErr w:type="spellEnd"/>
      <w:r w:rsidRPr="00B84FAF">
        <w:rPr>
          <w:color w:val="0070C0"/>
        </w:rPr>
        <w:t xml:space="preserve"> </w:t>
      </w:r>
      <w:proofErr w:type="spellStart"/>
      <w:r w:rsidRPr="00B84FAF">
        <w:rPr>
          <w:color w:val="0070C0"/>
        </w:rPr>
        <w:t>also</w:t>
      </w:r>
      <w:proofErr w:type="spellEnd"/>
      <w:r w:rsidRPr="00B84FAF">
        <w:rPr>
          <w:color w:val="0070C0"/>
        </w:rPr>
        <w:t xml:space="preserve"> </w:t>
      </w:r>
      <w:proofErr w:type="spellStart"/>
      <w:r w:rsidRPr="00B84FAF">
        <w:rPr>
          <w:color w:val="0070C0"/>
        </w:rPr>
        <w:t>integrates</w:t>
      </w:r>
      <w:proofErr w:type="spellEnd"/>
      <w:r w:rsidRPr="00B84FAF">
        <w:rPr>
          <w:color w:val="0070C0"/>
        </w:rPr>
        <w:t xml:space="preserve"> </w:t>
      </w:r>
      <w:proofErr w:type="spellStart"/>
      <w:r w:rsidRPr="00B84FAF">
        <w:rPr>
          <w:b/>
          <w:bCs/>
          <w:color w:val="0070C0"/>
        </w:rPr>
        <w:t>fair</w:t>
      </w:r>
      <w:proofErr w:type="spellEnd"/>
      <w:r w:rsidRPr="00B84FAF">
        <w:rPr>
          <w:b/>
          <w:bCs/>
          <w:color w:val="0070C0"/>
        </w:rPr>
        <w:t xml:space="preserve"> </w:t>
      </w:r>
      <w:proofErr w:type="spellStart"/>
      <w:r w:rsidRPr="00B84FAF">
        <w:rPr>
          <w:b/>
          <w:bCs/>
          <w:color w:val="0070C0"/>
        </w:rPr>
        <w:t>economic</w:t>
      </w:r>
      <w:proofErr w:type="spellEnd"/>
      <w:r w:rsidRPr="00B84FAF">
        <w:rPr>
          <w:b/>
          <w:bCs/>
          <w:color w:val="0070C0"/>
        </w:rPr>
        <w:t xml:space="preserve"> </w:t>
      </w:r>
      <w:proofErr w:type="spellStart"/>
      <w:r w:rsidRPr="00B84FAF">
        <w:rPr>
          <w:b/>
          <w:bCs/>
          <w:color w:val="0070C0"/>
        </w:rPr>
        <w:t>models</w:t>
      </w:r>
      <w:proofErr w:type="spellEnd"/>
      <w:r w:rsidRPr="00B84FAF">
        <w:rPr>
          <w:color w:val="0070C0"/>
        </w:rPr>
        <w:t xml:space="preserve">, </w:t>
      </w:r>
      <w:proofErr w:type="spellStart"/>
      <w:r w:rsidRPr="00B84FAF">
        <w:rPr>
          <w:color w:val="0070C0"/>
        </w:rPr>
        <w:t>based</w:t>
      </w:r>
      <w:proofErr w:type="spellEnd"/>
      <w:r w:rsidRPr="00B84FAF">
        <w:rPr>
          <w:color w:val="0070C0"/>
        </w:rPr>
        <w:t xml:space="preserve"> on </w:t>
      </w:r>
      <w:proofErr w:type="spellStart"/>
      <w:r w:rsidRPr="00B84FAF">
        <w:rPr>
          <w:color w:val="0070C0"/>
        </w:rPr>
        <w:t>cooperative</w:t>
      </w:r>
      <w:proofErr w:type="spellEnd"/>
      <w:r w:rsidRPr="00B84FAF">
        <w:rPr>
          <w:color w:val="0070C0"/>
        </w:rPr>
        <w:t xml:space="preserve"> </w:t>
      </w:r>
      <w:proofErr w:type="spellStart"/>
      <w:r w:rsidRPr="00B84FAF">
        <w:rPr>
          <w:color w:val="0070C0"/>
        </w:rPr>
        <w:t>game</w:t>
      </w:r>
      <w:proofErr w:type="spellEnd"/>
      <w:r w:rsidRPr="00B84FAF">
        <w:rPr>
          <w:color w:val="0070C0"/>
        </w:rPr>
        <w:t xml:space="preserve"> </w:t>
      </w:r>
      <w:proofErr w:type="spellStart"/>
      <w:r w:rsidRPr="00B84FAF">
        <w:rPr>
          <w:color w:val="0070C0"/>
        </w:rPr>
        <w:t>theory</w:t>
      </w:r>
      <w:proofErr w:type="spellEnd"/>
      <w:r w:rsidRPr="00B84FAF">
        <w:rPr>
          <w:color w:val="0070C0"/>
        </w:rPr>
        <w:t xml:space="preserve">, to value user contributions and </w:t>
      </w:r>
      <w:proofErr w:type="spellStart"/>
      <w:r w:rsidRPr="00B84FAF">
        <w:rPr>
          <w:color w:val="0070C0"/>
        </w:rPr>
        <w:t>ensure</w:t>
      </w:r>
      <w:proofErr w:type="spellEnd"/>
      <w:r w:rsidRPr="00B84FAF">
        <w:rPr>
          <w:color w:val="0070C0"/>
        </w:rPr>
        <w:t xml:space="preserve"> </w:t>
      </w:r>
      <w:proofErr w:type="spellStart"/>
      <w:r w:rsidRPr="00B84FAF">
        <w:rPr>
          <w:color w:val="0070C0"/>
        </w:rPr>
        <w:t>their</w:t>
      </w:r>
      <w:proofErr w:type="spellEnd"/>
      <w:r w:rsidRPr="00B84FAF">
        <w:rPr>
          <w:color w:val="0070C0"/>
        </w:rPr>
        <w:t xml:space="preserve"> engagement. The </w:t>
      </w:r>
      <w:proofErr w:type="spellStart"/>
      <w:r w:rsidRPr="00B84FAF">
        <w:rPr>
          <w:color w:val="0070C0"/>
        </w:rPr>
        <w:t>entire</w:t>
      </w:r>
      <w:proofErr w:type="spellEnd"/>
      <w:r w:rsidRPr="00B84FAF">
        <w:rPr>
          <w:color w:val="0070C0"/>
        </w:rPr>
        <w:t xml:space="preserve"> </w:t>
      </w:r>
      <w:proofErr w:type="spellStart"/>
      <w:r w:rsidRPr="00B84FAF">
        <w:rPr>
          <w:color w:val="0070C0"/>
        </w:rPr>
        <w:t>framework</w:t>
      </w:r>
      <w:proofErr w:type="spellEnd"/>
      <w:r w:rsidRPr="00B84FAF">
        <w:rPr>
          <w:color w:val="0070C0"/>
        </w:rPr>
        <w:t xml:space="preserve"> </w:t>
      </w:r>
      <w:proofErr w:type="spellStart"/>
      <w:r w:rsidRPr="00B84FAF">
        <w:rPr>
          <w:color w:val="0070C0"/>
        </w:rPr>
        <w:t>will</w:t>
      </w:r>
      <w:proofErr w:type="spellEnd"/>
      <w:r w:rsidRPr="00B84FAF">
        <w:rPr>
          <w:color w:val="0070C0"/>
        </w:rPr>
        <w:t xml:space="preserve"> </w:t>
      </w:r>
      <w:proofErr w:type="spellStart"/>
      <w:r w:rsidRPr="00B84FAF">
        <w:rPr>
          <w:color w:val="0070C0"/>
        </w:rPr>
        <w:t>be</w:t>
      </w:r>
      <w:proofErr w:type="spellEnd"/>
      <w:r w:rsidRPr="00B84FAF">
        <w:rPr>
          <w:color w:val="0070C0"/>
        </w:rPr>
        <w:t xml:space="preserve"> </w:t>
      </w:r>
      <w:proofErr w:type="spellStart"/>
      <w:r w:rsidRPr="00B84FAF">
        <w:rPr>
          <w:color w:val="0070C0"/>
        </w:rPr>
        <w:t>validated</w:t>
      </w:r>
      <w:proofErr w:type="spellEnd"/>
      <w:r w:rsidRPr="00B84FAF">
        <w:rPr>
          <w:color w:val="0070C0"/>
        </w:rPr>
        <w:t xml:space="preserve"> </w:t>
      </w:r>
      <w:proofErr w:type="spellStart"/>
      <w:r w:rsidRPr="00B84FAF">
        <w:rPr>
          <w:color w:val="0070C0"/>
        </w:rPr>
        <w:t>through</w:t>
      </w:r>
      <w:proofErr w:type="spellEnd"/>
      <w:r w:rsidRPr="00B84FAF">
        <w:rPr>
          <w:color w:val="0070C0"/>
        </w:rPr>
        <w:t xml:space="preserve"> an </w:t>
      </w:r>
      <w:proofErr w:type="spellStart"/>
      <w:r w:rsidRPr="00B84FAF">
        <w:rPr>
          <w:color w:val="0070C0"/>
        </w:rPr>
        <w:t>integrated</w:t>
      </w:r>
      <w:proofErr w:type="spellEnd"/>
      <w:r w:rsidRPr="00B84FAF">
        <w:rPr>
          <w:color w:val="0070C0"/>
        </w:rPr>
        <w:t xml:space="preserve"> </w:t>
      </w:r>
      <w:proofErr w:type="spellStart"/>
      <w:r w:rsidRPr="00B84FAF">
        <w:rPr>
          <w:color w:val="0070C0"/>
        </w:rPr>
        <w:t>co-simulation</w:t>
      </w:r>
      <w:proofErr w:type="spellEnd"/>
      <w:r w:rsidRPr="00B84FAF">
        <w:rPr>
          <w:color w:val="0070C0"/>
        </w:rPr>
        <w:t xml:space="preserve"> platform, </w:t>
      </w:r>
      <w:proofErr w:type="spellStart"/>
      <w:r w:rsidRPr="00B84FAF">
        <w:rPr>
          <w:color w:val="0070C0"/>
        </w:rPr>
        <w:t>leading</w:t>
      </w:r>
      <w:proofErr w:type="spellEnd"/>
      <w:r w:rsidRPr="00B84FAF">
        <w:rPr>
          <w:color w:val="0070C0"/>
        </w:rPr>
        <w:t xml:space="preserve"> to the production of </w:t>
      </w:r>
      <w:proofErr w:type="spellStart"/>
      <w:r w:rsidRPr="00B84FAF">
        <w:rPr>
          <w:color w:val="0070C0"/>
        </w:rPr>
        <w:t>robust</w:t>
      </w:r>
      <w:proofErr w:type="spellEnd"/>
      <w:r w:rsidRPr="00B84FAF">
        <w:rPr>
          <w:color w:val="0070C0"/>
        </w:rPr>
        <w:t xml:space="preserve"> design guides to help </w:t>
      </w:r>
      <w:proofErr w:type="spellStart"/>
      <w:r w:rsidRPr="00B84FAF">
        <w:rPr>
          <w:color w:val="0070C0"/>
        </w:rPr>
        <w:t>communities</w:t>
      </w:r>
      <w:proofErr w:type="spellEnd"/>
      <w:r w:rsidRPr="00B84FAF">
        <w:rPr>
          <w:color w:val="0070C0"/>
        </w:rPr>
        <w:t xml:space="preserve"> </w:t>
      </w:r>
      <w:proofErr w:type="gramStart"/>
      <w:r w:rsidRPr="00B84FAF">
        <w:rPr>
          <w:color w:val="0070C0"/>
        </w:rPr>
        <w:t>manage</w:t>
      </w:r>
      <w:proofErr w:type="gramEnd"/>
      <w:r w:rsidRPr="00B84FAF">
        <w:rPr>
          <w:color w:val="0070C0"/>
        </w:rPr>
        <w:t xml:space="preserve"> </w:t>
      </w:r>
      <w:proofErr w:type="spellStart"/>
      <w:r w:rsidRPr="00B84FAF">
        <w:rPr>
          <w:color w:val="0070C0"/>
        </w:rPr>
        <w:t>their</w:t>
      </w:r>
      <w:proofErr w:type="spellEnd"/>
      <w:r w:rsidRPr="00B84FAF">
        <w:rPr>
          <w:color w:val="0070C0"/>
        </w:rPr>
        <w:t xml:space="preserve"> </w:t>
      </w:r>
      <w:proofErr w:type="spellStart"/>
      <w:r w:rsidRPr="00B84FAF">
        <w:rPr>
          <w:color w:val="0070C0"/>
        </w:rPr>
        <w:t>energy</w:t>
      </w:r>
      <w:proofErr w:type="spellEnd"/>
      <w:r w:rsidRPr="00B84FAF">
        <w:rPr>
          <w:color w:val="0070C0"/>
        </w:rPr>
        <w:t xml:space="preserve"> transition.</w:t>
      </w:r>
    </w:p>
    <w:bookmarkEnd w:id="14"/>
    <w:p w14:paraId="14D2A475" w14:textId="663AD0D5" w:rsidR="001954F6" w:rsidRDefault="001954F6" w:rsidP="00F61C4A">
      <w:r>
        <w:br w:type="page"/>
      </w:r>
    </w:p>
    <w:p w14:paraId="5FCE1D78" w14:textId="77777777" w:rsidR="00E02A39" w:rsidRDefault="00E02A39"/>
    <w:p w14:paraId="233F5369" w14:textId="77777777" w:rsidR="00E02A39" w:rsidRDefault="00000000">
      <w:pPr>
        <w:pStyle w:val="Heading3"/>
      </w:pPr>
      <w:bookmarkStart w:id="15" w:name="references"/>
      <w:bookmarkEnd w:id="13"/>
      <w:r>
        <w:t>References</w:t>
      </w:r>
    </w:p>
    <w:p w14:paraId="4F6FA89A" w14:textId="77777777" w:rsidR="00E02A39" w:rsidRDefault="00000000">
      <w:bookmarkStart w:id="16" w:name="ref-Nagarsheth2024"/>
      <w:bookmarkStart w:id="17" w:name="refs"/>
      <w:r>
        <w:t xml:space="preserve">[1] </w:t>
      </w:r>
      <w:r>
        <w:tab/>
        <w:t xml:space="preserve">S. H. Nagarsheth, N. Henao, K. Agbossou, and M. Fournier, “Energy management set-up to exploit the flexibility potential of a multi-unit residential apartment building in a cold climate region,” </w:t>
      </w:r>
      <w:r>
        <w:rPr>
          <w:i/>
          <w:iCs/>
        </w:rPr>
        <w:t>IFAC-PapersOnLine</w:t>
      </w:r>
      <w:r>
        <w:t xml:space="preserve">, vol. 57, pp. 143–148, 2024, doi: </w:t>
      </w:r>
      <w:hyperlink r:id="rId11">
        <w:r>
          <w:rPr>
            <w:rStyle w:val="Hyperlink"/>
          </w:rPr>
          <w:t>10.1016/j.ifacol.2024.05.025</w:t>
        </w:r>
      </w:hyperlink>
      <w:r>
        <w:t>.</w:t>
      </w:r>
    </w:p>
    <w:p w14:paraId="09A40466" w14:textId="77777777" w:rsidR="00E02A39" w:rsidRDefault="00000000">
      <w:bookmarkStart w:id="18" w:name="ref-Toquica2020"/>
      <w:bookmarkEnd w:id="16"/>
      <w:r>
        <w:t xml:space="preserve">[2] </w:t>
      </w:r>
      <w:r>
        <w:tab/>
        <w:t xml:space="preserve">D. Toquica, K. Agbossou, R. Malhamé, N. Henao, S. Kelouwani, and A. Cardenas, “Adaptive Machine Learning for Automated Modeling of Residential Prosumer Agents,” </w:t>
      </w:r>
      <w:r>
        <w:rPr>
          <w:i/>
          <w:iCs/>
        </w:rPr>
        <w:t>Energies</w:t>
      </w:r>
      <w:r>
        <w:t xml:space="preserve">, vol. 13, no. 9, p. 2250, May 2020, doi: </w:t>
      </w:r>
      <w:hyperlink r:id="rId12">
        <w:r>
          <w:rPr>
            <w:rStyle w:val="Hyperlink"/>
          </w:rPr>
          <w:t>10.3390/en13092250</w:t>
        </w:r>
      </w:hyperlink>
      <w:r>
        <w:t>.</w:t>
      </w:r>
    </w:p>
    <w:p w14:paraId="74497878" w14:textId="77777777" w:rsidR="00E02A39" w:rsidRDefault="00000000">
      <w:bookmarkStart w:id="19" w:name="ref-Hosseini2023"/>
      <w:bookmarkEnd w:id="18"/>
      <w:r>
        <w:t xml:space="preserve">[3] </w:t>
      </w:r>
      <w:r>
        <w:tab/>
        <w:t xml:space="preserve">S. S. Hosseini, B. Delcroix, N. Henao, K. Agbossou, and S. Kelouwani, “Towards Feasible Solutions for Load Monitoring in Quebec Residences,” </w:t>
      </w:r>
      <w:r>
        <w:rPr>
          <w:i/>
          <w:iCs/>
        </w:rPr>
        <w:t>Sensors</w:t>
      </w:r>
      <w:r>
        <w:t xml:space="preserve">, vol. 23, no. 16, p. 7288, Aug. 2023, doi: </w:t>
      </w:r>
      <w:hyperlink r:id="rId13">
        <w:r>
          <w:rPr>
            <w:rStyle w:val="Hyperlink"/>
          </w:rPr>
          <w:t>10.3390/s23167288</w:t>
        </w:r>
      </w:hyperlink>
      <w:r>
        <w:t>.</w:t>
      </w:r>
    </w:p>
    <w:p w14:paraId="419F955F" w14:textId="77777777" w:rsidR="00E02A39" w:rsidRDefault="00000000">
      <w:bookmarkStart w:id="20" w:name="ref-Dab2024b"/>
      <w:bookmarkEnd w:id="19"/>
      <w:r>
        <w:t xml:space="preserve">[4] </w:t>
      </w:r>
      <w:r>
        <w:tab/>
        <w:t xml:space="preserve">K. Dab </w:t>
      </w:r>
      <w:r>
        <w:rPr>
          <w:i/>
          <w:iCs/>
        </w:rPr>
        <w:t>et al.</w:t>
      </w:r>
      <w:r>
        <w:t xml:space="preserve">, “Uncertainty Quantification in Load Forecasting for Smart Grids Using Non-Parametric Statistics,” </w:t>
      </w:r>
      <w:r>
        <w:rPr>
          <w:i/>
          <w:iCs/>
        </w:rPr>
        <w:t>IEEE Access</w:t>
      </w:r>
      <w:r>
        <w:t xml:space="preserve">, vol. 12, pp. 138000–138017, 2024, doi: </w:t>
      </w:r>
      <w:hyperlink r:id="rId14">
        <w:r>
          <w:rPr>
            <w:rStyle w:val="Hyperlink"/>
          </w:rPr>
          <w:t>10.1109/ACCESS.2024.3465229</w:t>
        </w:r>
      </w:hyperlink>
      <w:r>
        <w:t>.</w:t>
      </w:r>
    </w:p>
    <w:p w14:paraId="22322811" w14:textId="77777777" w:rsidR="00E02A39" w:rsidRDefault="00000000">
      <w:bookmarkStart w:id="21" w:name="ref-dominguez2022distributed"/>
      <w:bookmarkEnd w:id="20"/>
      <w:r>
        <w:t xml:space="preserve">[5] </w:t>
      </w:r>
      <w:r>
        <w:tab/>
        <w:t xml:space="preserve">J. A. Dominguez </w:t>
      </w:r>
      <w:r>
        <w:rPr>
          <w:i/>
          <w:iCs/>
        </w:rPr>
        <w:t>et al.</w:t>
      </w:r>
      <w:r>
        <w:t xml:space="preserve">, “Distributed Co-simulation for Smart Homes Energy Management in the Presence of Electrical Thermal Storage,” in </w:t>
      </w:r>
      <w:r>
        <w:rPr>
          <w:i/>
          <w:iCs/>
        </w:rPr>
        <w:t>IECON 2022 – 48th annual conference of the IEEE industrial electronics society</w:t>
      </w:r>
      <w:r>
        <w:t xml:space="preserve">, IEEE, 2022, pp. 1–6. doi: </w:t>
      </w:r>
      <w:hyperlink r:id="rId15">
        <w:r>
          <w:rPr>
            <w:rStyle w:val="Hyperlink"/>
          </w:rPr>
          <w:t>10.1109/IECON49645.2022.9969092</w:t>
        </w:r>
      </w:hyperlink>
      <w:r>
        <w:t>.</w:t>
      </w:r>
    </w:p>
    <w:p w14:paraId="7937E3BF" w14:textId="77777777" w:rsidR="00E02A39" w:rsidRDefault="00000000">
      <w:bookmarkStart w:id="22" w:name="ref-Vallianos2023"/>
      <w:bookmarkEnd w:id="21"/>
      <w:r>
        <w:t xml:space="preserve">[6] </w:t>
      </w:r>
      <w:r>
        <w:tab/>
        <w:t xml:space="preserve">C. Vallianos </w:t>
      </w:r>
      <w:r>
        <w:rPr>
          <w:i/>
          <w:iCs/>
        </w:rPr>
        <w:t>et al.</w:t>
      </w:r>
      <w:r>
        <w:t xml:space="preserve">, “Automated RC Model Generation for MPC Applications to Energy Flexibility Studies in Quebec Houses,” 2023, pp. 683–692. doi: </w:t>
      </w:r>
      <w:hyperlink r:id="rId16">
        <w:r>
          <w:rPr>
            <w:rStyle w:val="Hyperlink"/>
          </w:rPr>
          <w:t>10.1007/978-981-19-9822-5_73</w:t>
        </w:r>
      </w:hyperlink>
      <w:r>
        <w:t>.</w:t>
      </w:r>
    </w:p>
    <w:p w14:paraId="702912D7" w14:textId="77777777" w:rsidR="00E02A39" w:rsidRDefault="00000000">
      <w:bookmarkStart w:id="23" w:name="ref-Sabir2024"/>
      <w:bookmarkEnd w:id="22"/>
      <w:r>
        <w:t xml:space="preserve">[7] </w:t>
      </w:r>
      <w:r>
        <w:tab/>
        <w:t xml:space="preserve">S. Sabir </w:t>
      </w:r>
      <w:r>
        <w:rPr>
          <w:i/>
          <w:iCs/>
        </w:rPr>
        <w:t>et al.</w:t>
      </w:r>
      <w:r>
        <w:t xml:space="preserve">, “Modeling and Parameter Estimation of Electric Thermal Storage utilizing Residual Components for Residential Consumer,” in </w:t>
      </w:r>
      <w:r>
        <w:rPr>
          <w:i/>
          <w:iCs/>
        </w:rPr>
        <w:t>2024 IEEE conference on technologies for sustainability (SusTech)</w:t>
      </w:r>
      <w:r>
        <w:t xml:space="preserve">, IEEE, Apr. 2024, pp. 144–150. doi: </w:t>
      </w:r>
      <w:hyperlink r:id="rId17">
        <w:r>
          <w:rPr>
            <w:rStyle w:val="Hyperlink"/>
          </w:rPr>
          <w:t>10.1109/SusTech60925.2024.10553460</w:t>
        </w:r>
      </w:hyperlink>
      <w:r>
        <w:t>.</w:t>
      </w:r>
    </w:p>
    <w:p w14:paraId="72C4B711" w14:textId="77777777" w:rsidR="00E02A39" w:rsidRDefault="00000000">
      <w:bookmarkStart w:id="24" w:name="ref-Toquica2025"/>
      <w:bookmarkEnd w:id="23"/>
      <w:r>
        <w:t xml:space="preserve">[8] </w:t>
      </w:r>
      <w:r>
        <w:tab/>
        <w:t xml:space="preserve">D. Toquica, K. Agbossou, and N. Henao, “Multi-agent reinforcement learning for energy management in microgrids with shared hydrogen storage,” </w:t>
      </w:r>
      <w:r>
        <w:rPr>
          <w:i/>
          <w:iCs/>
        </w:rPr>
        <w:t>International Journal of Hydrogen Energy</w:t>
      </w:r>
      <w:r>
        <w:t xml:space="preserve">, vol. 144, pp. 1019–1027, Jul. 2025, doi: </w:t>
      </w:r>
      <w:hyperlink r:id="rId18">
        <w:r>
          <w:rPr>
            <w:rStyle w:val="Hyperlink"/>
          </w:rPr>
          <w:t>10.1016/j.ijhydene.2025.01.413</w:t>
        </w:r>
      </w:hyperlink>
      <w:r>
        <w:t>.</w:t>
      </w:r>
    </w:p>
    <w:p w14:paraId="7FAFF5D7" w14:textId="77777777" w:rsidR="00E02A39" w:rsidRDefault="00000000">
      <w:bookmarkStart w:id="25" w:name="ref-Dominguez2024a"/>
      <w:bookmarkEnd w:id="24"/>
      <w:r>
        <w:t xml:space="preserve">[9] </w:t>
      </w:r>
      <w:r>
        <w:tab/>
        <w:t xml:space="preserve">J. A. Dominguez, S. Sabir, N. Henao, K. Agbossou, J. C. Oviedo-Cepeda, and J. Campillo, “ORFLEX: Open Platform for Rapid Testing and Deploying Local Flexibility Markets,” in </w:t>
      </w:r>
      <w:r>
        <w:rPr>
          <w:i/>
          <w:iCs/>
        </w:rPr>
        <w:t>IECON 2024 - 50th annual conference of the IEEE industrial electronics society</w:t>
      </w:r>
      <w:r>
        <w:t xml:space="preserve">, IEEE, Nov. 2024, pp. 1–6. doi: </w:t>
      </w:r>
      <w:hyperlink r:id="rId19">
        <w:r>
          <w:rPr>
            <w:rStyle w:val="Hyperlink"/>
          </w:rPr>
          <w:t>10.1109/IECON55916.2024.10905357</w:t>
        </w:r>
      </w:hyperlink>
      <w:r>
        <w:t>.</w:t>
      </w:r>
    </w:p>
    <w:p w14:paraId="1C774440" w14:textId="77777777" w:rsidR="00E02A39" w:rsidRDefault="00000000">
      <w:bookmarkStart w:id="26" w:name="ref-dominguez2023stochastic"/>
      <w:bookmarkEnd w:id="25"/>
      <w:r>
        <w:t xml:space="preserve">[10] </w:t>
      </w:r>
      <w:r>
        <w:tab/>
        <w:t xml:space="preserve">J. Domínguez-Jiménez, N. Henao, K. Agbossou, A. Parrado, J. Campillo, and S. H. Nagarsheth, “A Stochastic Approach to Integrating Electrical Thermal Storage in Distributed Demand Response for Nordic Communities With Wind Power Generation,” </w:t>
      </w:r>
      <w:r>
        <w:rPr>
          <w:i/>
          <w:iCs/>
        </w:rPr>
        <w:t>IEEE Open Journal of Industry Applications</w:t>
      </w:r>
      <w:r>
        <w:t xml:space="preserve">, vol. 4, pp. 121–138, 2023, doi: </w:t>
      </w:r>
      <w:hyperlink r:id="rId20">
        <w:r>
          <w:rPr>
            <w:rStyle w:val="Hyperlink"/>
          </w:rPr>
          <w:t>10.1109/OJIA.2023.3264651</w:t>
        </w:r>
      </w:hyperlink>
      <w:r>
        <w:t>.</w:t>
      </w:r>
    </w:p>
    <w:p w14:paraId="26820A91" w14:textId="77777777" w:rsidR="00E02A39" w:rsidRDefault="00000000">
      <w:bookmarkStart w:id="27" w:name="ref-Dominguez2024"/>
      <w:bookmarkEnd w:id="26"/>
      <w:r>
        <w:t xml:space="preserve">[11] </w:t>
      </w:r>
      <w:r>
        <w:tab/>
        <w:t xml:space="preserve">J. A. Dominguez, K. Agbossou, N. Henao, S. H. Nagarsheth, J. Campillo, and L. Rueda, “Distributed stochastic energy coordination for residential prosumers: Framework and implementation,” </w:t>
      </w:r>
      <w:r>
        <w:rPr>
          <w:i/>
          <w:iCs/>
        </w:rPr>
        <w:t>Sustainable Energy, Grids and Networks</w:t>
      </w:r>
      <w:r>
        <w:t xml:space="preserve">, vol. 38, p. 101324, Jun. 2024, doi: </w:t>
      </w:r>
      <w:hyperlink r:id="rId21">
        <w:r>
          <w:rPr>
            <w:rStyle w:val="Hyperlink"/>
          </w:rPr>
          <w:t>10.1016/j.segan.2024.101324</w:t>
        </w:r>
      </w:hyperlink>
      <w:r>
        <w:t>.</w:t>
      </w:r>
    </w:p>
    <w:p w14:paraId="65DC22CF" w14:textId="77777777" w:rsidR="00E02A39" w:rsidRDefault="00000000">
      <w:bookmarkStart w:id="28" w:name="ref-Dominguez2025"/>
      <w:bookmarkEnd w:id="27"/>
      <w:r>
        <w:t xml:space="preserve">[12] </w:t>
      </w:r>
      <w:r>
        <w:tab/>
        <w:t xml:space="preserve">J. A. Dominguez, N. Henao, A. Parrado, K. Agbossou, J. Campillo, and L. Rueda, “Risk-aware distributed chance constrained energy coordination in energy communities,” </w:t>
      </w:r>
      <w:r>
        <w:rPr>
          <w:i/>
          <w:iCs/>
        </w:rPr>
        <w:t>Energy</w:t>
      </w:r>
      <w:r>
        <w:t xml:space="preserve">, vol. 318, p. 134778, Mar. 2025, doi: </w:t>
      </w:r>
      <w:hyperlink r:id="rId22">
        <w:r>
          <w:rPr>
            <w:rStyle w:val="Hyperlink"/>
          </w:rPr>
          <w:t>10.1016/j.energy.2025.134778</w:t>
        </w:r>
      </w:hyperlink>
      <w:r>
        <w:t>.</w:t>
      </w:r>
    </w:p>
    <w:p w14:paraId="493039A3" w14:textId="77777777" w:rsidR="00E02A39" w:rsidRDefault="00000000">
      <w:bookmarkStart w:id="29" w:name="ref-Galeano-Suarez2025"/>
      <w:bookmarkEnd w:id="28"/>
      <w:r>
        <w:t xml:space="preserve">[13] </w:t>
      </w:r>
      <w:r>
        <w:tab/>
        <w:t xml:space="preserve">D. Galeano-Suárez, D. Toquica, N. Henao, K. Agbossou, and J. C. Oviedo-Cepeda, “Impact of distribution locational marginal pricing and cost-sharing pricing mechanisms on fairness, efficiency, and voltage quality in transactive energy systems,” </w:t>
      </w:r>
      <w:r>
        <w:rPr>
          <w:i/>
          <w:iCs/>
        </w:rPr>
        <w:t>Utilities Policy</w:t>
      </w:r>
      <w:r>
        <w:t xml:space="preserve">, vol. 93, p. 101890, 2025, doi: </w:t>
      </w:r>
      <w:hyperlink r:id="rId23">
        <w:r>
          <w:rPr>
            <w:rStyle w:val="Hyperlink"/>
          </w:rPr>
          <w:t>10.1016/j.jup.2025.101890</w:t>
        </w:r>
      </w:hyperlink>
      <w:r>
        <w:t>.</w:t>
      </w:r>
    </w:p>
    <w:p w14:paraId="5A200545" w14:textId="77777777" w:rsidR="00E02A39" w:rsidRDefault="00000000">
      <w:bookmarkStart w:id="30" w:name="ref-Galeano-Suarez2025a"/>
      <w:bookmarkEnd w:id="29"/>
      <w:r>
        <w:t xml:space="preserve">[14] </w:t>
      </w:r>
      <w:r>
        <w:tab/>
        <w:t xml:space="preserve">D. Galeano-Suárez, D. Toquica, N. Henao, K. Agbossou, J. C. Oviedo-Cepeda, and M. Fournier, “Technical assessment framework for cost-sharing agreements in transactive energy systems,” </w:t>
      </w:r>
      <w:r>
        <w:rPr>
          <w:i/>
          <w:iCs/>
        </w:rPr>
        <w:t>Computers and Electrical Engineering</w:t>
      </w:r>
      <w:r>
        <w:t xml:space="preserve">, vol. 124, p. 110356, 2025, doi: </w:t>
      </w:r>
      <w:hyperlink r:id="rId24">
        <w:r>
          <w:rPr>
            <w:rStyle w:val="Hyperlink"/>
          </w:rPr>
          <w:t>10.1016/j.compeleceng.2025.110356</w:t>
        </w:r>
      </w:hyperlink>
      <w:r>
        <w:t>.</w:t>
      </w:r>
    </w:p>
    <w:p w14:paraId="197706DA" w14:textId="77777777" w:rsidR="00E02A39" w:rsidRDefault="00000000">
      <w:bookmarkStart w:id="31" w:name="ref-Fraija2024"/>
      <w:bookmarkEnd w:id="30"/>
      <w:r>
        <w:lastRenderedPageBreak/>
        <w:t xml:space="preserve">[15] </w:t>
      </w:r>
      <w:r>
        <w:tab/>
        <w:t xml:space="preserve">A. Fraija, N. Henao, K. Agbossou, S. Kelouwani, and M. Fournier, “Cooperative price-based demand response program for multiple aggregators based on multi-agent reinforcement learning and Shapley-value,” </w:t>
      </w:r>
      <w:r>
        <w:rPr>
          <w:i/>
          <w:iCs/>
        </w:rPr>
        <w:t>Sustainable Energy, Grids and Networks</w:t>
      </w:r>
      <w:r>
        <w:t xml:space="preserve">, vol. 40, p. 101560, Dec. 2024, doi: </w:t>
      </w:r>
      <w:hyperlink r:id="rId25">
        <w:r>
          <w:rPr>
            <w:rStyle w:val="Hyperlink"/>
          </w:rPr>
          <w:t>10.1016/j.segan.2024.101560</w:t>
        </w:r>
      </w:hyperlink>
      <w:r>
        <w:t>.</w:t>
      </w:r>
    </w:p>
    <w:p w14:paraId="064EAA6C" w14:textId="77777777" w:rsidR="00E02A39" w:rsidRDefault="00000000">
      <w:bookmarkStart w:id="32" w:name="ref-Toquica2024"/>
      <w:bookmarkEnd w:id="31"/>
      <w:r>
        <w:t xml:space="preserve">[16] </w:t>
      </w:r>
      <w:r>
        <w:tab/>
        <w:t xml:space="preserve">D. Toquica, K. Agbossou, and N. Henao, “Optimal Sizing of a Hydrogen Backup Grid to Support Renewable Generation in Microgrids,” in </w:t>
      </w:r>
      <w:r>
        <w:rPr>
          <w:i/>
          <w:iCs/>
        </w:rPr>
        <w:t>2024 12th international conference on smart grid (icSmartGrid)</w:t>
      </w:r>
      <w:r>
        <w:t xml:space="preserve">, IEEE, 2024, pp. 48–53. doi: </w:t>
      </w:r>
      <w:hyperlink r:id="rId26">
        <w:r>
          <w:rPr>
            <w:rStyle w:val="Hyperlink"/>
          </w:rPr>
          <w:t>10.1109/icSmartGrid61824.2024.10578221</w:t>
        </w:r>
      </w:hyperlink>
      <w:r>
        <w:t>.</w:t>
      </w:r>
    </w:p>
    <w:p w14:paraId="12ECA0D1" w14:textId="77777777" w:rsidR="00E02A39" w:rsidRDefault="00000000">
      <w:bookmarkStart w:id="33" w:name="ref-Nuvvula2024"/>
      <w:bookmarkEnd w:id="32"/>
      <w:r>
        <w:t xml:space="preserve">[17] </w:t>
      </w:r>
      <w:r>
        <w:tab/>
        <w:t xml:space="preserve">R. S. S. Nuvvula </w:t>
      </w:r>
      <w:r>
        <w:rPr>
          <w:i/>
          <w:iCs/>
        </w:rPr>
        <w:t>et al.</w:t>
      </w:r>
      <w:r>
        <w:t xml:space="preserve">, “Distributed multi-agent reinforcement learning for autonomus management of renewable energy microgrids,” pp. 1–6, 2024, doi: </w:t>
      </w:r>
      <w:hyperlink r:id="rId27">
        <w:r>
          <w:rPr>
            <w:rStyle w:val="Hyperlink"/>
          </w:rPr>
          <w:t>10.1109/icSmartGrid61824.2024.10578150</w:t>
        </w:r>
      </w:hyperlink>
      <w:r>
        <w:t>.</w:t>
      </w:r>
    </w:p>
    <w:p w14:paraId="1AE23284" w14:textId="77777777" w:rsidR="00E02A39" w:rsidRDefault="00000000">
      <w:bookmarkStart w:id="34" w:name="ref-Wang2024"/>
      <w:bookmarkEnd w:id="33"/>
      <w:r>
        <w:t xml:space="preserve">[18] </w:t>
      </w:r>
      <w:r>
        <w:tab/>
        <w:t xml:space="preserve">H. Wang, X. Wang, S. Liu, Q. Qin, and L. Xu, “Federated multi-agent reinforcement learning method for energy management of microgrids,” pp. 1–6, 2024, doi: </w:t>
      </w:r>
      <w:hyperlink r:id="rId28">
        <w:r>
          <w:rPr>
            <w:rStyle w:val="Hyperlink"/>
          </w:rPr>
          <w:t>10.1109/ICARCV63323.2024.10821707</w:t>
        </w:r>
      </w:hyperlink>
      <w:r>
        <w:t>.</w:t>
      </w:r>
    </w:p>
    <w:p w14:paraId="72B8BB74" w14:textId="77777777" w:rsidR="00E02A39" w:rsidRDefault="00000000">
      <w:bookmarkStart w:id="35" w:name="ref-Picioroaga2023"/>
      <w:bookmarkEnd w:id="34"/>
      <w:r>
        <w:t xml:space="preserve">[19] </w:t>
      </w:r>
      <w:r>
        <w:tab/>
        <w:t xml:space="preserve">I. I. Picioroaga, M. Luca, A. Tudose, D. O. Sidea, M. Eremia, and C. Bulac, “Resilience-driven optimal sizing of energy storage systems in remote microgrids,” </w:t>
      </w:r>
      <w:r>
        <w:rPr>
          <w:i/>
          <w:iCs/>
        </w:rPr>
        <w:t>Sustainability</w:t>
      </w:r>
      <w:r>
        <w:t xml:space="preserve">, vol. 15, no. 22, p. 16002, 2023, doi: </w:t>
      </w:r>
      <w:hyperlink r:id="rId29">
        <w:r>
          <w:rPr>
            <w:rStyle w:val="Hyperlink"/>
          </w:rPr>
          <w:t>10.3390/su152216002</w:t>
        </w:r>
      </w:hyperlink>
      <w:r>
        <w:t>.</w:t>
      </w:r>
    </w:p>
    <w:p w14:paraId="33FC589D" w14:textId="77777777" w:rsidR="00E02A39" w:rsidRDefault="00000000">
      <w:bookmarkStart w:id="36" w:name="ref-Ali2025"/>
      <w:bookmarkEnd w:id="35"/>
      <w:r>
        <w:t xml:space="preserve">[20] </w:t>
      </w:r>
      <w:r>
        <w:tab/>
        <w:t xml:space="preserve">A. M. Ali </w:t>
      </w:r>
      <w:r>
        <w:rPr>
          <w:i/>
          <w:iCs/>
        </w:rPr>
        <w:t>et al.</w:t>
      </w:r>
      <w:r>
        <w:t xml:space="preserve">, “Optimal sizing of energy resources considering configuration of energy storage systems in a microgrid,” </w:t>
      </w:r>
      <w:r>
        <w:rPr>
          <w:i/>
          <w:iCs/>
        </w:rPr>
        <w:t>Science and Technology for the Energy Transition</w:t>
      </w:r>
      <w:r>
        <w:t xml:space="preserve">, vol. 80, p. 6, 2025, doi: </w:t>
      </w:r>
      <w:hyperlink r:id="rId30">
        <w:r>
          <w:rPr>
            <w:rStyle w:val="Hyperlink"/>
          </w:rPr>
          <w:t>10.2516/stet/2025006</w:t>
        </w:r>
      </w:hyperlink>
      <w:r>
        <w:t>.</w:t>
      </w:r>
    </w:p>
    <w:p w14:paraId="72E04218" w14:textId="77777777" w:rsidR="00E02A39" w:rsidRDefault="00000000">
      <w:bookmarkStart w:id="37" w:name="ref-Brohi2025"/>
      <w:bookmarkEnd w:id="36"/>
      <w:r>
        <w:t xml:space="preserve">[21] </w:t>
      </w:r>
      <w:r>
        <w:tab/>
        <w:t xml:space="preserve">N. A. Brohi, G. Thirunavukkarasu, M. Seyedmahmoudian, K. Ahmed, A. Stojcevski, and S. Mekhilef, “Advances in hosting capacity assessment and enhancement techniques for distributed energy resources: A review of dynamic operating envelopes in the australian grid,” </w:t>
      </w:r>
      <w:r>
        <w:rPr>
          <w:i/>
          <w:iCs/>
        </w:rPr>
        <w:t>Energies</w:t>
      </w:r>
      <w:r>
        <w:t xml:space="preserve">, vol. 18, no. 11, p. 2922, 2025, doi: </w:t>
      </w:r>
      <w:hyperlink r:id="rId31">
        <w:r>
          <w:rPr>
            <w:rStyle w:val="Hyperlink"/>
          </w:rPr>
          <w:t>10.3390/en18112922</w:t>
        </w:r>
      </w:hyperlink>
      <w:r>
        <w:t>.</w:t>
      </w:r>
    </w:p>
    <w:p w14:paraId="2054825D" w14:textId="77777777" w:rsidR="00E02A39" w:rsidRDefault="00000000">
      <w:bookmarkStart w:id="38" w:name="ref-Wickramasinghe2025"/>
      <w:bookmarkEnd w:id="37"/>
      <w:r>
        <w:t xml:space="preserve">[22] </w:t>
      </w:r>
      <w:r>
        <w:tab/>
        <w:t xml:space="preserve">A. Wickramasinghe, D. M. Vilathgamuwa, G. Nourbakhsh, and P. Corry, “A review of dynamic operating envelopes: Computation, applications and challenges,” </w:t>
      </w:r>
      <w:r>
        <w:rPr>
          <w:i/>
          <w:iCs/>
        </w:rPr>
        <w:t>Modelling</w:t>
      </w:r>
      <w:r>
        <w:t xml:space="preserve">, vol. 6, no. 2, p. 29, 2025, doi: </w:t>
      </w:r>
      <w:hyperlink r:id="rId32">
        <w:r>
          <w:rPr>
            <w:rStyle w:val="Hyperlink"/>
          </w:rPr>
          <w:t>10.3390/modelling6020029</w:t>
        </w:r>
      </w:hyperlink>
      <w:r>
        <w:t>.</w:t>
      </w:r>
    </w:p>
    <w:p w14:paraId="6519F623" w14:textId="77777777" w:rsidR="00E02A39" w:rsidRDefault="00000000">
      <w:bookmarkStart w:id="39" w:name="ref-Mahmoodi2024"/>
      <w:bookmarkEnd w:id="38"/>
      <w:r>
        <w:t xml:space="preserve">[23] </w:t>
      </w:r>
      <w:r>
        <w:tab/>
        <w:t xml:space="preserve">M. Mahmoodi, L. Blackhall, I. M. Noori R. A. Member, A. Attarha, B. Weise, and A. Bhardwaj, “DER capacity assessment of active distribution systems using dynamic operating envelopes,” </w:t>
      </w:r>
      <w:r>
        <w:rPr>
          <w:i/>
          <w:iCs/>
        </w:rPr>
        <w:t>IEEE Transactions on Smart Grid</w:t>
      </w:r>
      <w:r>
        <w:t xml:space="preserve">, vol. 15, no. 1, pp. 532–544, 2024, doi: </w:t>
      </w:r>
      <w:hyperlink r:id="rId33">
        <w:r>
          <w:rPr>
            <w:rStyle w:val="Hyperlink"/>
          </w:rPr>
          <w:t>10.1109/TSG.2023.3313550</w:t>
        </w:r>
      </w:hyperlink>
      <w:r>
        <w:t>.</w:t>
      </w:r>
    </w:p>
    <w:p w14:paraId="30047A14" w14:textId="77777777" w:rsidR="00E02A39" w:rsidRDefault="00000000">
      <w:bookmarkStart w:id="40" w:name="ref-Koirala2024"/>
      <w:bookmarkEnd w:id="39"/>
      <w:r>
        <w:t xml:space="preserve">[24] </w:t>
      </w:r>
      <w:r>
        <w:tab/>
        <w:t xml:space="preserve">A. Koirala, F. Geth, and T. V. Acker, “Day-ahead dynamic operating envelopes using stochastic unbalanced optimal power flow,” </w:t>
      </w:r>
      <w:r>
        <w:rPr>
          <w:i/>
          <w:iCs/>
        </w:rPr>
        <w:t>Sustainable Energy, Grids and Networks</w:t>
      </w:r>
      <w:r>
        <w:t xml:space="preserve">, vol. 38, p. 101528, 2024, doi: </w:t>
      </w:r>
      <w:hyperlink r:id="rId34">
        <w:r>
          <w:rPr>
            <w:rStyle w:val="Hyperlink"/>
          </w:rPr>
          <w:t>10.1016/j.segan.2024.101528</w:t>
        </w:r>
      </w:hyperlink>
      <w:r>
        <w:t>.</w:t>
      </w:r>
    </w:p>
    <w:p w14:paraId="36CC112E" w14:textId="77777777" w:rsidR="00E02A39" w:rsidRDefault="00000000">
      <w:bookmarkStart w:id="41" w:name="ref-Zou2024"/>
      <w:bookmarkEnd w:id="40"/>
      <w:r>
        <w:t xml:space="preserve">[25] </w:t>
      </w:r>
      <w:r>
        <w:tab/>
        <w:t xml:space="preserve">Y. Zou, Y. Xu, and J.-Y. Li, “Aggregator-network coordinated peer-to-peer multi-energy trading via adaptive robust stochastic optimization,” </w:t>
      </w:r>
      <w:r>
        <w:rPr>
          <w:i/>
          <w:iCs/>
        </w:rPr>
        <w:t>IEEE Transactions on Power Systems</w:t>
      </w:r>
      <w:r>
        <w:t xml:space="preserve">, pp. 1–15, 2024, doi: </w:t>
      </w:r>
      <w:hyperlink r:id="rId35">
        <w:r>
          <w:rPr>
            <w:rStyle w:val="Hyperlink"/>
          </w:rPr>
          <w:t>10.1109/TPWRS.2024.3376808</w:t>
        </w:r>
      </w:hyperlink>
      <w:r>
        <w:t>.</w:t>
      </w:r>
    </w:p>
    <w:p w14:paraId="4DBBE93A" w14:textId="77777777" w:rsidR="00E02A39" w:rsidRDefault="00000000">
      <w:bookmarkStart w:id="42" w:name="ref-Omri2024"/>
      <w:bookmarkEnd w:id="41"/>
      <w:r>
        <w:t xml:space="preserve">[26] </w:t>
      </w:r>
      <w:r>
        <w:tab/>
        <w:t xml:space="preserve">M. Omri, M. Jooshaki, M. Fotuhi‐Firuzabad, P. Dehghanian, and F. Wang, “Stochastic optimization framework for microgrid operation in energy communities: Ensuring reliable power supply with distributed energy resources,” in </w:t>
      </w:r>
      <w:r>
        <w:rPr>
          <w:i/>
          <w:iCs/>
        </w:rPr>
        <w:t>2024 IEEE international conference on environment and electrical engineering and 2024 IEEE industrial and commercial power systems europe (EEEIC / ICPS europe)</w:t>
      </w:r>
      <w:r>
        <w:t xml:space="preserve">, 2024, pp. 1–6. doi: </w:t>
      </w:r>
      <w:hyperlink r:id="rId36">
        <w:r>
          <w:rPr>
            <w:rStyle w:val="Hyperlink"/>
          </w:rPr>
          <w:t>10.1109/EEM60825.2024.10608955</w:t>
        </w:r>
      </w:hyperlink>
      <w:r>
        <w:t>.</w:t>
      </w:r>
    </w:p>
    <w:p w14:paraId="3CEF35E7" w14:textId="77777777" w:rsidR="00E02A39" w:rsidRDefault="00000000">
      <w:bookmarkStart w:id="43" w:name="ref-Hou2024"/>
      <w:bookmarkEnd w:id="42"/>
      <w:r>
        <w:t xml:space="preserve">[27] </w:t>
      </w:r>
      <w:r>
        <w:tab/>
        <w:t xml:space="preserve">H. Hou </w:t>
      </w:r>
      <w:r>
        <w:rPr>
          <w:i/>
          <w:iCs/>
        </w:rPr>
        <w:t>et al.</w:t>
      </w:r>
      <w:r>
        <w:t xml:space="preserve">, “Distributed optimization for joint peer‐to‐peer electricity and carbon trading among multi‐energy microgrids considering renewable generation uncertainty,” </w:t>
      </w:r>
      <w:r>
        <w:rPr>
          <w:i/>
          <w:iCs/>
        </w:rPr>
        <w:t>IET Energy Conversion and Economics</w:t>
      </w:r>
      <w:r>
        <w:t xml:space="preserve">, vol. 5, no. 1, pp. 1–14, 2024, doi: </w:t>
      </w:r>
      <w:hyperlink r:id="rId37">
        <w:r>
          <w:rPr>
            <w:rStyle w:val="Hyperlink"/>
          </w:rPr>
          <w:t>10.1049/enc2.12110</w:t>
        </w:r>
      </w:hyperlink>
      <w:r>
        <w:t>.</w:t>
      </w:r>
    </w:p>
    <w:p w14:paraId="3FF3C4F8" w14:textId="77777777" w:rsidR="00E02A39" w:rsidRDefault="00000000">
      <w:bookmarkStart w:id="44" w:name="ref-Hashmi2023"/>
      <w:bookmarkEnd w:id="43"/>
      <w:r>
        <w:t xml:space="preserve">[28] </w:t>
      </w:r>
      <w:r>
        <w:tab/>
        <w:t xml:space="preserve">M. U. Hashmi and D. V. Hertem, “Robust dynamic operating envelopes for flexibility operation using only local voltage measurement,” </w:t>
      </w:r>
      <w:r>
        <w:rPr>
          <w:i/>
          <w:iCs/>
        </w:rPr>
        <w:t>arXiv preprint arXiv:2305.13079</w:t>
      </w:r>
      <w:r>
        <w:t xml:space="preserve">, 2023, doi: </w:t>
      </w:r>
      <w:hyperlink r:id="rId38">
        <w:r>
          <w:rPr>
            <w:rStyle w:val="Hyperlink"/>
          </w:rPr>
          <w:t>10.1109/TPWRS.2023.3308104</w:t>
        </w:r>
      </w:hyperlink>
      <w:r>
        <w:t>.</w:t>
      </w:r>
    </w:p>
    <w:p w14:paraId="05D84712" w14:textId="77777777" w:rsidR="00E02A39" w:rsidRDefault="00000000">
      <w:bookmarkStart w:id="45" w:name="ref-Zhao2024"/>
      <w:bookmarkEnd w:id="44"/>
      <w:r>
        <w:t xml:space="preserve">[29] </w:t>
      </w:r>
      <w:r>
        <w:tab/>
        <w:t xml:space="preserve">D. Zhao, C. Zhang, Y. Ning, and Y. Huo, “Real-time economic dispatching for microgrids based on flexibility envelopes,” </w:t>
      </w:r>
      <w:r>
        <w:rPr>
          <w:i/>
          <w:iCs/>
        </w:rPr>
        <w:t>Processes</w:t>
      </w:r>
      <w:r>
        <w:t xml:space="preserve">, vol. 12, no. 11, p. 2544, 2024, doi: </w:t>
      </w:r>
      <w:hyperlink r:id="rId39">
        <w:r>
          <w:rPr>
            <w:rStyle w:val="Hyperlink"/>
          </w:rPr>
          <w:t>10.3390/pr12112544</w:t>
        </w:r>
      </w:hyperlink>
      <w:r>
        <w:t>.</w:t>
      </w:r>
    </w:p>
    <w:p w14:paraId="552B435F" w14:textId="77777777" w:rsidR="00E02A39" w:rsidRDefault="00000000">
      <w:bookmarkStart w:id="46" w:name="ref-Diaz2024"/>
      <w:bookmarkEnd w:id="45"/>
      <w:r>
        <w:lastRenderedPageBreak/>
        <w:t xml:space="preserve">[30] </w:t>
      </w:r>
      <w:r>
        <w:tab/>
        <w:t xml:space="preserve">J. L. Diaz, C. A. Vega Penagos, O. F. Rodriguez-Martinez, Y. V. Garcia, A. C. Luna, and F. Andrade, “Energy Management System for a Cluster of Microgrids Using Game Theory,” in </w:t>
      </w:r>
      <w:r>
        <w:rPr>
          <w:i/>
          <w:iCs/>
        </w:rPr>
        <w:t>2024 IEEE power &amp; energy society general meeting (PESGM)</w:t>
      </w:r>
      <w:r>
        <w:t xml:space="preserve">, 2024. doi: </w:t>
      </w:r>
      <w:hyperlink r:id="rId40">
        <w:r>
          <w:rPr>
            <w:rStyle w:val="Hyperlink"/>
          </w:rPr>
          <w:t>10.1109/PESGM51994.2024.10688800</w:t>
        </w:r>
      </w:hyperlink>
      <w:r>
        <w:t>.</w:t>
      </w:r>
    </w:p>
    <w:p w14:paraId="77C47870" w14:textId="77777777" w:rsidR="00E02A39" w:rsidRDefault="00000000">
      <w:bookmarkStart w:id="47" w:name="ref-Wang2024Cooperative"/>
      <w:bookmarkEnd w:id="46"/>
      <w:r>
        <w:t xml:space="preserve">[31] </w:t>
      </w:r>
      <w:r>
        <w:tab/>
        <w:t xml:space="preserve">H. Wang, X. Liu, S. Sun, W. Meng, X. Wu, and G. Liu, “The Electricity Price Mechanism based on Shapley Value Cooperative Game Theory in Microgrid,” in </w:t>
      </w:r>
      <w:r>
        <w:rPr>
          <w:i/>
          <w:iCs/>
        </w:rPr>
        <w:t>2024 7th international conference on energy, electrical and power engineering (CEEPE)</w:t>
      </w:r>
      <w:r>
        <w:t xml:space="preserve">, 2024. doi: </w:t>
      </w:r>
      <w:hyperlink r:id="rId41">
        <w:r>
          <w:rPr>
            <w:rStyle w:val="Hyperlink"/>
          </w:rPr>
          <w:t>10.1109/CEEPE62022.2024.10586343</w:t>
        </w:r>
      </w:hyperlink>
      <w:r>
        <w:t>.</w:t>
      </w:r>
    </w:p>
    <w:p w14:paraId="474D543A" w14:textId="77777777" w:rsidR="00E02A39" w:rsidRDefault="00000000">
      <w:bookmarkStart w:id="48" w:name="ref-Lu2025"/>
      <w:bookmarkEnd w:id="47"/>
      <w:r>
        <w:t xml:space="preserve">[32] </w:t>
      </w:r>
      <w:r>
        <w:tab/>
        <w:t xml:space="preserve">C. Lu, Z. Bao, S. Ye, H. Xu, W. Kong, and Y. Zhang, “Low-Carbon Economic Scheduling of Multi-Microgrid Based on Carbon Cost Allocation and Nash Bargaining,” in </w:t>
      </w:r>
      <w:r>
        <w:rPr>
          <w:i/>
          <w:iCs/>
        </w:rPr>
        <w:t>2025 international conference on electrical and power engineering (CEEPE)</w:t>
      </w:r>
      <w:r>
        <w:t xml:space="preserve">, 2025. doi: </w:t>
      </w:r>
      <w:hyperlink r:id="rId42">
        <w:r>
          <w:rPr>
            <w:rStyle w:val="Hyperlink"/>
          </w:rPr>
          <w:t>10.1109/CEEPE64987.2025.11033872</w:t>
        </w:r>
      </w:hyperlink>
      <w:r>
        <w:t>.</w:t>
      </w:r>
    </w:p>
    <w:p w14:paraId="7CA51281" w14:textId="77777777" w:rsidR="00E02A39" w:rsidRDefault="00000000">
      <w:bookmarkStart w:id="49" w:name="ref-Jiang2024"/>
      <w:bookmarkEnd w:id="48"/>
      <w:r>
        <w:t xml:space="preserve">[33] </w:t>
      </w:r>
      <w:r>
        <w:tab/>
        <w:t xml:space="preserve">Z. Jiang, Y. Guo, and H. Sun, “Bargaining-based allocation of dynamic operating envelopes in distribution networks,” in </w:t>
      </w:r>
      <w:r>
        <w:rPr>
          <w:i/>
          <w:iCs/>
        </w:rPr>
        <w:t>2024 IEEE power and energy society general meeting (PESGM)</w:t>
      </w:r>
      <w:r>
        <w:t xml:space="preserve">, 2024, pp. 1–5. doi: </w:t>
      </w:r>
      <w:hyperlink r:id="rId43">
        <w:r>
          <w:rPr>
            <w:rStyle w:val="Hyperlink"/>
          </w:rPr>
          <w:t>10.1109/PESGM51994.2024.10688561</w:t>
        </w:r>
      </w:hyperlink>
      <w:r>
        <w:t>.</w:t>
      </w:r>
      <w:bookmarkEnd w:id="12"/>
      <w:bookmarkEnd w:id="15"/>
      <w:bookmarkEnd w:id="17"/>
      <w:bookmarkEnd w:id="49"/>
    </w:p>
    <w:sectPr w:rsidR="00E02A39" w:rsidSect="00E7475E">
      <w:headerReference w:type="even" r:id="rId44"/>
      <w:headerReference w:type="default" r:id="rId45"/>
      <w:footerReference w:type="even" r:id="rId46"/>
      <w:footerReference w:type="default" r:id="rId47"/>
      <w:headerReference w:type="first" r:id="rId48"/>
      <w:footerReference w:type="first" r:id="rId49"/>
      <w:pgSz w:w="12240" w:h="15840"/>
      <w:pgMar w:top="851" w:right="851" w:bottom="851" w:left="851" w:header="709" w:footer="18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lson Fernando Henao" w:date="2025-10-11T09:13:00Z" w:initials="NH">
    <w:p w14:paraId="122D6F8F" w14:textId="77777777" w:rsidR="00892481" w:rsidRDefault="00892481" w:rsidP="00892481">
      <w:pPr>
        <w:pStyle w:val="CommentText"/>
        <w:jc w:val="left"/>
      </w:pPr>
      <w:r>
        <w:rPr>
          <w:rStyle w:val="CommentReference"/>
        </w:rPr>
        <w:annotationRef/>
      </w:r>
      <w:r>
        <w:rPr>
          <w:lang w:val="en-CA"/>
        </w:rPr>
        <w:t xml:space="preserve">La définition du type de charges a été faite au niveau de la méthodologie.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D6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9ABEE" w16cex:dateUtc="2025-10-11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D6F8F" w16cid:durableId="3EE9AB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9A75" w14:textId="77777777" w:rsidR="00A213E2" w:rsidRDefault="00A213E2">
      <w:pPr>
        <w:spacing w:after="0" w:line="240" w:lineRule="auto"/>
      </w:pPr>
      <w:r>
        <w:separator/>
      </w:r>
    </w:p>
  </w:endnote>
  <w:endnote w:type="continuationSeparator" w:id="0">
    <w:p w14:paraId="696E88BE" w14:textId="77777777" w:rsidR="00A213E2" w:rsidRDefault="00A21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Myriad Pro"/>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89DF" w14:textId="77777777" w:rsidR="00B56CCC" w:rsidRDefault="00B56C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51CA" w14:textId="77777777" w:rsidR="0082061C" w:rsidRDefault="0082061C">
    <w:pPr>
      <w:pStyle w:val="Footer"/>
      <w:jc w:val="right"/>
    </w:pPr>
    <w:r>
      <w:t xml:space="preserve">Page </w:t>
    </w:r>
    <w:sdt>
      <w:sdtPr>
        <w:id w:val="35239234"/>
        <w:docPartObj>
          <w:docPartGallery w:val="Page Numbers (Bottom of Page)"/>
          <w:docPartUnique/>
        </w:docPartObj>
      </w:sdtPr>
      <w:sdtContent>
        <w:r>
          <w:fldChar w:fldCharType="begin"/>
        </w:r>
        <w:r>
          <w:instrText>PAGE   \* MERGEFORMAT</w:instrText>
        </w:r>
        <w:r>
          <w:fldChar w:fldCharType="separate"/>
        </w:r>
        <w:r w:rsidR="000B018B" w:rsidRPr="000B018B">
          <w:rPr>
            <w:noProof/>
            <w:lang w:val="fr-FR"/>
          </w:rPr>
          <w:t>2</w:t>
        </w:r>
        <w:r>
          <w:fldChar w:fldCharType="end"/>
        </w:r>
      </w:sdtContent>
    </w:sdt>
  </w:p>
  <w:p w14:paraId="00AF9A9D" w14:textId="77777777" w:rsidR="0082061C" w:rsidRDefault="00820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CB09" w14:textId="77777777" w:rsidR="00B56CCC" w:rsidRDefault="00B56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B8CC" w14:textId="77777777" w:rsidR="00A213E2" w:rsidRDefault="00A213E2">
      <w:pPr>
        <w:spacing w:after="0" w:line="240" w:lineRule="auto"/>
      </w:pPr>
      <w:r>
        <w:separator/>
      </w:r>
    </w:p>
  </w:footnote>
  <w:footnote w:type="continuationSeparator" w:id="0">
    <w:p w14:paraId="773CBB99" w14:textId="77777777" w:rsidR="00A213E2" w:rsidRDefault="00A21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D656" w14:textId="77777777" w:rsidR="00B56CCC" w:rsidRDefault="00B56C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CFB0" w14:textId="77777777" w:rsidR="0082061C" w:rsidRPr="0051225A" w:rsidRDefault="0082061C" w:rsidP="0082061C">
    <w:pPr>
      <w:pStyle w:val="Heading1"/>
      <w:pBdr>
        <w:bottom w:val="single" w:sz="4" w:space="1" w:color="auto"/>
      </w:pBdr>
      <w:spacing w:before="0" w:after="0" w:line="240" w:lineRule="auto"/>
      <w:rPr>
        <w:b/>
      </w:rPr>
    </w:pPr>
    <w:r w:rsidRPr="0051225A">
      <w:rPr>
        <w:rFonts w:ascii="Times New Roman" w:hAnsi="Times New Roman" w:cs="Times New Roman"/>
        <w:b/>
        <w:sz w:val="28"/>
        <w:szCs w:val="28"/>
      </w:rPr>
      <w:t xml:space="preserve">PROPOSITION </w:t>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r>
    <w:r w:rsidRPr="0051225A">
      <w:rPr>
        <w:rFonts w:ascii="Times New Roman" w:hAnsi="Times New Roman" w:cs="Times New Roman"/>
        <w:b/>
        <w:sz w:val="28"/>
        <w:szCs w:val="28"/>
      </w:rPr>
      <w:tab/>
      <w:t>Kodjo</w:t>
    </w:r>
    <w:r w:rsidRPr="0051225A" w:rsidDel="006007F3">
      <w:rPr>
        <w:rFonts w:ascii="Times New Roman" w:hAnsi="Times New Roman" w:cs="Times New Roman"/>
        <w:b/>
        <w:sz w:val="28"/>
        <w:szCs w:val="28"/>
      </w:rPr>
      <w:t xml:space="preserve"> </w:t>
    </w:r>
    <w:r w:rsidRPr="0051225A">
      <w:rPr>
        <w:rFonts w:ascii="Times New Roman" w:hAnsi="Times New Roman" w:cs="Times New Roman"/>
        <w:b/>
        <w:sz w:val="28"/>
        <w:szCs w:val="28"/>
      </w:rPr>
      <w:t>AGBOSSOU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25A2" w14:textId="77777777" w:rsidR="00B56CCC" w:rsidRDefault="00B56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903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88233B"/>
    <w:multiLevelType w:val="hybridMultilevel"/>
    <w:tmpl w:val="73E0FAE8"/>
    <w:lvl w:ilvl="0" w:tplc="FFFFFFFF">
      <w:start w:val="1"/>
      <w:numFmt w:val="decimal"/>
      <w:lvlText w:val="%1."/>
      <w:lvlJc w:val="left"/>
      <w:pPr>
        <w:ind w:left="772" w:hanging="360"/>
      </w:pPr>
    </w:lvl>
    <w:lvl w:ilvl="1" w:tplc="0C0C0019" w:tentative="1">
      <w:start w:val="1"/>
      <w:numFmt w:val="lowerLetter"/>
      <w:lvlText w:val="%2."/>
      <w:lvlJc w:val="left"/>
      <w:pPr>
        <w:ind w:left="1492" w:hanging="360"/>
      </w:pPr>
    </w:lvl>
    <w:lvl w:ilvl="2" w:tplc="0C0C001B" w:tentative="1">
      <w:start w:val="1"/>
      <w:numFmt w:val="lowerRoman"/>
      <w:lvlText w:val="%3."/>
      <w:lvlJc w:val="right"/>
      <w:pPr>
        <w:ind w:left="2212" w:hanging="180"/>
      </w:pPr>
    </w:lvl>
    <w:lvl w:ilvl="3" w:tplc="0C0C000F" w:tentative="1">
      <w:start w:val="1"/>
      <w:numFmt w:val="decimal"/>
      <w:lvlText w:val="%4."/>
      <w:lvlJc w:val="left"/>
      <w:pPr>
        <w:ind w:left="2932" w:hanging="360"/>
      </w:pPr>
    </w:lvl>
    <w:lvl w:ilvl="4" w:tplc="0C0C0019" w:tentative="1">
      <w:start w:val="1"/>
      <w:numFmt w:val="lowerLetter"/>
      <w:lvlText w:val="%5."/>
      <w:lvlJc w:val="left"/>
      <w:pPr>
        <w:ind w:left="3652" w:hanging="360"/>
      </w:pPr>
    </w:lvl>
    <w:lvl w:ilvl="5" w:tplc="0C0C001B" w:tentative="1">
      <w:start w:val="1"/>
      <w:numFmt w:val="lowerRoman"/>
      <w:lvlText w:val="%6."/>
      <w:lvlJc w:val="right"/>
      <w:pPr>
        <w:ind w:left="4372" w:hanging="180"/>
      </w:pPr>
    </w:lvl>
    <w:lvl w:ilvl="6" w:tplc="0C0C000F" w:tentative="1">
      <w:start w:val="1"/>
      <w:numFmt w:val="decimal"/>
      <w:lvlText w:val="%7."/>
      <w:lvlJc w:val="left"/>
      <w:pPr>
        <w:ind w:left="5092" w:hanging="360"/>
      </w:pPr>
    </w:lvl>
    <w:lvl w:ilvl="7" w:tplc="0C0C0019" w:tentative="1">
      <w:start w:val="1"/>
      <w:numFmt w:val="lowerLetter"/>
      <w:lvlText w:val="%8."/>
      <w:lvlJc w:val="left"/>
      <w:pPr>
        <w:ind w:left="5812" w:hanging="360"/>
      </w:pPr>
    </w:lvl>
    <w:lvl w:ilvl="8" w:tplc="0C0C001B" w:tentative="1">
      <w:start w:val="1"/>
      <w:numFmt w:val="lowerRoman"/>
      <w:lvlText w:val="%9."/>
      <w:lvlJc w:val="right"/>
      <w:pPr>
        <w:ind w:left="6532" w:hanging="180"/>
      </w:pPr>
    </w:lvl>
  </w:abstractNum>
  <w:abstractNum w:abstractNumId="2" w15:restartNumberingAfterBreak="0">
    <w:nsid w:val="16E57E1A"/>
    <w:multiLevelType w:val="hybridMultilevel"/>
    <w:tmpl w:val="108E5C80"/>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6263946"/>
    <w:multiLevelType w:val="hybridMultilevel"/>
    <w:tmpl w:val="B602E176"/>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95B3CBB"/>
    <w:multiLevelType w:val="hybridMultilevel"/>
    <w:tmpl w:val="4932552A"/>
    <w:lvl w:ilvl="0" w:tplc="FFFFFFFF">
      <w:start w:val="1"/>
      <w:numFmt w:val="bullet"/>
      <w:lvlText w:val=""/>
      <w:lvlJc w:val="left"/>
      <w:pPr>
        <w:ind w:left="1068" w:hanging="360"/>
      </w:pPr>
      <w:rPr>
        <w:rFonts w:ascii="Symbol" w:hAnsi="Symbol"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5" w15:restartNumberingAfterBreak="0">
    <w:nsid w:val="2C4C08C6"/>
    <w:multiLevelType w:val="hybridMultilevel"/>
    <w:tmpl w:val="8674B400"/>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6953AC5"/>
    <w:multiLevelType w:val="hybridMultilevel"/>
    <w:tmpl w:val="3D1016B0"/>
    <w:lvl w:ilvl="0" w:tplc="00D693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5690D56"/>
    <w:multiLevelType w:val="hybridMultilevel"/>
    <w:tmpl w:val="87A2BAA6"/>
    <w:lvl w:ilvl="0" w:tplc="0C0C0017">
      <w:start w:val="1"/>
      <w:numFmt w:val="lowerLetter"/>
      <w:lvlText w:val="%1)"/>
      <w:lvlJc w:val="left"/>
      <w:pPr>
        <w:ind w:left="780" w:hanging="360"/>
      </w:pPr>
    </w:lvl>
    <w:lvl w:ilvl="1" w:tplc="0C0C0019" w:tentative="1">
      <w:start w:val="1"/>
      <w:numFmt w:val="lowerLetter"/>
      <w:lvlText w:val="%2."/>
      <w:lvlJc w:val="left"/>
      <w:pPr>
        <w:ind w:left="1500" w:hanging="360"/>
      </w:pPr>
    </w:lvl>
    <w:lvl w:ilvl="2" w:tplc="0C0C001B" w:tentative="1">
      <w:start w:val="1"/>
      <w:numFmt w:val="lowerRoman"/>
      <w:lvlText w:val="%3."/>
      <w:lvlJc w:val="right"/>
      <w:pPr>
        <w:ind w:left="2220" w:hanging="180"/>
      </w:pPr>
    </w:lvl>
    <w:lvl w:ilvl="3" w:tplc="0C0C000F" w:tentative="1">
      <w:start w:val="1"/>
      <w:numFmt w:val="decimal"/>
      <w:lvlText w:val="%4."/>
      <w:lvlJc w:val="left"/>
      <w:pPr>
        <w:ind w:left="2940" w:hanging="360"/>
      </w:pPr>
    </w:lvl>
    <w:lvl w:ilvl="4" w:tplc="0C0C0019" w:tentative="1">
      <w:start w:val="1"/>
      <w:numFmt w:val="lowerLetter"/>
      <w:lvlText w:val="%5."/>
      <w:lvlJc w:val="left"/>
      <w:pPr>
        <w:ind w:left="3660" w:hanging="360"/>
      </w:pPr>
    </w:lvl>
    <w:lvl w:ilvl="5" w:tplc="0C0C001B" w:tentative="1">
      <w:start w:val="1"/>
      <w:numFmt w:val="lowerRoman"/>
      <w:lvlText w:val="%6."/>
      <w:lvlJc w:val="right"/>
      <w:pPr>
        <w:ind w:left="4380" w:hanging="180"/>
      </w:pPr>
    </w:lvl>
    <w:lvl w:ilvl="6" w:tplc="0C0C000F" w:tentative="1">
      <w:start w:val="1"/>
      <w:numFmt w:val="decimal"/>
      <w:lvlText w:val="%7."/>
      <w:lvlJc w:val="left"/>
      <w:pPr>
        <w:ind w:left="5100" w:hanging="360"/>
      </w:pPr>
    </w:lvl>
    <w:lvl w:ilvl="7" w:tplc="0C0C0019" w:tentative="1">
      <w:start w:val="1"/>
      <w:numFmt w:val="lowerLetter"/>
      <w:lvlText w:val="%8."/>
      <w:lvlJc w:val="left"/>
      <w:pPr>
        <w:ind w:left="5820" w:hanging="360"/>
      </w:pPr>
    </w:lvl>
    <w:lvl w:ilvl="8" w:tplc="0C0C001B" w:tentative="1">
      <w:start w:val="1"/>
      <w:numFmt w:val="lowerRoman"/>
      <w:lvlText w:val="%9."/>
      <w:lvlJc w:val="right"/>
      <w:pPr>
        <w:ind w:left="6540" w:hanging="180"/>
      </w:pPr>
    </w:lvl>
  </w:abstractNum>
  <w:abstractNum w:abstractNumId="8" w15:restartNumberingAfterBreak="0">
    <w:nsid w:val="46531B5B"/>
    <w:multiLevelType w:val="hybridMultilevel"/>
    <w:tmpl w:val="73AE34A0"/>
    <w:lvl w:ilvl="0" w:tplc="0C0C0001">
      <w:start w:val="1"/>
      <w:numFmt w:val="bullet"/>
      <w:lvlText w:val=""/>
      <w:lvlJc w:val="left"/>
      <w:pPr>
        <w:ind w:left="1068" w:hanging="360"/>
      </w:pPr>
      <w:rPr>
        <w:rFonts w:ascii="Symbol" w:hAnsi="Symbol"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9" w15:restartNumberingAfterBreak="0">
    <w:nsid w:val="4F083B94"/>
    <w:multiLevelType w:val="hybridMultilevel"/>
    <w:tmpl w:val="A852F268"/>
    <w:lvl w:ilvl="0" w:tplc="0C0C0001">
      <w:start w:val="1"/>
      <w:numFmt w:val="bullet"/>
      <w:lvlText w:val=""/>
      <w:lvlJc w:val="left"/>
      <w:pPr>
        <w:ind w:left="1068" w:hanging="360"/>
      </w:pPr>
      <w:rPr>
        <w:rFonts w:ascii="Symbol" w:hAnsi="Symbol"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0" w15:restartNumberingAfterBreak="0">
    <w:nsid w:val="5C4D48FF"/>
    <w:multiLevelType w:val="hybridMultilevel"/>
    <w:tmpl w:val="28B0614A"/>
    <w:lvl w:ilvl="0" w:tplc="0C0C0001">
      <w:start w:val="1"/>
      <w:numFmt w:val="bullet"/>
      <w:lvlText w:val=""/>
      <w:lvlJc w:val="left"/>
      <w:pPr>
        <w:ind w:left="772" w:hanging="360"/>
      </w:pPr>
      <w:rPr>
        <w:rFonts w:ascii="Symbol" w:hAnsi="Symbol" w:hint="default"/>
      </w:rPr>
    </w:lvl>
    <w:lvl w:ilvl="1" w:tplc="0C0C0003" w:tentative="1">
      <w:start w:val="1"/>
      <w:numFmt w:val="bullet"/>
      <w:lvlText w:val="o"/>
      <w:lvlJc w:val="left"/>
      <w:pPr>
        <w:ind w:left="1492" w:hanging="360"/>
      </w:pPr>
      <w:rPr>
        <w:rFonts w:ascii="Courier New" w:hAnsi="Courier New" w:cs="Courier New" w:hint="default"/>
      </w:rPr>
    </w:lvl>
    <w:lvl w:ilvl="2" w:tplc="0C0C0005" w:tentative="1">
      <w:start w:val="1"/>
      <w:numFmt w:val="bullet"/>
      <w:lvlText w:val=""/>
      <w:lvlJc w:val="left"/>
      <w:pPr>
        <w:ind w:left="2212" w:hanging="360"/>
      </w:pPr>
      <w:rPr>
        <w:rFonts w:ascii="Wingdings" w:hAnsi="Wingdings" w:hint="default"/>
      </w:rPr>
    </w:lvl>
    <w:lvl w:ilvl="3" w:tplc="0C0C0001" w:tentative="1">
      <w:start w:val="1"/>
      <w:numFmt w:val="bullet"/>
      <w:lvlText w:val=""/>
      <w:lvlJc w:val="left"/>
      <w:pPr>
        <w:ind w:left="2932" w:hanging="360"/>
      </w:pPr>
      <w:rPr>
        <w:rFonts w:ascii="Symbol" w:hAnsi="Symbol" w:hint="default"/>
      </w:rPr>
    </w:lvl>
    <w:lvl w:ilvl="4" w:tplc="0C0C0003" w:tentative="1">
      <w:start w:val="1"/>
      <w:numFmt w:val="bullet"/>
      <w:lvlText w:val="o"/>
      <w:lvlJc w:val="left"/>
      <w:pPr>
        <w:ind w:left="3652" w:hanging="360"/>
      </w:pPr>
      <w:rPr>
        <w:rFonts w:ascii="Courier New" w:hAnsi="Courier New" w:cs="Courier New" w:hint="default"/>
      </w:rPr>
    </w:lvl>
    <w:lvl w:ilvl="5" w:tplc="0C0C0005" w:tentative="1">
      <w:start w:val="1"/>
      <w:numFmt w:val="bullet"/>
      <w:lvlText w:val=""/>
      <w:lvlJc w:val="left"/>
      <w:pPr>
        <w:ind w:left="4372" w:hanging="360"/>
      </w:pPr>
      <w:rPr>
        <w:rFonts w:ascii="Wingdings" w:hAnsi="Wingdings" w:hint="default"/>
      </w:rPr>
    </w:lvl>
    <w:lvl w:ilvl="6" w:tplc="0C0C0001" w:tentative="1">
      <w:start w:val="1"/>
      <w:numFmt w:val="bullet"/>
      <w:lvlText w:val=""/>
      <w:lvlJc w:val="left"/>
      <w:pPr>
        <w:ind w:left="5092" w:hanging="360"/>
      </w:pPr>
      <w:rPr>
        <w:rFonts w:ascii="Symbol" w:hAnsi="Symbol" w:hint="default"/>
      </w:rPr>
    </w:lvl>
    <w:lvl w:ilvl="7" w:tplc="0C0C0003" w:tentative="1">
      <w:start w:val="1"/>
      <w:numFmt w:val="bullet"/>
      <w:lvlText w:val="o"/>
      <w:lvlJc w:val="left"/>
      <w:pPr>
        <w:ind w:left="5812" w:hanging="360"/>
      </w:pPr>
      <w:rPr>
        <w:rFonts w:ascii="Courier New" w:hAnsi="Courier New" w:cs="Courier New" w:hint="default"/>
      </w:rPr>
    </w:lvl>
    <w:lvl w:ilvl="8" w:tplc="0C0C0005" w:tentative="1">
      <w:start w:val="1"/>
      <w:numFmt w:val="bullet"/>
      <w:lvlText w:val=""/>
      <w:lvlJc w:val="left"/>
      <w:pPr>
        <w:ind w:left="6532" w:hanging="360"/>
      </w:pPr>
      <w:rPr>
        <w:rFonts w:ascii="Wingdings" w:hAnsi="Wingdings" w:hint="default"/>
      </w:rPr>
    </w:lvl>
  </w:abstractNum>
  <w:abstractNum w:abstractNumId="11" w15:restartNumberingAfterBreak="0">
    <w:nsid w:val="5D7354E9"/>
    <w:multiLevelType w:val="hybridMultilevel"/>
    <w:tmpl w:val="8F10FAB8"/>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2" w15:restartNumberingAfterBreak="0">
    <w:nsid w:val="6B7D6D9E"/>
    <w:multiLevelType w:val="hybridMultilevel"/>
    <w:tmpl w:val="3C249562"/>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CE54C80"/>
    <w:multiLevelType w:val="hybridMultilevel"/>
    <w:tmpl w:val="322E73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192433F"/>
    <w:multiLevelType w:val="hybridMultilevel"/>
    <w:tmpl w:val="08284CE4"/>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D271AB9"/>
    <w:multiLevelType w:val="hybridMultilevel"/>
    <w:tmpl w:val="E23CB9F2"/>
    <w:lvl w:ilvl="0" w:tplc="0C0C0001">
      <w:start w:val="1"/>
      <w:numFmt w:val="bullet"/>
      <w:lvlText w:val=""/>
      <w:lvlJc w:val="left"/>
      <w:pPr>
        <w:ind w:left="1068" w:hanging="360"/>
      </w:pPr>
      <w:rPr>
        <w:rFonts w:ascii="Symbol" w:hAnsi="Symbol"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num w:numId="1" w16cid:durableId="439229782">
    <w:abstractNumId w:val="13"/>
  </w:num>
  <w:num w:numId="2" w16cid:durableId="541136691">
    <w:abstractNumId w:val="11"/>
  </w:num>
  <w:num w:numId="3" w16cid:durableId="816190207">
    <w:abstractNumId w:val="10"/>
  </w:num>
  <w:num w:numId="4" w16cid:durableId="1104035334">
    <w:abstractNumId w:val="1"/>
  </w:num>
  <w:num w:numId="5" w16cid:durableId="1927761129">
    <w:abstractNumId w:val="9"/>
  </w:num>
  <w:num w:numId="6" w16cid:durableId="1277643737">
    <w:abstractNumId w:val="8"/>
  </w:num>
  <w:num w:numId="7" w16cid:durableId="37359667">
    <w:abstractNumId w:val="4"/>
  </w:num>
  <w:num w:numId="8" w16cid:durableId="88670524">
    <w:abstractNumId w:val="15"/>
  </w:num>
  <w:num w:numId="9" w16cid:durableId="1515877730">
    <w:abstractNumId w:val="3"/>
  </w:num>
  <w:num w:numId="10" w16cid:durableId="290094301">
    <w:abstractNumId w:val="6"/>
  </w:num>
  <w:num w:numId="11" w16cid:durableId="1835877619">
    <w:abstractNumId w:val="7"/>
  </w:num>
  <w:num w:numId="12" w16cid:durableId="28343132">
    <w:abstractNumId w:val="14"/>
  </w:num>
  <w:num w:numId="13" w16cid:durableId="1734548516">
    <w:abstractNumId w:val="2"/>
  </w:num>
  <w:num w:numId="14" w16cid:durableId="78331910">
    <w:abstractNumId w:val="12"/>
  </w:num>
  <w:num w:numId="15" w16cid:durableId="2137486963">
    <w:abstractNumId w:val="5"/>
  </w:num>
  <w:num w:numId="16" w16cid:durableId="20561497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lson Fernando Henao">
    <w15:presenceInfo w15:providerId="Windows Live" w15:userId="9984215e8a8fbd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activeWritingStyle w:appName="MSWord" w:lang="fr-CA" w:vendorID="64" w:dllVersion="6" w:nlCheck="1" w:checkStyle="0"/>
  <w:activeWritingStyle w:appName="MSWord" w:lang="fr-CA"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950"/>
    <w:rsid w:val="00000271"/>
    <w:rsid w:val="00001251"/>
    <w:rsid w:val="00001538"/>
    <w:rsid w:val="00001996"/>
    <w:rsid w:val="00003FFE"/>
    <w:rsid w:val="000050F3"/>
    <w:rsid w:val="00005561"/>
    <w:rsid w:val="00005E55"/>
    <w:rsid w:val="00006C6A"/>
    <w:rsid w:val="00010429"/>
    <w:rsid w:val="000116D9"/>
    <w:rsid w:val="00011892"/>
    <w:rsid w:val="000136B6"/>
    <w:rsid w:val="00015091"/>
    <w:rsid w:val="00017012"/>
    <w:rsid w:val="0002051C"/>
    <w:rsid w:val="00021EEF"/>
    <w:rsid w:val="00025013"/>
    <w:rsid w:val="0002698F"/>
    <w:rsid w:val="00026B17"/>
    <w:rsid w:val="0003062E"/>
    <w:rsid w:val="00030CFE"/>
    <w:rsid w:val="0003121B"/>
    <w:rsid w:val="000342C4"/>
    <w:rsid w:val="000358A8"/>
    <w:rsid w:val="00037C90"/>
    <w:rsid w:val="00040DE8"/>
    <w:rsid w:val="000412E6"/>
    <w:rsid w:val="00041C7D"/>
    <w:rsid w:val="00041DE0"/>
    <w:rsid w:val="00044129"/>
    <w:rsid w:val="00053CED"/>
    <w:rsid w:val="00053D02"/>
    <w:rsid w:val="00054614"/>
    <w:rsid w:val="0005777D"/>
    <w:rsid w:val="00060039"/>
    <w:rsid w:val="000603F7"/>
    <w:rsid w:val="00060855"/>
    <w:rsid w:val="000608FC"/>
    <w:rsid w:val="00060D5D"/>
    <w:rsid w:val="0006159B"/>
    <w:rsid w:val="00061D22"/>
    <w:rsid w:val="00062DBF"/>
    <w:rsid w:val="00063F96"/>
    <w:rsid w:val="00064C5A"/>
    <w:rsid w:val="000654F2"/>
    <w:rsid w:val="00065731"/>
    <w:rsid w:val="0006592E"/>
    <w:rsid w:val="0006655F"/>
    <w:rsid w:val="00066C4A"/>
    <w:rsid w:val="00071231"/>
    <w:rsid w:val="00073F33"/>
    <w:rsid w:val="00074839"/>
    <w:rsid w:val="0008189F"/>
    <w:rsid w:val="00082DE0"/>
    <w:rsid w:val="0008363E"/>
    <w:rsid w:val="00092B0D"/>
    <w:rsid w:val="000940A6"/>
    <w:rsid w:val="00095BB3"/>
    <w:rsid w:val="000A0C61"/>
    <w:rsid w:val="000A1160"/>
    <w:rsid w:val="000A16C2"/>
    <w:rsid w:val="000A1E5D"/>
    <w:rsid w:val="000A7DAB"/>
    <w:rsid w:val="000A7E2B"/>
    <w:rsid w:val="000B00E9"/>
    <w:rsid w:val="000B018B"/>
    <w:rsid w:val="000B0726"/>
    <w:rsid w:val="000B0873"/>
    <w:rsid w:val="000B0E3F"/>
    <w:rsid w:val="000B3A1B"/>
    <w:rsid w:val="000B46F7"/>
    <w:rsid w:val="000B470E"/>
    <w:rsid w:val="000B47E8"/>
    <w:rsid w:val="000B4DF2"/>
    <w:rsid w:val="000B52B4"/>
    <w:rsid w:val="000B6564"/>
    <w:rsid w:val="000B6EFC"/>
    <w:rsid w:val="000B7166"/>
    <w:rsid w:val="000C2C6F"/>
    <w:rsid w:val="000C2D67"/>
    <w:rsid w:val="000C536F"/>
    <w:rsid w:val="000C638D"/>
    <w:rsid w:val="000C66A4"/>
    <w:rsid w:val="000C79A6"/>
    <w:rsid w:val="000D066E"/>
    <w:rsid w:val="000D2FA3"/>
    <w:rsid w:val="000D736D"/>
    <w:rsid w:val="000D78D7"/>
    <w:rsid w:val="000E0D6D"/>
    <w:rsid w:val="000E28AE"/>
    <w:rsid w:val="000E4593"/>
    <w:rsid w:val="000E5DB0"/>
    <w:rsid w:val="000E607F"/>
    <w:rsid w:val="000E68CF"/>
    <w:rsid w:val="000E7BE0"/>
    <w:rsid w:val="000F37AC"/>
    <w:rsid w:val="000F3E25"/>
    <w:rsid w:val="001024AB"/>
    <w:rsid w:val="001052FD"/>
    <w:rsid w:val="00110A1A"/>
    <w:rsid w:val="00110F51"/>
    <w:rsid w:val="00113ECA"/>
    <w:rsid w:val="00113EE8"/>
    <w:rsid w:val="00114FA3"/>
    <w:rsid w:val="0011545B"/>
    <w:rsid w:val="001166A8"/>
    <w:rsid w:val="00122A13"/>
    <w:rsid w:val="00123504"/>
    <w:rsid w:val="001279A8"/>
    <w:rsid w:val="001350E7"/>
    <w:rsid w:val="00136BD1"/>
    <w:rsid w:val="0014120C"/>
    <w:rsid w:val="00141FB4"/>
    <w:rsid w:val="00142A6A"/>
    <w:rsid w:val="00143882"/>
    <w:rsid w:val="0014609E"/>
    <w:rsid w:val="001504C4"/>
    <w:rsid w:val="001524FF"/>
    <w:rsid w:val="00153E0F"/>
    <w:rsid w:val="00155E6C"/>
    <w:rsid w:val="00157053"/>
    <w:rsid w:val="00157F2F"/>
    <w:rsid w:val="0016332E"/>
    <w:rsid w:val="00166217"/>
    <w:rsid w:val="00170468"/>
    <w:rsid w:val="00170508"/>
    <w:rsid w:val="00173FD6"/>
    <w:rsid w:val="001745EF"/>
    <w:rsid w:val="00177771"/>
    <w:rsid w:val="00184776"/>
    <w:rsid w:val="001861A9"/>
    <w:rsid w:val="00190667"/>
    <w:rsid w:val="0019497D"/>
    <w:rsid w:val="001954F6"/>
    <w:rsid w:val="001A12F6"/>
    <w:rsid w:val="001A18E9"/>
    <w:rsid w:val="001A5BCB"/>
    <w:rsid w:val="001A687D"/>
    <w:rsid w:val="001A7A7F"/>
    <w:rsid w:val="001B0E03"/>
    <w:rsid w:val="001B562E"/>
    <w:rsid w:val="001B66CF"/>
    <w:rsid w:val="001B75D2"/>
    <w:rsid w:val="001C0187"/>
    <w:rsid w:val="001C1FFE"/>
    <w:rsid w:val="001C3897"/>
    <w:rsid w:val="001C3BDD"/>
    <w:rsid w:val="001C45F6"/>
    <w:rsid w:val="001C5077"/>
    <w:rsid w:val="001D00FB"/>
    <w:rsid w:val="001D2366"/>
    <w:rsid w:val="001D74BF"/>
    <w:rsid w:val="001D7600"/>
    <w:rsid w:val="001E05CC"/>
    <w:rsid w:val="001E3047"/>
    <w:rsid w:val="001E5162"/>
    <w:rsid w:val="001F055B"/>
    <w:rsid w:val="001F0ADD"/>
    <w:rsid w:val="001F103F"/>
    <w:rsid w:val="001F4101"/>
    <w:rsid w:val="001F463A"/>
    <w:rsid w:val="001F5CAE"/>
    <w:rsid w:val="0020086C"/>
    <w:rsid w:val="0020240D"/>
    <w:rsid w:val="002037BC"/>
    <w:rsid w:val="002058DC"/>
    <w:rsid w:val="002064FF"/>
    <w:rsid w:val="0020750F"/>
    <w:rsid w:val="00210659"/>
    <w:rsid w:val="00212B1C"/>
    <w:rsid w:val="00212F7E"/>
    <w:rsid w:val="00213066"/>
    <w:rsid w:val="0022245A"/>
    <w:rsid w:val="002225D4"/>
    <w:rsid w:val="00222709"/>
    <w:rsid w:val="00222D77"/>
    <w:rsid w:val="00223C69"/>
    <w:rsid w:val="00224111"/>
    <w:rsid w:val="0022495D"/>
    <w:rsid w:val="00224E19"/>
    <w:rsid w:val="002258BA"/>
    <w:rsid w:val="00225B0A"/>
    <w:rsid w:val="002274C5"/>
    <w:rsid w:val="00232FD9"/>
    <w:rsid w:val="002332B6"/>
    <w:rsid w:val="002345B2"/>
    <w:rsid w:val="00235095"/>
    <w:rsid w:val="0023689D"/>
    <w:rsid w:val="00236CE4"/>
    <w:rsid w:val="002370B8"/>
    <w:rsid w:val="00237343"/>
    <w:rsid w:val="002373D5"/>
    <w:rsid w:val="00240C99"/>
    <w:rsid w:val="00240EBC"/>
    <w:rsid w:val="0024130B"/>
    <w:rsid w:val="0024152D"/>
    <w:rsid w:val="002439A1"/>
    <w:rsid w:val="0024402D"/>
    <w:rsid w:val="00245024"/>
    <w:rsid w:val="00250E02"/>
    <w:rsid w:val="00253CDE"/>
    <w:rsid w:val="002569C2"/>
    <w:rsid w:val="002616B4"/>
    <w:rsid w:val="00262CAE"/>
    <w:rsid w:val="00262F8D"/>
    <w:rsid w:val="0026305F"/>
    <w:rsid w:val="00263C05"/>
    <w:rsid w:val="0027019C"/>
    <w:rsid w:val="002705EB"/>
    <w:rsid w:val="00270CCB"/>
    <w:rsid w:val="002725A4"/>
    <w:rsid w:val="00274044"/>
    <w:rsid w:val="002751C2"/>
    <w:rsid w:val="00275556"/>
    <w:rsid w:val="0027698D"/>
    <w:rsid w:val="00281404"/>
    <w:rsid w:val="00283067"/>
    <w:rsid w:val="002878A5"/>
    <w:rsid w:val="002902F4"/>
    <w:rsid w:val="00290523"/>
    <w:rsid w:val="002928E9"/>
    <w:rsid w:val="0029320F"/>
    <w:rsid w:val="00295B36"/>
    <w:rsid w:val="00295EF0"/>
    <w:rsid w:val="00296009"/>
    <w:rsid w:val="0029682C"/>
    <w:rsid w:val="00296E6B"/>
    <w:rsid w:val="002A024E"/>
    <w:rsid w:val="002A1884"/>
    <w:rsid w:val="002A1CA4"/>
    <w:rsid w:val="002A3D08"/>
    <w:rsid w:val="002A59DB"/>
    <w:rsid w:val="002A62F5"/>
    <w:rsid w:val="002A7547"/>
    <w:rsid w:val="002B061A"/>
    <w:rsid w:val="002C40E0"/>
    <w:rsid w:val="002D0768"/>
    <w:rsid w:val="002D1FF1"/>
    <w:rsid w:val="002D411E"/>
    <w:rsid w:val="002D4544"/>
    <w:rsid w:val="002D6EC0"/>
    <w:rsid w:val="002D70D5"/>
    <w:rsid w:val="002D7166"/>
    <w:rsid w:val="002E05EF"/>
    <w:rsid w:val="002E265C"/>
    <w:rsid w:val="002E4B59"/>
    <w:rsid w:val="002E52C4"/>
    <w:rsid w:val="002E733D"/>
    <w:rsid w:val="002F042F"/>
    <w:rsid w:val="002F0757"/>
    <w:rsid w:val="002F13A7"/>
    <w:rsid w:val="002F3D2E"/>
    <w:rsid w:val="002F5AF3"/>
    <w:rsid w:val="002F5E2A"/>
    <w:rsid w:val="00302747"/>
    <w:rsid w:val="00303A0A"/>
    <w:rsid w:val="0031694F"/>
    <w:rsid w:val="00321801"/>
    <w:rsid w:val="00322BDD"/>
    <w:rsid w:val="00322FE4"/>
    <w:rsid w:val="003234B3"/>
    <w:rsid w:val="003247E2"/>
    <w:rsid w:val="00325183"/>
    <w:rsid w:val="00326337"/>
    <w:rsid w:val="003309DC"/>
    <w:rsid w:val="0033131F"/>
    <w:rsid w:val="0033180A"/>
    <w:rsid w:val="003360BD"/>
    <w:rsid w:val="00345639"/>
    <w:rsid w:val="0034741A"/>
    <w:rsid w:val="00347784"/>
    <w:rsid w:val="00350B57"/>
    <w:rsid w:val="003511E2"/>
    <w:rsid w:val="003520F0"/>
    <w:rsid w:val="003523D6"/>
    <w:rsid w:val="0035458B"/>
    <w:rsid w:val="003555A9"/>
    <w:rsid w:val="0035735E"/>
    <w:rsid w:val="00357BE6"/>
    <w:rsid w:val="00360AF9"/>
    <w:rsid w:val="00362A28"/>
    <w:rsid w:val="0036456F"/>
    <w:rsid w:val="003651E4"/>
    <w:rsid w:val="00365CD3"/>
    <w:rsid w:val="00372A30"/>
    <w:rsid w:val="003739E3"/>
    <w:rsid w:val="0037642B"/>
    <w:rsid w:val="003843B6"/>
    <w:rsid w:val="003844B6"/>
    <w:rsid w:val="003859A7"/>
    <w:rsid w:val="003862F6"/>
    <w:rsid w:val="00390B6F"/>
    <w:rsid w:val="00391907"/>
    <w:rsid w:val="00394203"/>
    <w:rsid w:val="00395112"/>
    <w:rsid w:val="003966E5"/>
    <w:rsid w:val="003A213F"/>
    <w:rsid w:val="003A3AA7"/>
    <w:rsid w:val="003A4427"/>
    <w:rsid w:val="003A53AC"/>
    <w:rsid w:val="003A5EB5"/>
    <w:rsid w:val="003A6222"/>
    <w:rsid w:val="003A70E0"/>
    <w:rsid w:val="003A7466"/>
    <w:rsid w:val="003A7CFC"/>
    <w:rsid w:val="003B0DE0"/>
    <w:rsid w:val="003B31D6"/>
    <w:rsid w:val="003B3B08"/>
    <w:rsid w:val="003B4EC9"/>
    <w:rsid w:val="003B5083"/>
    <w:rsid w:val="003C0E58"/>
    <w:rsid w:val="003C119D"/>
    <w:rsid w:val="003C2209"/>
    <w:rsid w:val="003C39E1"/>
    <w:rsid w:val="003C51BC"/>
    <w:rsid w:val="003C59D7"/>
    <w:rsid w:val="003C5AB7"/>
    <w:rsid w:val="003D0FF9"/>
    <w:rsid w:val="003D143A"/>
    <w:rsid w:val="003D608B"/>
    <w:rsid w:val="003D696B"/>
    <w:rsid w:val="003E028F"/>
    <w:rsid w:val="003E051D"/>
    <w:rsid w:val="003E0E12"/>
    <w:rsid w:val="003E180D"/>
    <w:rsid w:val="003E267B"/>
    <w:rsid w:val="003E5701"/>
    <w:rsid w:val="003F0924"/>
    <w:rsid w:val="003F233D"/>
    <w:rsid w:val="003F2AEE"/>
    <w:rsid w:val="003F2D35"/>
    <w:rsid w:val="003F4063"/>
    <w:rsid w:val="003F63A2"/>
    <w:rsid w:val="00401E68"/>
    <w:rsid w:val="00402709"/>
    <w:rsid w:val="00404410"/>
    <w:rsid w:val="00405474"/>
    <w:rsid w:val="0041064F"/>
    <w:rsid w:val="00413B0C"/>
    <w:rsid w:val="004145BC"/>
    <w:rsid w:val="00414F3D"/>
    <w:rsid w:val="00415138"/>
    <w:rsid w:val="004155BF"/>
    <w:rsid w:val="0041598F"/>
    <w:rsid w:val="00415B0F"/>
    <w:rsid w:val="00415FC4"/>
    <w:rsid w:val="004166DA"/>
    <w:rsid w:val="00416C1D"/>
    <w:rsid w:val="0041728E"/>
    <w:rsid w:val="004177D6"/>
    <w:rsid w:val="00417F75"/>
    <w:rsid w:val="00420279"/>
    <w:rsid w:val="00420BEC"/>
    <w:rsid w:val="0042235F"/>
    <w:rsid w:val="00422726"/>
    <w:rsid w:val="004235E9"/>
    <w:rsid w:val="004249BD"/>
    <w:rsid w:val="00424B12"/>
    <w:rsid w:val="00426BC6"/>
    <w:rsid w:val="00427606"/>
    <w:rsid w:val="0043164B"/>
    <w:rsid w:val="0043504E"/>
    <w:rsid w:val="00435924"/>
    <w:rsid w:val="00435B54"/>
    <w:rsid w:val="004368F3"/>
    <w:rsid w:val="00437877"/>
    <w:rsid w:val="00443F68"/>
    <w:rsid w:val="00444EA7"/>
    <w:rsid w:val="00445696"/>
    <w:rsid w:val="00451747"/>
    <w:rsid w:val="0045229C"/>
    <w:rsid w:val="00453DC2"/>
    <w:rsid w:val="00455B6D"/>
    <w:rsid w:val="00457412"/>
    <w:rsid w:val="0046062C"/>
    <w:rsid w:val="00460C96"/>
    <w:rsid w:val="004630EA"/>
    <w:rsid w:val="00465291"/>
    <w:rsid w:val="004657CE"/>
    <w:rsid w:val="004667AF"/>
    <w:rsid w:val="00467402"/>
    <w:rsid w:val="00471902"/>
    <w:rsid w:val="004722EB"/>
    <w:rsid w:val="00477DF9"/>
    <w:rsid w:val="00480199"/>
    <w:rsid w:val="00480581"/>
    <w:rsid w:val="00480D57"/>
    <w:rsid w:val="00481A6F"/>
    <w:rsid w:val="00484108"/>
    <w:rsid w:val="004866A5"/>
    <w:rsid w:val="004909B5"/>
    <w:rsid w:val="004912D3"/>
    <w:rsid w:val="00491C40"/>
    <w:rsid w:val="004939C0"/>
    <w:rsid w:val="00494C04"/>
    <w:rsid w:val="004951A5"/>
    <w:rsid w:val="00496BC4"/>
    <w:rsid w:val="004A01A0"/>
    <w:rsid w:val="004A229F"/>
    <w:rsid w:val="004A6CE8"/>
    <w:rsid w:val="004B01EA"/>
    <w:rsid w:val="004C20D4"/>
    <w:rsid w:val="004C30DA"/>
    <w:rsid w:val="004C4BCD"/>
    <w:rsid w:val="004C4ED1"/>
    <w:rsid w:val="004C5238"/>
    <w:rsid w:val="004C6C58"/>
    <w:rsid w:val="004D3925"/>
    <w:rsid w:val="004D3EDA"/>
    <w:rsid w:val="004D4177"/>
    <w:rsid w:val="004D54FC"/>
    <w:rsid w:val="004D562C"/>
    <w:rsid w:val="004D63B3"/>
    <w:rsid w:val="004D686D"/>
    <w:rsid w:val="004D7930"/>
    <w:rsid w:val="004E0004"/>
    <w:rsid w:val="004E309B"/>
    <w:rsid w:val="004E30AD"/>
    <w:rsid w:val="004E37A2"/>
    <w:rsid w:val="004E4D62"/>
    <w:rsid w:val="004E6FAE"/>
    <w:rsid w:val="004F1472"/>
    <w:rsid w:val="004F68D0"/>
    <w:rsid w:val="004F6FAE"/>
    <w:rsid w:val="0050062D"/>
    <w:rsid w:val="00501CEA"/>
    <w:rsid w:val="00502308"/>
    <w:rsid w:val="00503F47"/>
    <w:rsid w:val="00504045"/>
    <w:rsid w:val="00504CFE"/>
    <w:rsid w:val="00511E45"/>
    <w:rsid w:val="0051225A"/>
    <w:rsid w:val="0051422F"/>
    <w:rsid w:val="005146B2"/>
    <w:rsid w:val="005147D1"/>
    <w:rsid w:val="00520505"/>
    <w:rsid w:val="00523AE9"/>
    <w:rsid w:val="0052451A"/>
    <w:rsid w:val="005249C0"/>
    <w:rsid w:val="00524FA0"/>
    <w:rsid w:val="00525A65"/>
    <w:rsid w:val="005272D4"/>
    <w:rsid w:val="00527362"/>
    <w:rsid w:val="00531C90"/>
    <w:rsid w:val="00533C37"/>
    <w:rsid w:val="00534A33"/>
    <w:rsid w:val="00535B59"/>
    <w:rsid w:val="00540E18"/>
    <w:rsid w:val="00541638"/>
    <w:rsid w:val="0054178A"/>
    <w:rsid w:val="005424A9"/>
    <w:rsid w:val="00542581"/>
    <w:rsid w:val="00543285"/>
    <w:rsid w:val="00545752"/>
    <w:rsid w:val="005464DA"/>
    <w:rsid w:val="00552A78"/>
    <w:rsid w:val="00553E98"/>
    <w:rsid w:val="005554AB"/>
    <w:rsid w:val="00555FF2"/>
    <w:rsid w:val="005612DB"/>
    <w:rsid w:val="00565640"/>
    <w:rsid w:val="00565B29"/>
    <w:rsid w:val="00565C50"/>
    <w:rsid w:val="00565EF1"/>
    <w:rsid w:val="00567B53"/>
    <w:rsid w:val="0057124E"/>
    <w:rsid w:val="0057221C"/>
    <w:rsid w:val="00573153"/>
    <w:rsid w:val="00576C26"/>
    <w:rsid w:val="00580E07"/>
    <w:rsid w:val="00582B0D"/>
    <w:rsid w:val="0058508D"/>
    <w:rsid w:val="00590BCA"/>
    <w:rsid w:val="0059192B"/>
    <w:rsid w:val="00592738"/>
    <w:rsid w:val="00593D63"/>
    <w:rsid w:val="0059708C"/>
    <w:rsid w:val="00597505"/>
    <w:rsid w:val="00597B43"/>
    <w:rsid w:val="005A5B6E"/>
    <w:rsid w:val="005A712E"/>
    <w:rsid w:val="005B0465"/>
    <w:rsid w:val="005B2C85"/>
    <w:rsid w:val="005B5838"/>
    <w:rsid w:val="005B6D34"/>
    <w:rsid w:val="005C0065"/>
    <w:rsid w:val="005C0244"/>
    <w:rsid w:val="005C20EA"/>
    <w:rsid w:val="005C2F09"/>
    <w:rsid w:val="005C4406"/>
    <w:rsid w:val="005C59E2"/>
    <w:rsid w:val="005C6272"/>
    <w:rsid w:val="005D04A6"/>
    <w:rsid w:val="005D0941"/>
    <w:rsid w:val="005D3A92"/>
    <w:rsid w:val="005D5586"/>
    <w:rsid w:val="005D60D8"/>
    <w:rsid w:val="005E0284"/>
    <w:rsid w:val="005E0B58"/>
    <w:rsid w:val="005E1AA4"/>
    <w:rsid w:val="005E44A4"/>
    <w:rsid w:val="005E4EE7"/>
    <w:rsid w:val="005E55FE"/>
    <w:rsid w:val="005F149D"/>
    <w:rsid w:val="005F3ADA"/>
    <w:rsid w:val="005F468F"/>
    <w:rsid w:val="005F48A8"/>
    <w:rsid w:val="00600365"/>
    <w:rsid w:val="00602253"/>
    <w:rsid w:val="00602F3A"/>
    <w:rsid w:val="006042DE"/>
    <w:rsid w:val="00604886"/>
    <w:rsid w:val="00605C1E"/>
    <w:rsid w:val="00606F27"/>
    <w:rsid w:val="00610922"/>
    <w:rsid w:val="006115DD"/>
    <w:rsid w:val="00615910"/>
    <w:rsid w:val="00621195"/>
    <w:rsid w:val="00622C6A"/>
    <w:rsid w:val="006239E4"/>
    <w:rsid w:val="006252F4"/>
    <w:rsid w:val="006258F9"/>
    <w:rsid w:val="006274D2"/>
    <w:rsid w:val="00631CB5"/>
    <w:rsid w:val="00632935"/>
    <w:rsid w:val="0064027C"/>
    <w:rsid w:val="006412A3"/>
    <w:rsid w:val="0064167F"/>
    <w:rsid w:val="00641B03"/>
    <w:rsid w:val="00642FD9"/>
    <w:rsid w:val="00643AB0"/>
    <w:rsid w:val="00647937"/>
    <w:rsid w:val="006501D9"/>
    <w:rsid w:val="0065207B"/>
    <w:rsid w:val="0065386A"/>
    <w:rsid w:val="00653A62"/>
    <w:rsid w:val="00653B9A"/>
    <w:rsid w:val="006550C8"/>
    <w:rsid w:val="00657234"/>
    <w:rsid w:val="00657B9D"/>
    <w:rsid w:val="00660D37"/>
    <w:rsid w:val="00662093"/>
    <w:rsid w:val="00662DA7"/>
    <w:rsid w:val="0066345F"/>
    <w:rsid w:val="0066466D"/>
    <w:rsid w:val="00667489"/>
    <w:rsid w:val="00667D56"/>
    <w:rsid w:val="006708C8"/>
    <w:rsid w:val="006745F2"/>
    <w:rsid w:val="00674962"/>
    <w:rsid w:val="006755CD"/>
    <w:rsid w:val="00675C7D"/>
    <w:rsid w:val="00680611"/>
    <w:rsid w:val="006824CD"/>
    <w:rsid w:val="006879F6"/>
    <w:rsid w:val="00687C34"/>
    <w:rsid w:val="006906CD"/>
    <w:rsid w:val="00691148"/>
    <w:rsid w:val="00692526"/>
    <w:rsid w:val="00692A7F"/>
    <w:rsid w:val="006931E6"/>
    <w:rsid w:val="0069418C"/>
    <w:rsid w:val="00695DA5"/>
    <w:rsid w:val="00697C3A"/>
    <w:rsid w:val="006A277D"/>
    <w:rsid w:val="006A4817"/>
    <w:rsid w:val="006A601A"/>
    <w:rsid w:val="006B341B"/>
    <w:rsid w:val="006B5C76"/>
    <w:rsid w:val="006B65B9"/>
    <w:rsid w:val="006C0EF9"/>
    <w:rsid w:val="006C27DF"/>
    <w:rsid w:val="006C449E"/>
    <w:rsid w:val="006C6CDB"/>
    <w:rsid w:val="006D3867"/>
    <w:rsid w:val="006D4158"/>
    <w:rsid w:val="006D5353"/>
    <w:rsid w:val="006D5589"/>
    <w:rsid w:val="006D5837"/>
    <w:rsid w:val="006D587E"/>
    <w:rsid w:val="006D5D9B"/>
    <w:rsid w:val="006D7562"/>
    <w:rsid w:val="006E0188"/>
    <w:rsid w:val="006E0416"/>
    <w:rsid w:val="006E3800"/>
    <w:rsid w:val="006E39D7"/>
    <w:rsid w:val="006F06A1"/>
    <w:rsid w:val="006F1018"/>
    <w:rsid w:val="006F1434"/>
    <w:rsid w:val="006F41E7"/>
    <w:rsid w:val="006F4C6B"/>
    <w:rsid w:val="007016E4"/>
    <w:rsid w:val="00710C7C"/>
    <w:rsid w:val="007116AA"/>
    <w:rsid w:val="007126F4"/>
    <w:rsid w:val="007129F9"/>
    <w:rsid w:val="00713BA2"/>
    <w:rsid w:val="00713C34"/>
    <w:rsid w:val="00715DC7"/>
    <w:rsid w:val="00717F2B"/>
    <w:rsid w:val="007209B7"/>
    <w:rsid w:val="00721270"/>
    <w:rsid w:val="007213FE"/>
    <w:rsid w:val="007227B8"/>
    <w:rsid w:val="00723173"/>
    <w:rsid w:val="00726A7A"/>
    <w:rsid w:val="00732D8C"/>
    <w:rsid w:val="00733EE6"/>
    <w:rsid w:val="0073470E"/>
    <w:rsid w:val="00735ADD"/>
    <w:rsid w:val="00735BE8"/>
    <w:rsid w:val="00740F4A"/>
    <w:rsid w:val="00742058"/>
    <w:rsid w:val="007500BB"/>
    <w:rsid w:val="007519EC"/>
    <w:rsid w:val="00751E51"/>
    <w:rsid w:val="00752485"/>
    <w:rsid w:val="00752F04"/>
    <w:rsid w:val="00760F20"/>
    <w:rsid w:val="007634DC"/>
    <w:rsid w:val="00763581"/>
    <w:rsid w:val="00767DAD"/>
    <w:rsid w:val="00771CCA"/>
    <w:rsid w:val="00772884"/>
    <w:rsid w:val="00776504"/>
    <w:rsid w:val="00782C13"/>
    <w:rsid w:val="00784C0B"/>
    <w:rsid w:val="007913EE"/>
    <w:rsid w:val="0079160E"/>
    <w:rsid w:val="00791A4C"/>
    <w:rsid w:val="00791FC6"/>
    <w:rsid w:val="007971A9"/>
    <w:rsid w:val="007A11B0"/>
    <w:rsid w:val="007A2DFD"/>
    <w:rsid w:val="007A3D41"/>
    <w:rsid w:val="007A5293"/>
    <w:rsid w:val="007A7E91"/>
    <w:rsid w:val="007C1011"/>
    <w:rsid w:val="007C25AC"/>
    <w:rsid w:val="007C2CD0"/>
    <w:rsid w:val="007C469F"/>
    <w:rsid w:val="007C5377"/>
    <w:rsid w:val="007C7269"/>
    <w:rsid w:val="007D1EE6"/>
    <w:rsid w:val="007D5428"/>
    <w:rsid w:val="007D5FBD"/>
    <w:rsid w:val="007D68FA"/>
    <w:rsid w:val="007D7261"/>
    <w:rsid w:val="007E0170"/>
    <w:rsid w:val="007E0B9C"/>
    <w:rsid w:val="007E2129"/>
    <w:rsid w:val="007E215C"/>
    <w:rsid w:val="007E5288"/>
    <w:rsid w:val="007E75E6"/>
    <w:rsid w:val="007E7CE2"/>
    <w:rsid w:val="007F0ACB"/>
    <w:rsid w:val="007F1C43"/>
    <w:rsid w:val="007F2FCD"/>
    <w:rsid w:val="007F4A04"/>
    <w:rsid w:val="007F612E"/>
    <w:rsid w:val="007F76FF"/>
    <w:rsid w:val="00802878"/>
    <w:rsid w:val="008078FA"/>
    <w:rsid w:val="00811021"/>
    <w:rsid w:val="00811CD5"/>
    <w:rsid w:val="00812163"/>
    <w:rsid w:val="008131C4"/>
    <w:rsid w:val="00814F62"/>
    <w:rsid w:val="0081662E"/>
    <w:rsid w:val="0082061C"/>
    <w:rsid w:val="00820C62"/>
    <w:rsid w:val="00821153"/>
    <w:rsid w:val="00822EB8"/>
    <w:rsid w:val="00823516"/>
    <w:rsid w:val="00823C21"/>
    <w:rsid w:val="00824215"/>
    <w:rsid w:val="0082588C"/>
    <w:rsid w:val="00825D25"/>
    <w:rsid w:val="00826048"/>
    <w:rsid w:val="00826653"/>
    <w:rsid w:val="008267FF"/>
    <w:rsid w:val="008309E0"/>
    <w:rsid w:val="008347CB"/>
    <w:rsid w:val="008407CE"/>
    <w:rsid w:val="008435EA"/>
    <w:rsid w:val="008454B6"/>
    <w:rsid w:val="00845AA9"/>
    <w:rsid w:val="00845BBA"/>
    <w:rsid w:val="00846E49"/>
    <w:rsid w:val="00850DD6"/>
    <w:rsid w:val="008520B0"/>
    <w:rsid w:val="008522BA"/>
    <w:rsid w:val="0085241D"/>
    <w:rsid w:val="00855685"/>
    <w:rsid w:val="0085705E"/>
    <w:rsid w:val="0085761A"/>
    <w:rsid w:val="008618C0"/>
    <w:rsid w:val="00861995"/>
    <w:rsid w:val="00862F26"/>
    <w:rsid w:val="0086424D"/>
    <w:rsid w:val="00864563"/>
    <w:rsid w:val="00866B00"/>
    <w:rsid w:val="008715D4"/>
    <w:rsid w:val="008744A6"/>
    <w:rsid w:val="00874D0D"/>
    <w:rsid w:val="00877620"/>
    <w:rsid w:val="00880CC5"/>
    <w:rsid w:val="00884305"/>
    <w:rsid w:val="00884530"/>
    <w:rsid w:val="00884A28"/>
    <w:rsid w:val="00884F62"/>
    <w:rsid w:val="0088587F"/>
    <w:rsid w:val="00886A88"/>
    <w:rsid w:val="00891CF9"/>
    <w:rsid w:val="00892138"/>
    <w:rsid w:val="00892481"/>
    <w:rsid w:val="0089437E"/>
    <w:rsid w:val="00896F61"/>
    <w:rsid w:val="008A1506"/>
    <w:rsid w:val="008A1D1D"/>
    <w:rsid w:val="008A273C"/>
    <w:rsid w:val="008A36F7"/>
    <w:rsid w:val="008B2799"/>
    <w:rsid w:val="008B7F1F"/>
    <w:rsid w:val="008C0BA6"/>
    <w:rsid w:val="008C2FDA"/>
    <w:rsid w:val="008C344C"/>
    <w:rsid w:val="008C3E9F"/>
    <w:rsid w:val="008C432B"/>
    <w:rsid w:val="008C4D76"/>
    <w:rsid w:val="008C64A5"/>
    <w:rsid w:val="008C6C52"/>
    <w:rsid w:val="008C6E01"/>
    <w:rsid w:val="008D10B1"/>
    <w:rsid w:val="008D3C8A"/>
    <w:rsid w:val="008D49DF"/>
    <w:rsid w:val="008E090A"/>
    <w:rsid w:val="008E120D"/>
    <w:rsid w:val="008E3623"/>
    <w:rsid w:val="008F1FD8"/>
    <w:rsid w:val="008F267B"/>
    <w:rsid w:val="008F43F8"/>
    <w:rsid w:val="008F4626"/>
    <w:rsid w:val="008F56AB"/>
    <w:rsid w:val="008F671A"/>
    <w:rsid w:val="00900948"/>
    <w:rsid w:val="00903257"/>
    <w:rsid w:val="009037BF"/>
    <w:rsid w:val="00904F1A"/>
    <w:rsid w:val="009061A5"/>
    <w:rsid w:val="009067DE"/>
    <w:rsid w:val="00907BEC"/>
    <w:rsid w:val="009104B4"/>
    <w:rsid w:val="00912C68"/>
    <w:rsid w:val="00913A5A"/>
    <w:rsid w:val="00914CE2"/>
    <w:rsid w:val="00921CFE"/>
    <w:rsid w:val="00923A98"/>
    <w:rsid w:val="00925C3B"/>
    <w:rsid w:val="009272B6"/>
    <w:rsid w:val="00930B1A"/>
    <w:rsid w:val="009337D9"/>
    <w:rsid w:val="00934EBE"/>
    <w:rsid w:val="009354F6"/>
    <w:rsid w:val="009356C5"/>
    <w:rsid w:val="00936BC8"/>
    <w:rsid w:val="00936F21"/>
    <w:rsid w:val="009404D2"/>
    <w:rsid w:val="00940DD1"/>
    <w:rsid w:val="00942548"/>
    <w:rsid w:val="0094580A"/>
    <w:rsid w:val="00947625"/>
    <w:rsid w:val="00950C59"/>
    <w:rsid w:val="00951D64"/>
    <w:rsid w:val="0095278E"/>
    <w:rsid w:val="00953724"/>
    <w:rsid w:val="00953937"/>
    <w:rsid w:val="00956346"/>
    <w:rsid w:val="009630EC"/>
    <w:rsid w:val="009633F9"/>
    <w:rsid w:val="00963F6A"/>
    <w:rsid w:val="00966FA2"/>
    <w:rsid w:val="00967B42"/>
    <w:rsid w:val="00972BCA"/>
    <w:rsid w:val="0097464F"/>
    <w:rsid w:val="00974C14"/>
    <w:rsid w:val="00976800"/>
    <w:rsid w:val="00976B6A"/>
    <w:rsid w:val="00981B0F"/>
    <w:rsid w:val="00985BDB"/>
    <w:rsid w:val="00986E5E"/>
    <w:rsid w:val="009874C0"/>
    <w:rsid w:val="0098770F"/>
    <w:rsid w:val="00987CBE"/>
    <w:rsid w:val="0099254F"/>
    <w:rsid w:val="00995996"/>
    <w:rsid w:val="009974A6"/>
    <w:rsid w:val="009A0C63"/>
    <w:rsid w:val="009A0EBB"/>
    <w:rsid w:val="009A1A53"/>
    <w:rsid w:val="009A3DFF"/>
    <w:rsid w:val="009A424D"/>
    <w:rsid w:val="009A5B7A"/>
    <w:rsid w:val="009A5BEF"/>
    <w:rsid w:val="009B1602"/>
    <w:rsid w:val="009B1D4D"/>
    <w:rsid w:val="009B1F84"/>
    <w:rsid w:val="009B1FE0"/>
    <w:rsid w:val="009B2BA3"/>
    <w:rsid w:val="009B46AC"/>
    <w:rsid w:val="009B47A0"/>
    <w:rsid w:val="009B49C8"/>
    <w:rsid w:val="009B5FB1"/>
    <w:rsid w:val="009B6F85"/>
    <w:rsid w:val="009B7A78"/>
    <w:rsid w:val="009C67B2"/>
    <w:rsid w:val="009D0EE6"/>
    <w:rsid w:val="009D2E09"/>
    <w:rsid w:val="009D5001"/>
    <w:rsid w:val="009E0099"/>
    <w:rsid w:val="009E1AF0"/>
    <w:rsid w:val="009E2B1A"/>
    <w:rsid w:val="009E3F37"/>
    <w:rsid w:val="009E42B2"/>
    <w:rsid w:val="009E562E"/>
    <w:rsid w:val="009E5A0F"/>
    <w:rsid w:val="009E637F"/>
    <w:rsid w:val="009E6DA7"/>
    <w:rsid w:val="009E78C5"/>
    <w:rsid w:val="009F142D"/>
    <w:rsid w:val="009F54E9"/>
    <w:rsid w:val="009F6521"/>
    <w:rsid w:val="00A0149C"/>
    <w:rsid w:val="00A02ADA"/>
    <w:rsid w:val="00A064C3"/>
    <w:rsid w:val="00A07C33"/>
    <w:rsid w:val="00A10918"/>
    <w:rsid w:val="00A110A7"/>
    <w:rsid w:val="00A119EA"/>
    <w:rsid w:val="00A1407B"/>
    <w:rsid w:val="00A14275"/>
    <w:rsid w:val="00A145DB"/>
    <w:rsid w:val="00A14F52"/>
    <w:rsid w:val="00A1599E"/>
    <w:rsid w:val="00A16612"/>
    <w:rsid w:val="00A1705E"/>
    <w:rsid w:val="00A2004B"/>
    <w:rsid w:val="00A213E2"/>
    <w:rsid w:val="00A22A63"/>
    <w:rsid w:val="00A22C46"/>
    <w:rsid w:val="00A22CBF"/>
    <w:rsid w:val="00A2410C"/>
    <w:rsid w:val="00A2581F"/>
    <w:rsid w:val="00A26367"/>
    <w:rsid w:val="00A27F61"/>
    <w:rsid w:val="00A3262D"/>
    <w:rsid w:val="00A354A3"/>
    <w:rsid w:val="00A37A83"/>
    <w:rsid w:val="00A41AC1"/>
    <w:rsid w:val="00A41EC8"/>
    <w:rsid w:val="00A46D70"/>
    <w:rsid w:val="00A51FA3"/>
    <w:rsid w:val="00A53BB8"/>
    <w:rsid w:val="00A54AE5"/>
    <w:rsid w:val="00A55E2B"/>
    <w:rsid w:val="00A56997"/>
    <w:rsid w:val="00A60096"/>
    <w:rsid w:val="00A608F2"/>
    <w:rsid w:val="00A64998"/>
    <w:rsid w:val="00A66938"/>
    <w:rsid w:val="00A671E1"/>
    <w:rsid w:val="00A67579"/>
    <w:rsid w:val="00A67855"/>
    <w:rsid w:val="00A71BBF"/>
    <w:rsid w:val="00A754D6"/>
    <w:rsid w:val="00A77682"/>
    <w:rsid w:val="00A81456"/>
    <w:rsid w:val="00A85635"/>
    <w:rsid w:val="00A85983"/>
    <w:rsid w:val="00A86069"/>
    <w:rsid w:val="00A86367"/>
    <w:rsid w:val="00A869B8"/>
    <w:rsid w:val="00A87CDC"/>
    <w:rsid w:val="00A87E6D"/>
    <w:rsid w:val="00AA02AE"/>
    <w:rsid w:val="00AA12E1"/>
    <w:rsid w:val="00AA1422"/>
    <w:rsid w:val="00AA52F6"/>
    <w:rsid w:val="00AA57B7"/>
    <w:rsid w:val="00AA59D4"/>
    <w:rsid w:val="00AB00F1"/>
    <w:rsid w:val="00AB07D7"/>
    <w:rsid w:val="00AB6950"/>
    <w:rsid w:val="00AC0860"/>
    <w:rsid w:val="00AC3AC6"/>
    <w:rsid w:val="00AC5821"/>
    <w:rsid w:val="00AC7B4B"/>
    <w:rsid w:val="00AD01D1"/>
    <w:rsid w:val="00AD0FD9"/>
    <w:rsid w:val="00AD11CF"/>
    <w:rsid w:val="00AD14E1"/>
    <w:rsid w:val="00AD2CF8"/>
    <w:rsid w:val="00AD6066"/>
    <w:rsid w:val="00AD674A"/>
    <w:rsid w:val="00AE03D7"/>
    <w:rsid w:val="00AE0BE4"/>
    <w:rsid w:val="00AE4E9C"/>
    <w:rsid w:val="00AE5987"/>
    <w:rsid w:val="00AE59AA"/>
    <w:rsid w:val="00AE6F44"/>
    <w:rsid w:val="00AE7A6F"/>
    <w:rsid w:val="00AF008E"/>
    <w:rsid w:val="00AF01C3"/>
    <w:rsid w:val="00AF1041"/>
    <w:rsid w:val="00AF5D18"/>
    <w:rsid w:val="00AF5DE7"/>
    <w:rsid w:val="00AF766F"/>
    <w:rsid w:val="00AF78A9"/>
    <w:rsid w:val="00B00EF4"/>
    <w:rsid w:val="00B01823"/>
    <w:rsid w:val="00B01F2A"/>
    <w:rsid w:val="00B0244B"/>
    <w:rsid w:val="00B03E95"/>
    <w:rsid w:val="00B042EF"/>
    <w:rsid w:val="00B0438A"/>
    <w:rsid w:val="00B045E0"/>
    <w:rsid w:val="00B04DDB"/>
    <w:rsid w:val="00B05B6E"/>
    <w:rsid w:val="00B067A8"/>
    <w:rsid w:val="00B1005B"/>
    <w:rsid w:val="00B13C83"/>
    <w:rsid w:val="00B15751"/>
    <w:rsid w:val="00B17241"/>
    <w:rsid w:val="00B178D1"/>
    <w:rsid w:val="00B17B6E"/>
    <w:rsid w:val="00B2068A"/>
    <w:rsid w:val="00B21349"/>
    <w:rsid w:val="00B21FF7"/>
    <w:rsid w:val="00B237A8"/>
    <w:rsid w:val="00B2394F"/>
    <w:rsid w:val="00B25438"/>
    <w:rsid w:val="00B27D64"/>
    <w:rsid w:val="00B3051C"/>
    <w:rsid w:val="00B3106E"/>
    <w:rsid w:val="00B35377"/>
    <w:rsid w:val="00B35840"/>
    <w:rsid w:val="00B35A6E"/>
    <w:rsid w:val="00B36D7C"/>
    <w:rsid w:val="00B37022"/>
    <w:rsid w:val="00B370A6"/>
    <w:rsid w:val="00B40E40"/>
    <w:rsid w:val="00B410FC"/>
    <w:rsid w:val="00B458AA"/>
    <w:rsid w:val="00B472D1"/>
    <w:rsid w:val="00B50CDF"/>
    <w:rsid w:val="00B54A0D"/>
    <w:rsid w:val="00B56CCC"/>
    <w:rsid w:val="00B607C6"/>
    <w:rsid w:val="00B612CD"/>
    <w:rsid w:val="00B61CC5"/>
    <w:rsid w:val="00B646C2"/>
    <w:rsid w:val="00B6658D"/>
    <w:rsid w:val="00B70A32"/>
    <w:rsid w:val="00B73FFF"/>
    <w:rsid w:val="00B74720"/>
    <w:rsid w:val="00B76F33"/>
    <w:rsid w:val="00B77D55"/>
    <w:rsid w:val="00B827B4"/>
    <w:rsid w:val="00B83EFB"/>
    <w:rsid w:val="00B84FAF"/>
    <w:rsid w:val="00B8726F"/>
    <w:rsid w:val="00B87D21"/>
    <w:rsid w:val="00B93F08"/>
    <w:rsid w:val="00B94BD7"/>
    <w:rsid w:val="00B95B69"/>
    <w:rsid w:val="00B95BC4"/>
    <w:rsid w:val="00B96B24"/>
    <w:rsid w:val="00B97895"/>
    <w:rsid w:val="00BA440B"/>
    <w:rsid w:val="00BB1603"/>
    <w:rsid w:val="00BB1823"/>
    <w:rsid w:val="00BB3FB4"/>
    <w:rsid w:val="00BB4AAF"/>
    <w:rsid w:val="00BB6091"/>
    <w:rsid w:val="00BC02BC"/>
    <w:rsid w:val="00BC0B18"/>
    <w:rsid w:val="00BC185E"/>
    <w:rsid w:val="00BC3C4B"/>
    <w:rsid w:val="00BC670D"/>
    <w:rsid w:val="00BC6A56"/>
    <w:rsid w:val="00BD1024"/>
    <w:rsid w:val="00BD12A6"/>
    <w:rsid w:val="00BD29B9"/>
    <w:rsid w:val="00BD44E3"/>
    <w:rsid w:val="00BD6146"/>
    <w:rsid w:val="00BE1072"/>
    <w:rsid w:val="00BE149A"/>
    <w:rsid w:val="00BE3F51"/>
    <w:rsid w:val="00BE5FE0"/>
    <w:rsid w:val="00BE6239"/>
    <w:rsid w:val="00BE6448"/>
    <w:rsid w:val="00BE787A"/>
    <w:rsid w:val="00BF0349"/>
    <w:rsid w:val="00BF08C7"/>
    <w:rsid w:val="00BF1929"/>
    <w:rsid w:val="00BF2F50"/>
    <w:rsid w:val="00BF3449"/>
    <w:rsid w:val="00BF3A3D"/>
    <w:rsid w:val="00BF4E42"/>
    <w:rsid w:val="00BF527C"/>
    <w:rsid w:val="00BF7ADE"/>
    <w:rsid w:val="00C00067"/>
    <w:rsid w:val="00C01DFF"/>
    <w:rsid w:val="00C01F4B"/>
    <w:rsid w:val="00C0280E"/>
    <w:rsid w:val="00C0427F"/>
    <w:rsid w:val="00C05AA4"/>
    <w:rsid w:val="00C11748"/>
    <w:rsid w:val="00C17384"/>
    <w:rsid w:val="00C1747B"/>
    <w:rsid w:val="00C25701"/>
    <w:rsid w:val="00C30463"/>
    <w:rsid w:val="00C31866"/>
    <w:rsid w:val="00C3384F"/>
    <w:rsid w:val="00C33CFE"/>
    <w:rsid w:val="00C37471"/>
    <w:rsid w:val="00C37CC5"/>
    <w:rsid w:val="00C37E51"/>
    <w:rsid w:val="00C4222A"/>
    <w:rsid w:val="00C43DA8"/>
    <w:rsid w:val="00C44375"/>
    <w:rsid w:val="00C5106A"/>
    <w:rsid w:val="00C53BE7"/>
    <w:rsid w:val="00C54F2D"/>
    <w:rsid w:val="00C54FCC"/>
    <w:rsid w:val="00C5783D"/>
    <w:rsid w:val="00C61107"/>
    <w:rsid w:val="00C619F2"/>
    <w:rsid w:val="00C63CBB"/>
    <w:rsid w:val="00C6479A"/>
    <w:rsid w:val="00C6797F"/>
    <w:rsid w:val="00C73440"/>
    <w:rsid w:val="00C73486"/>
    <w:rsid w:val="00C74B27"/>
    <w:rsid w:val="00C75C3B"/>
    <w:rsid w:val="00C75E3E"/>
    <w:rsid w:val="00C763DA"/>
    <w:rsid w:val="00C77C3A"/>
    <w:rsid w:val="00C80AEC"/>
    <w:rsid w:val="00C8150F"/>
    <w:rsid w:val="00C8295C"/>
    <w:rsid w:val="00C82C4C"/>
    <w:rsid w:val="00C833CA"/>
    <w:rsid w:val="00C84431"/>
    <w:rsid w:val="00C84EA5"/>
    <w:rsid w:val="00C8696C"/>
    <w:rsid w:val="00C86B66"/>
    <w:rsid w:val="00C87134"/>
    <w:rsid w:val="00C91DAD"/>
    <w:rsid w:val="00C94B0A"/>
    <w:rsid w:val="00C94B18"/>
    <w:rsid w:val="00C95D3F"/>
    <w:rsid w:val="00C95ED4"/>
    <w:rsid w:val="00C963EF"/>
    <w:rsid w:val="00CA09D9"/>
    <w:rsid w:val="00CA3AC3"/>
    <w:rsid w:val="00CA7DF8"/>
    <w:rsid w:val="00CB0148"/>
    <w:rsid w:val="00CB1815"/>
    <w:rsid w:val="00CB76CD"/>
    <w:rsid w:val="00CB7BCB"/>
    <w:rsid w:val="00CC271B"/>
    <w:rsid w:val="00CC4074"/>
    <w:rsid w:val="00CC48B5"/>
    <w:rsid w:val="00CC520F"/>
    <w:rsid w:val="00CD191B"/>
    <w:rsid w:val="00CD4887"/>
    <w:rsid w:val="00CD5A14"/>
    <w:rsid w:val="00CD69C3"/>
    <w:rsid w:val="00CE1014"/>
    <w:rsid w:val="00CE266B"/>
    <w:rsid w:val="00CE27ED"/>
    <w:rsid w:val="00CE6288"/>
    <w:rsid w:val="00CE6CA2"/>
    <w:rsid w:val="00CF542B"/>
    <w:rsid w:val="00D01276"/>
    <w:rsid w:val="00D02DCB"/>
    <w:rsid w:val="00D04A95"/>
    <w:rsid w:val="00D05D39"/>
    <w:rsid w:val="00D06DB4"/>
    <w:rsid w:val="00D07490"/>
    <w:rsid w:val="00D07E7D"/>
    <w:rsid w:val="00D10366"/>
    <w:rsid w:val="00D11478"/>
    <w:rsid w:val="00D12CD5"/>
    <w:rsid w:val="00D16315"/>
    <w:rsid w:val="00D2155A"/>
    <w:rsid w:val="00D219B8"/>
    <w:rsid w:val="00D21B0C"/>
    <w:rsid w:val="00D220F5"/>
    <w:rsid w:val="00D2248E"/>
    <w:rsid w:val="00D22FD6"/>
    <w:rsid w:val="00D277B0"/>
    <w:rsid w:val="00D27882"/>
    <w:rsid w:val="00D3217B"/>
    <w:rsid w:val="00D32DDA"/>
    <w:rsid w:val="00D368CF"/>
    <w:rsid w:val="00D4196D"/>
    <w:rsid w:val="00D43DC7"/>
    <w:rsid w:val="00D50F35"/>
    <w:rsid w:val="00D51499"/>
    <w:rsid w:val="00D52966"/>
    <w:rsid w:val="00D52DDE"/>
    <w:rsid w:val="00D53BA4"/>
    <w:rsid w:val="00D53BF4"/>
    <w:rsid w:val="00D5408A"/>
    <w:rsid w:val="00D545A8"/>
    <w:rsid w:val="00D5495C"/>
    <w:rsid w:val="00D566A6"/>
    <w:rsid w:val="00D56B52"/>
    <w:rsid w:val="00D56E5B"/>
    <w:rsid w:val="00D65E9B"/>
    <w:rsid w:val="00D6753B"/>
    <w:rsid w:val="00D74422"/>
    <w:rsid w:val="00D748B3"/>
    <w:rsid w:val="00D75D61"/>
    <w:rsid w:val="00D75FDD"/>
    <w:rsid w:val="00D85283"/>
    <w:rsid w:val="00D868AF"/>
    <w:rsid w:val="00D873A9"/>
    <w:rsid w:val="00D903F3"/>
    <w:rsid w:val="00D92FFA"/>
    <w:rsid w:val="00D95763"/>
    <w:rsid w:val="00D95AB7"/>
    <w:rsid w:val="00D97449"/>
    <w:rsid w:val="00D97D5B"/>
    <w:rsid w:val="00DA4400"/>
    <w:rsid w:val="00DA4E60"/>
    <w:rsid w:val="00DA7601"/>
    <w:rsid w:val="00DA795F"/>
    <w:rsid w:val="00DB6B7E"/>
    <w:rsid w:val="00DC1972"/>
    <w:rsid w:val="00DC41B6"/>
    <w:rsid w:val="00DC43E1"/>
    <w:rsid w:val="00DC506A"/>
    <w:rsid w:val="00DC75A7"/>
    <w:rsid w:val="00DD4AD6"/>
    <w:rsid w:val="00DD4E2A"/>
    <w:rsid w:val="00DD612D"/>
    <w:rsid w:val="00DE37F1"/>
    <w:rsid w:val="00DE479F"/>
    <w:rsid w:val="00DE47DC"/>
    <w:rsid w:val="00DE494C"/>
    <w:rsid w:val="00DE6F2E"/>
    <w:rsid w:val="00DF0DAA"/>
    <w:rsid w:val="00DF1E92"/>
    <w:rsid w:val="00DF1FC3"/>
    <w:rsid w:val="00DF26E0"/>
    <w:rsid w:val="00DF3227"/>
    <w:rsid w:val="00DF5D88"/>
    <w:rsid w:val="00DF7441"/>
    <w:rsid w:val="00DF74E4"/>
    <w:rsid w:val="00E002C4"/>
    <w:rsid w:val="00E02302"/>
    <w:rsid w:val="00E028D9"/>
    <w:rsid w:val="00E02A39"/>
    <w:rsid w:val="00E05486"/>
    <w:rsid w:val="00E11704"/>
    <w:rsid w:val="00E1607F"/>
    <w:rsid w:val="00E17ABF"/>
    <w:rsid w:val="00E2352A"/>
    <w:rsid w:val="00E264B0"/>
    <w:rsid w:val="00E26F10"/>
    <w:rsid w:val="00E314CE"/>
    <w:rsid w:val="00E3456C"/>
    <w:rsid w:val="00E36515"/>
    <w:rsid w:val="00E3794A"/>
    <w:rsid w:val="00E4289C"/>
    <w:rsid w:val="00E42C09"/>
    <w:rsid w:val="00E4680B"/>
    <w:rsid w:val="00E47AD9"/>
    <w:rsid w:val="00E507C8"/>
    <w:rsid w:val="00E5189A"/>
    <w:rsid w:val="00E53199"/>
    <w:rsid w:val="00E5617B"/>
    <w:rsid w:val="00E64253"/>
    <w:rsid w:val="00E658EA"/>
    <w:rsid w:val="00E7023E"/>
    <w:rsid w:val="00E71E6F"/>
    <w:rsid w:val="00E7475E"/>
    <w:rsid w:val="00E75800"/>
    <w:rsid w:val="00E77BA7"/>
    <w:rsid w:val="00E85634"/>
    <w:rsid w:val="00E86FB1"/>
    <w:rsid w:val="00E96FD8"/>
    <w:rsid w:val="00EA1DBD"/>
    <w:rsid w:val="00EA460E"/>
    <w:rsid w:val="00EA53F4"/>
    <w:rsid w:val="00EA59FA"/>
    <w:rsid w:val="00EA5A4C"/>
    <w:rsid w:val="00EB0373"/>
    <w:rsid w:val="00EB067F"/>
    <w:rsid w:val="00EB2AB3"/>
    <w:rsid w:val="00EB7771"/>
    <w:rsid w:val="00EB7971"/>
    <w:rsid w:val="00EC16C0"/>
    <w:rsid w:val="00EC1745"/>
    <w:rsid w:val="00EC3319"/>
    <w:rsid w:val="00EC375E"/>
    <w:rsid w:val="00ED207A"/>
    <w:rsid w:val="00ED3424"/>
    <w:rsid w:val="00ED43DC"/>
    <w:rsid w:val="00ED641C"/>
    <w:rsid w:val="00ED67B0"/>
    <w:rsid w:val="00EE12C3"/>
    <w:rsid w:val="00EE19A0"/>
    <w:rsid w:val="00EE4446"/>
    <w:rsid w:val="00EE4801"/>
    <w:rsid w:val="00EE7B5B"/>
    <w:rsid w:val="00EF0C14"/>
    <w:rsid w:val="00EF5FA1"/>
    <w:rsid w:val="00EF6569"/>
    <w:rsid w:val="00EF7E02"/>
    <w:rsid w:val="00F00EEB"/>
    <w:rsid w:val="00F047D0"/>
    <w:rsid w:val="00F0513F"/>
    <w:rsid w:val="00F05493"/>
    <w:rsid w:val="00F101EE"/>
    <w:rsid w:val="00F10782"/>
    <w:rsid w:val="00F11A68"/>
    <w:rsid w:val="00F12CD2"/>
    <w:rsid w:val="00F12E69"/>
    <w:rsid w:val="00F15CAC"/>
    <w:rsid w:val="00F23E48"/>
    <w:rsid w:val="00F2497D"/>
    <w:rsid w:val="00F256AF"/>
    <w:rsid w:val="00F27192"/>
    <w:rsid w:val="00F27457"/>
    <w:rsid w:val="00F31C8F"/>
    <w:rsid w:val="00F32102"/>
    <w:rsid w:val="00F32EEB"/>
    <w:rsid w:val="00F33BA3"/>
    <w:rsid w:val="00F3681A"/>
    <w:rsid w:val="00F379ED"/>
    <w:rsid w:val="00F40BF8"/>
    <w:rsid w:val="00F40D7C"/>
    <w:rsid w:val="00F42584"/>
    <w:rsid w:val="00F4318F"/>
    <w:rsid w:val="00F434A5"/>
    <w:rsid w:val="00F4694D"/>
    <w:rsid w:val="00F46FF0"/>
    <w:rsid w:val="00F47801"/>
    <w:rsid w:val="00F5495C"/>
    <w:rsid w:val="00F5528A"/>
    <w:rsid w:val="00F57351"/>
    <w:rsid w:val="00F5768A"/>
    <w:rsid w:val="00F6094B"/>
    <w:rsid w:val="00F61C4A"/>
    <w:rsid w:val="00F62559"/>
    <w:rsid w:val="00F63124"/>
    <w:rsid w:val="00F649FA"/>
    <w:rsid w:val="00F64BA0"/>
    <w:rsid w:val="00F66D02"/>
    <w:rsid w:val="00F67227"/>
    <w:rsid w:val="00F72A5B"/>
    <w:rsid w:val="00F73B2A"/>
    <w:rsid w:val="00F74434"/>
    <w:rsid w:val="00F74982"/>
    <w:rsid w:val="00F74EE3"/>
    <w:rsid w:val="00F76E14"/>
    <w:rsid w:val="00F83F16"/>
    <w:rsid w:val="00F84479"/>
    <w:rsid w:val="00F848B0"/>
    <w:rsid w:val="00F84C75"/>
    <w:rsid w:val="00F91022"/>
    <w:rsid w:val="00F92C9F"/>
    <w:rsid w:val="00F96DF4"/>
    <w:rsid w:val="00FA0917"/>
    <w:rsid w:val="00FA0995"/>
    <w:rsid w:val="00FA0C38"/>
    <w:rsid w:val="00FA1541"/>
    <w:rsid w:val="00FA30BA"/>
    <w:rsid w:val="00FA3F6B"/>
    <w:rsid w:val="00FB0EDA"/>
    <w:rsid w:val="00FB2402"/>
    <w:rsid w:val="00FB37A8"/>
    <w:rsid w:val="00FB4170"/>
    <w:rsid w:val="00FB4D69"/>
    <w:rsid w:val="00FB550F"/>
    <w:rsid w:val="00FB79EA"/>
    <w:rsid w:val="00FC0932"/>
    <w:rsid w:val="00FC0999"/>
    <w:rsid w:val="00FC482F"/>
    <w:rsid w:val="00FC60D0"/>
    <w:rsid w:val="00FC6660"/>
    <w:rsid w:val="00FC74F7"/>
    <w:rsid w:val="00FD08AD"/>
    <w:rsid w:val="00FD0947"/>
    <w:rsid w:val="00FD2FCC"/>
    <w:rsid w:val="00FD4A55"/>
    <w:rsid w:val="00FD77A5"/>
    <w:rsid w:val="00FE0BFA"/>
    <w:rsid w:val="00FE0DBC"/>
    <w:rsid w:val="00FE331E"/>
    <w:rsid w:val="00FE3A31"/>
    <w:rsid w:val="00FE4C08"/>
    <w:rsid w:val="00FE4C9A"/>
    <w:rsid w:val="00FE7988"/>
    <w:rsid w:val="00FF0761"/>
    <w:rsid w:val="00FF45BF"/>
    <w:rsid w:val="119D6B80"/>
    <w:rsid w:val="21F11C47"/>
    <w:rsid w:val="348E3898"/>
    <w:rsid w:val="686ECB6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9E807"/>
  <w15:docId w15:val="{65B79AF2-31CE-4514-B3D5-E3095030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523"/>
  </w:style>
  <w:style w:type="paragraph" w:styleId="Heading1">
    <w:name w:val="heading 1"/>
    <w:basedOn w:val="Normal"/>
    <w:next w:val="Normal"/>
    <w:link w:val="Heading1Char"/>
    <w:uiPriority w:val="9"/>
    <w:qFormat/>
    <w:rsid w:val="00290523"/>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29052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29052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29052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290523"/>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29052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29052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29052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29052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523"/>
    <w:rPr>
      <w:smallCaps/>
      <w:spacing w:val="5"/>
      <w:sz w:val="32"/>
      <w:szCs w:val="32"/>
    </w:rPr>
  </w:style>
  <w:style w:type="character" w:customStyle="1" w:styleId="Heading2Char">
    <w:name w:val="Heading 2 Char"/>
    <w:basedOn w:val="DefaultParagraphFont"/>
    <w:link w:val="Heading2"/>
    <w:uiPriority w:val="9"/>
    <w:rsid w:val="00290523"/>
    <w:rPr>
      <w:smallCaps/>
      <w:spacing w:val="5"/>
      <w:sz w:val="28"/>
      <w:szCs w:val="28"/>
    </w:rPr>
  </w:style>
  <w:style w:type="paragraph" w:styleId="ListParagraph">
    <w:name w:val="List Paragraph"/>
    <w:basedOn w:val="Normal"/>
    <w:uiPriority w:val="34"/>
    <w:qFormat/>
    <w:rsid w:val="007634DC"/>
    <w:pPr>
      <w:ind w:left="720"/>
      <w:contextualSpacing/>
    </w:pPr>
  </w:style>
  <w:style w:type="character" w:customStyle="1" w:styleId="st">
    <w:name w:val="st"/>
    <w:basedOn w:val="DefaultParagraphFont"/>
    <w:rsid w:val="007634DC"/>
  </w:style>
  <w:style w:type="character" w:styleId="Emphasis">
    <w:name w:val="Emphasis"/>
    <w:uiPriority w:val="20"/>
    <w:qFormat/>
    <w:rsid w:val="00290523"/>
    <w:rPr>
      <w:b/>
      <w:bCs/>
      <w:i/>
      <w:iCs/>
      <w:spacing w:val="10"/>
    </w:rPr>
  </w:style>
  <w:style w:type="character" w:customStyle="1" w:styleId="Heading3Char">
    <w:name w:val="Heading 3 Char"/>
    <w:basedOn w:val="DefaultParagraphFont"/>
    <w:link w:val="Heading3"/>
    <w:uiPriority w:val="9"/>
    <w:semiHidden/>
    <w:rsid w:val="00290523"/>
    <w:rPr>
      <w:smallCaps/>
      <w:spacing w:val="5"/>
      <w:sz w:val="24"/>
      <w:szCs w:val="24"/>
    </w:rPr>
  </w:style>
  <w:style w:type="character" w:styleId="Hyperlink">
    <w:name w:val="Hyperlink"/>
    <w:basedOn w:val="DefaultParagraphFont"/>
    <w:uiPriority w:val="99"/>
    <w:unhideWhenUsed/>
    <w:rsid w:val="00CB7BCB"/>
    <w:rPr>
      <w:color w:val="0563C1" w:themeColor="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style>
  <w:style w:type="paragraph" w:styleId="FootnoteText">
    <w:name w:val="footnote text"/>
    <w:basedOn w:val="Normal"/>
    <w:link w:val="FootnoteTextChar"/>
    <w:uiPriority w:val="99"/>
    <w:semiHidden/>
    <w:unhideWhenUsed/>
    <w:pPr>
      <w:spacing w:after="0" w:line="240" w:lineRule="auto"/>
    </w:pPr>
  </w:style>
  <w:style w:type="character" w:customStyle="1" w:styleId="Heading4Char">
    <w:name w:val="Heading 4 Char"/>
    <w:basedOn w:val="DefaultParagraphFont"/>
    <w:link w:val="Heading4"/>
    <w:uiPriority w:val="9"/>
    <w:semiHidden/>
    <w:rsid w:val="00290523"/>
    <w:rPr>
      <w:i/>
      <w:iCs/>
      <w:smallCaps/>
      <w:spacing w:val="10"/>
      <w:sz w:val="22"/>
      <w:szCs w:val="22"/>
    </w:rPr>
  </w:style>
  <w:style w:type="character" w:customStyle="1" w:styleId="Heading5Char">
    <w:name w:val="Heading 5 Char"/>
    <w:basedOn w:val="DefaultParagraphFont"/>
    <w:link w:val="Heading5"/>
    <w:uiPriority w:val="9"/>
    <w:semiHidden/>
    <w:rsid w:val="00290523"/>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290523"/>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290523"/>
    <w:rPr>
      <w:b/>
      <w:bCs/>
      <w:smallCaps/>
      <w:color w:val="70AD47" w:themeColor="accent6"/>
      <w:spacing w:val="10"/>
    </w:rPr>
  </w:style>
  <w:style w:type="character" w:customStyle="1" w:styleId="Heading8Char">
    <w:name w:val="Heading 8 Char"/>
    <w:basedOn w:val="DefaultParagraphFont"/>
    <w:link w:val="Heading8"/>
    <w:uiPriority w:val="9"/>
    <w:semiHidden/>
    <w:rsid w:val="00290523"/>
    <w:rPr>
      <w:b/>
      <w:bCs/>
      <w:i/>
      <w:iCs/>
      <w:smallCaps/>
      <w:color w:val="538135" w:themeColor="accent6" w:themeShade="BF"/>
    </w:rPr>
  </w:style>
  <w:style w:type="character" w:customStyle="1" w:styleId="Heading9Char">
    <w:name w:val="Heading 9 Char"/>
    <w:basedOn w:val="DefaultParagraphFont"/>
    <w:link w:val="Heading9"/>
    <w:uiPriority w:val="9"/>
    <w:semiHidden/>
    <w:rsid w:val="00290523"/>
    <w:rPr>
      <w:b/>
      <w:bCs/>
      <w:i/>
      <w:iCs/>
      <w:smallCaps/>
      <w:color w:val="385623" w:themeColor="accent6" w:themeShade="80"/>
    </w:rPr>
  </w:style>
  <w:style w:type="paragraph" w:styleId="Caption">
    <w:name w:val="caption"/>
    <w:basedOn w:val="Normal"/>
    <w:next w:val="Normal"/>
    <w:uiPriority w:val="35"/>
    <w:semiHidden/>
    <w:unhideWhenUsed/>
    <w:qFormat/>
    <w:rsid w:val="00290523"/>
    <w:rPr>
      <w:b/>
      <w:bCs/>
      <w:caps/>
      <w:sz w:val="16"/>
      <w:szCs w:val="16"/>
    </w:rPr>
  </w:style>
  <w:style w:type="paragraph" w:styleId="Title">
    <w:name w:val="Title"/>
    <w:basedOn w:val="Normal"/>
    <w:next w:val="Normal"/>
    <w:link w:val="TitleChar"/>
    <w:uiPriority w:val="10"/>
    <w:qFormat/>
    <w:rsid w:val="00290523"/>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290523"/>
    <w:rPr>
      <w:smallCaps/>
      <w:color w:val="262626" w:themeColor="text1" w:themeTint="D9"/>
      <w:sz w:val="52"/>
      <w:szCs w:val="52"/>
    </w:rPr>
  </w:style>
  <w:style w:type="paragraph" w:styleId="Subtitle">
    <w:name w:val="Subtitle"/>
    <w:basedOn w:val="Normal"/>
    <w:next w:val="Normal"/>
    <w:link w:val="SubtitleChar"/>
    <w:uiPriority w:val="11"/>
    <w:qFormat/>
    <w:rsid w:val="0029052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90523"/>
    <w:rPr>
      <w:rFonts w:asciiTheme="majorHAnsi" w:eastAsiaTheme="majorEastAsia" w:hAnsiTheme="majorHAnsi" w:cstheme="majorBidi"/>
    </w:rPr>
  </w:style>
  <w:style w:type="character" w:styleId="Strong">
    <w:name w:val="Strong"/>
    <w:uiPriority w:val="22"/>
    <w:qFormat/>
    <w:rsid w:val="00290523"/>
    <w:rPr>
      <w:b/>
      <w:bCs/>
      <w:color w:val="70AD47" w:themeColor="accent6"/>
    </w:rPr>
  </w:style>
  <w:style w:type="paragraph" w:styleId="NoSpacing">
    <w:name w:val="No Spacing"/>
    <w:uiPriority w:val="1"/>
    <w:qFormat/>
    <w:rsid w:val="00290523"/>
    <w:pPr>
      <w:spacing w:after="0" w:line="240" w:lineRule="auto"/>
    </w:pPr>
  </w:style>
  <w:style w:type="paragraph" w:styleId="Quote">
    <w:name w:val="Quote"/>
    <w:basedOn w:val="Normal"/>
    <w:next w:val="Normal"/>
    <w:link w:val="QuoteChar"/>
    <w:uiPriority w:val="29"/>
    <w:qFormat/>
    <w:rsid w:val="00290523"/>
    <w:rPr>
      <w:i/>
      <w:iCs/>
    </w:rPr>
  </w:style>
  <w:style w:type="character" w:customStyle="1" w:styleId="QuoteChar">
    <w:name w:val="Quote Char"/>
    <w:basedOn w:val="DefaultParagraphFont"/>
    <w:link w:val="Quote"/>
    <w:uiPriority w:val="29"/>
    <w:rsid w:val="00290523"/>
    <w:rPr>
      <w:i/>
      <w:iCs/>
    </w:rPr>
  </w:style>
  <w:style w:type="paragraph" w:styleId="IntenseQuote">
    <w:name w:val="Intense Quote"/>
    <w:basedOn w:val="Normal"/>
    <w:next w:val="Normal"/>
    <w:link w:val="IntenseQuoteChar"/>
    <w:uiPriority w:val="30"/>
    <w:qFormat/>
    <w:rsid w:val="0029052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290523"/>
    <w:rPr>
      <w:b/>
      <w:bCs/>
      <w:i/>
      <w:iCs/>
    </w:rPr>
  </w:style>
  <w:style w:type="character" w:styleId="SubtleEmphasis">
    <w:name w:val="Subtle Emphasis"/>
    <w:uiPriority w:val="19"/>
    <w:qFormat/>
    <w:rsid w:val="00290523"/>
    <w:rPr>
      <w:i/>
      <w:iCs/>
    </w:rPr>
  </w:style>
  <w:style w:type="character" w:styleId="IntenseEmphasis">
    <w:name w:val="Intense Emphasis"/>
    <w:uiPriority w:val="21"/>
    <w:qFormat/>
    <w:rsid w:val="00290523"/>
    <w:rPr>
      <w:b/>
      <w:bCs/>
      <w:i/>
      <w:iCs/>
      <w:color w:val="70AD47" w:themeColor="accent6"/>
      <w:spacing w:val="10"/>
    </w:rPr>
  </w:style>
  <w:style w:type="character" w:styleId="SubtleReference">
    <w:name w:val="Subtle Reference"/>
    <w:uiPriority w:val="31"/>
    <w:qFormat/>
    <w:rsid w:val="00290523"/>
    <w:rPr>
      <w:b/>
      <w:bCs/>
    </w:rPr>
  </w:style>
  <w:style w:type="character" w:styleId="IntenseReference">
    <w:name w:val="Intense Reference"/>
    <w:uiPriority w:val="32"/>
    <w:qFormat/>
    <w:rsid w:val="00290523"/>
    <w:rPr>
      <w:b/>
      <w:bCs/>
      <w:smallCaps/>
      <w:spacing w:val="5"/>
      <w:sz w:val="22"/>
      <w:szCs w:val="22"/>
      <w:u w:val="single"/>
    </w:rPr>
  </w:style>
  <w:style w:type="character" w:styleId="BookTitle">
    <w:name w:val="Book Title"/>
    <w:uiPriority w:val="33"/>
    <w:qFormat/>
    <w:rsid w:val="0029052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290523"/>
    <w:pPr>
      <w:outlineLvl w:val="9"/>
    </w:pPr>
  </w:style>
  <w:style w:type="paragraph" w:styleId="Header">
    <w:name w:val="header"/>
    <w:basedOn w:val="Normal"/>
    <w:link w:val="HeaderChar"/>
    <w:uiPriority w:val="99"/>
    <w:unhideWhenUsed/>
    <w:rsid w:val="00542581"/>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2581"/>
  </w:style>
  <w:style w:type="paragraph" w:styleId="Footer">
    <w:name w:val="footer"/>
    <w:basedOn w:val="Normal"/>
    <w:link w:val="FooterChar"/>
    <w:uiPriority w:val="99"/>
    <w:unhideWhenUsed/>
    <w:rsid w:val="00542581"/>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2581"/>
  </w:style>
  <w:style w:type="paragraph" w:styleId="BalloonText">
    <w:name w:val="Balloon Text"/>
    <w:basedOn w:val="Normal"/>
    <w:link w:val="BalloonTextChar"/>
    <w:uiPriority w:val="99"/>
    <w:semiHidden/>
    <w:unhideWhenUsed/>
    <w:rsid w:val="00BC1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185E"/>
    <w:rPr>
      <w:rFonts w:ascii="Segoe UI" w:hAnsi="Segoe UI" w:cs="Segoe UI"/>
      <w:sz w:val="18"/>
      <w:szCs w:val="18"/>
    </w:rPr>
  </w:style>
  <w:style w:type="character" w:styleId="CommentReference">
    <w:name w:val="annotation reference"/>
    <w:basedOn w:val="DefaultParagraphFont"/>
    <w:uiPriority w:val="99"/>
    <w:semiHidden/>
    <w:unhideWhenUsed/>
    <w:rsid w:val="00F00EEB"/>
    <w:rPr>
      <w:sz w:val="16"/>
      <w:szCs w:val="16"/>
    </w:rPr>
  </w:style>
  <w:style w:type="paragraph" w:styleId="CommentText">
    <w:name w:val="annotation text"/>
    <w:basedOn w:val="Normal"/>
    <w:link w:val="CommentTextChar"/>
    <w:uiPriority w:val="99"/>
    <w:unhideWhenUsed/>
    <w:rsid w:val="00F00EEB"/>
    <w:pPr>
      <w:spacing w:line="240" w:lineRule="auto"/>
    </w:pPr>
  </w:style>
  <w:style w:type="character" w:customStyle="1" w:styleId="CommentTextChar">
    <w:name w:val="Comment Text Char"/>
    <w:basedOn w:val="DefaultParagraphFont"/>
    <w:link w:val="CommentText"/>
    <w:uiPriority w:val="99"/>
    <w:rsid w:val="00F00EEB"/>
  </w:style>
  <w:style w:type="paragraph" w:styleId="CommentSubject">
    <w:name w:val="annotation subject"/>
    <w:basedOn w:val="CommentText"/>
    <w:next w:val="CommentText"/>
    <w:link w:val="CommentSubjectChar"/>
    <w:uiPriority w:val="99"/>
    <w:semiHidden/>
    <w:unhideWhenUsed/>
    <w:rsid w:val="00F00EEB"/>
    <w:rPr>
      <w:b/>
      <w:bCs/>
    </w:rPr>
  </w:style>
  <w:style w:type="character" w:customStyle="1" w:styleId="CommentSubjectChar">
    <w:name w:val="Comment Subject Char"/>
    <w:basedOn w:val="CommentTextChar"/>
    <w:link w:val="CommentSubject"/>
    <w:uiPriority w:val="99"/>
    <w:semiHidden/>
    <w:rsid w:val="00F00EEB"/>
    <w:rPr>
      <w:b/>
      <w:bCs/>
    </w:rPr>
  </w:style>
  <w:style w:type="table" w:styleId="TableGrid">
    <w:name w:val="Table Grid"/>
    <w:basedOn w:val="TableNormal"/>
    <w:uiPriority w:val="39"/>
    <w:rsid w:val="00592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5">
    <w:name w:val="Pa15"/>
    <w:basedOn w:val="Normal"/>
    <w:next w:val="Normal"/>
    <w:uiPriority w:val="99"/>
    <w:rsid w:val="00B8726F"/>
    <w:pPr>
      <w:autoSpaceDE w:val="0"/>
      <w:autoSpaceDN w:val="0"/>
      <w:adjustRightInd w:val="0"/>
      <w:spacing w:after="0" w:line="241" w:lineRule="atLeast"/>
      <w:jc w:val="left"/>
    </w:pPr>
    <w:rPr>
      <w:rFonts w:ascii="Myriad Pro" w:hAnsi="Myriad Pro"/>
      <w:sz w:val="24"/>
      <w:szCs w:val="24"/>
    </w:rPr>
  </w:style>
  <w:style w:type="character" w:customStyle="1" w:styleId="A6">
    <w:name w:val="A6"/>
    <w:uiPriority w:val="99"/>
    <w:rsid w:val="00B8726F"/>
    <w:rPr>
      <w:rFonts w:cs="Myriad Pro"/>
      <w:color w:val="373838"/>
      <w:sz w:val="20"/>
      <w:szCs w:val="20"/>
    </w:rPr>
  </w:style>
  <w:style w:type="paragraph" w:styleId="Revision">
    <w:name w:val="Revision"/>
    <w:hidden/>
    <w:uiPriority w:val="99"/>
    <w:semiHidden/>
    <w:rsid w:val="00BE787A"/>
    <w:pPr>
      <w:spacing w:after="0" w:line="240" w:lineRule="auto"/>
      <w:jc w:val="left"/>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90825">
      <w:bodyDiv w:val="1"/>
      <w:marLeft w:val="0"/>
      <w:marRight w:val="0"/>
      <w:marTop w:val="0"/>
      <w:marBottom w:val="0"/>
      <w:divBdr>
        <w:top w:val="none" w:sz="0" w:space="0" w:color="auto"/>
        <w:left w:val="none" w:sz="0" w:space="0" w:color="auto"/>
        <w:bottom w:val="none" w:sz="0" w:space="0" w:color="auto"/>
        <w:right w:val="none" w:sz="0" w:space="0" w:color="auto"/>
      </w:divBdr>
    </w:div>
    <w:div w:id="448672526">
      <w:bodyDiv w:val="1"/>
      <w:marLeft w:val="0"/>
      <w:marRight w:val="0"/>
      <w:marTop w:val="0"/>
      <w:marBottom w:val="0"/>
      <w:divBdr>
        <w:top w:val="none" w:sz="0" w:space="0" w:color="auto"/>
        <w:left w:val="none" w:sz="0" w:space="0" w:color="auto"/>
        <w:bottom w:val="none" w:sz="0" w:space="0" w:color="auto"/>
        <w:right w:val="none" w:sz="0" w:space="0" w:color="auto"/>
      </w:divBdr>
    </w:div>
    <w:div w:id="596792810">
      <w:bodyDiv w:val="1"/>
      <w:marLeft w:val="0"/>
      <w:marRight w:val="0"/>
      <w:marTop w:val="0"/>
      <w:marBottom w:val="0"/>
      <w:divBdr>
        <w:top w:val="none" w:sz="0" w:space="0" w:color="auto"/>
        <w:left w:val="none" w:sz="0" w:space="0" w:color="auto"/>
        <w:bottom w:val="none" w:sz="0" w:space="0" w:color="auto"/>
        <w:right w:val="none" w:sz="0" w:space="0" w:color="auto"/>
      </w:divBdr>
    </w:div>
    <w:div w:id="940257989">
      <w:bodyDiv w:val="1"/>
      <w:marLeft w:val="0"/>
      <w:marRight w:val="0"/>
      <w:marTop w:val="0"/>
      <w:marBottom w:val="0"/>
      <w:divBdr>
        <w:top w:val="none" w:sz="0" w:space="0" w:color="auto"/>
        <w:left w:val="none" w:sz="0" w:space="0" w:color="auto"/>
        <w:bottom w:val="none" w:sz="0" w:space="0" w:color="auto"/>
        <w:right w:val="none" w:sz="0" w:space="0" w:color="auto"/>
      </w:divBdr>
    </w:div>
    <w:div w:id="1209145182">
      <w:bodyDiv w:val="1"/>
      <w:marLeft w:val="0"/>
      <w:marRight w:val="0"/>
      <w:marTop w:val="0"/>
      <w:marBottom w:val="0"/>
      <w:divBdr>
        <w:top w:val="none" w:sz="0" w:space="0" w:color="auto"/>
        <w:left w:val="none" w:sz="0" w:space="0" w:color="auto"/>
        <w:bottom w:val="none" w:sz="0" w:space="0" w:color="auto"/>
        <w:right w:val="none" w:sz="0" w:space="0" w:color="auto"/>
      </w:divBdr>
    </w:div>
    <w:div w:id="1282303994">
      <w:bodyDiv w:val="1"/>
      <w:marLeft w:val="0"/>
      <w:marRight w:val="0"/>
      <w:marTop w:val="0"/>
      <w:marBottom w:val="0"/>
      <w:divBdr>
        <w:top w:val="none" w:sz="0" w:space="0" w:color="auto"/>
        <w:left w:val="none" w:sz="0" w:space="0" w:color="auto"/>
        <w:bottom w:val="none" w:sz="0" w:space="0" w:color="auto"/>
        <w:right w:val="none" w:sz="0" w:space="0" w:color="auto"/>
      </w:divBdr>
      <w:divsChild>
        <w:div w:id="1262957920">
          <w:marLeft w:val="0"/>
          <w:marRight w:val="0"/>
          <w:marTop w:val="0"/>
          <w:marBottom w:val="0"/>
          <w:divBdr>
            <w:top w:val="none" w:sz="0" w:space="0" w:color="auto"/>
            <w:left w:val="none" w:sz="0" w:space="0" w:color="auto"/>
            <w:bottom w:val="none" w:sz="0" w:space="0" w:color="auto"/>
            <w:right w:val="none" w:sz="0" w:space="0" w:color="auto"/>
          </w:divBdr>
        </w:div>
      </w:divsChild>
    </w:div>
    <w:div w:id="1304385114">
      <w:bodyDiv w:val="1"/>
      <w:marLeft w:val="0"/>
      <w:marRight w:val="0"/>
      <w:marTop w:val="0"/>
      <w:marBottom w:val="0"/>
      <w:divBdr>
        <w:top w:val="none" w:sz="0" w:space="0" w:color="auto"/>
        <w:left w:val="none" w:sz="0" w:space="0" w:color="auto"/>
        <w:bottom w:val="none" w:sz="0" w:space="0" w:color="auto"/>
        <w:right w:val="none" w:sz="0" w:space="0" w:color="auto"/>
      </w:divBdr>
    </w:div>
    <w:div w:id="1327979524">
      <w:bodyDiv w:val="1"/>
      <w:marLeft w:val="0"/>
      <w:marRight w:val="0"/>
      <w:marTop w:val="0"/>
      <w:marBottom w:val="0"/>
      <w:divBdr>
        <w:top w:val="none" w:sz="0" w:space="0" w:color="auto"/>
        <w:left w:val="none" w:sz="0" w:space="0" w:color="auto"/>
        <w:bottom w:val="none" w:sz="0" w:space="0" w:color="auto"/>
        <w:right w:val="none" w:sz="0" w:space="0" w:color="auto"/>
      </w:divBdr>
    </w:div>
    <w:div w:id="1358579465">
      <w:bodyDiv w:val="1"/>
      <w:marLeft w:val="0"/>
      <w:marRight w:val="0"/>
      <w:marTop w:val="0"/>
      <w:marBottom w:val="0"/>
      <w:divBdr>
        <w:top w:val="none" w:sz="0" w:space="0" w:color="auto"/>
        <w:left w:val="none" w:sz="0" w:space="0" w:color="auto"/>
        <w:bottom w:val="none" w:sz="0" w:space="0" w:color="auto"/>
        <w:right w:val="none" w:sz="0" w:space="0" w:color="auto"/>
      </w:divBdr>
    </w:div>
    <w:div w:id="1542282494">
      <w:bodyDiv w:val="1"/>
      <w:marLeft w:val="0"/>
      <w:marRight w:val="0"/>
      <w:marTop w:val="0"/>
      <w:marBottom w:val="0"/>
      <w:divBdr>
        <w:top w:val="none" w:sz="0" w:space="0" w:color="auto"/>
        <w:left w:val="none" w:sz="0" w:space="0" w:color="auto"/>
        <w:bottom w:val="none" w:sz="0" w:space="0" w:color="auto"/>
        <w:right w:val="none" w:sz="0" w:space="0" w:color="auto"/>
      </w:divBdr>
    </w:div>
    <w:div w:id="1642923237">
      <w:bodyDiv w:val="1"/>
      <w:marLeft w:val="0"/>
      <w:marRight w:val="0"/>
      <w:marTop w:val="0"/>
      <w:marBottom w:val="0"/>
      <w:divBdr>
        <w:top w:val="none" w:sz="0" w:space="0" w:color="auto"/>
        <w:left w:val="none" w:sz="0" w:space="0" w:color="auto"/>
        <w:bottom w:val="none" w:sz="0" w:space="0" w:color="auto"/>
        <w:right w:val="none" w:sz="0" w:space="0" w:color="auto"/>
      </w:divBdr>
      <w:divsChild>
        <w:div w:id="652760325">
          <w:marLeft w:val="0"/>
          <w:marRight w:val="0"/>
          <w:marTop w:val="0"/>
          <w:marBottom w:val="0"/>
          <w:divBdr>
            <w:top w:val="none" w:sz="0" w:space="0" w:color="auto"/>
            <w:left w:val="none" w:sz="0" w:space="0" w:color="auto"/>
            <w:bottom w:val="none" w:sz="0" w:space="0" w:color="auto"/>
            <w:right w:val="none" w:sz="0" w:space="0" w:color="auto"/>
          </w:divBdr>
        </w:div>
        <w:div w:id="1422600120">
          <w:marLeft w:val="0"/>
          <w:marRight w:val="0"/>
          <w:marTop w:val="0"/>
          <w:marBottom w:val="0"/>
          <w:divBdr>
            <w:top w:val="none" w:sz="0" w:space="0" w:color="auto"/>
            <w:left w:val="none" w:sz="0" w:space="0" w:color="auto"/>
            <w:bottom w:val="none" w:sz="0" w:space="0" w:color="auto"/>
            <w:right w:val="none" w:sz="0" w:space="0" w:color="auto"/>
          </w:divBdr>
        </w:div>
      </w:divsChild>
    </w:div>
    <w:div w:id="1784961621">
      <w:bodyDiv w:val="1"/>
      <w:marLeft w:val="0"/>
      <w:marRight w:val="0"/>
      <w:marTop w:val="0"/>
      <w:marBottom w:val="0"/>
      <w:divBdr>
        <w:top w:val="none" w:sz="0" w:space="0" w:color="auto"/>
        <w:left w:val="none" w:sz="0" w:space="0" w:color="auto"/>
        <w:bottom w:val="none" w:sz="0" w:space="0" w:color="auto"/>
        <w:right w:val="none" w:sz="0" w:space="0" w:color="auto"/>
      </w:divBdr>
    </w:div>
    <w:div w:id="1867207017">
      <w:bodyDiv w:val="1"/>
      <w:marLeft w:val="0"/>
      <w:marRight w:val="0"/>
      <w:marTop w:val="0"/>
      <w:marBottom w:val="0"/>
      <w:divBdr>
        <w:top w:val="none" w:sz="0" w:space="0" w:color="auto"/>
        <w:left w:val="none" w:sz="0" w:space="0" w:color="auto"/>
        <w:bottom w:val="none" w:sz="0" w:space="0" w:color="auto"/>
        <w:right w:val="none" w:sz="0" w:space="0" w:color="auto"/>
      </w:divBdr>
    </w:div>
    <w:div w:id="1916742087">
      <w:bodyDiv w:val="1"/>
      <w:marLeft w:val="0"/>
      <w:marRight w:val="0"/>
      <w:marTop w:val="0"/>
      <w:marBottom w:val="0"/>
      <w:divBdr>
        <w:top w:val="none" w:sz="0" w:space="0" w:color="auto"/>
        <w:left w:val="none" w:sz="0" w:space="0" w:color="auto"/>
        <w:bottom w:val="none" w:sz="0" w:space="0" w:color="auto"/>
        <w:right w:val="none" w:sz="0" w:space="0" w:color="auto"/>
      </w:divBdr>
    </w:div>
    <w:div w:id="1920402940">
      <w:bodyDiv w:val="1"/>
      <w:marLeft w:val="0"/>
      <w:marRight w:val="0"/>
      <w:marTop w:val="0"/>
      <w:marBottom w:val="0"/>
      <w:divBdr>
        <w:top w:val="none" w:sz="0" w:space="0" w:color="auto"/>
        <w:left w:val="none" w:sz="0" w:space="0" w:color="auto"/>
        <w:bottom w:val="none" w:sz="0" w:space="0" w:color="auto"/>
        <w:right w:val="none" w:sz="0" w:space="0" w:color="auto"/>
      </w:divBdr>
    </w:div>
    <w:div w:id="1981184518">
      <w:bodyDiv w:val="1"/>
      <w:marLeft w:val="0"/>
      <w:marRight w:val="0"/>
      <w:marTop w:val="0"/>
      <w:marBottom w:val="0"/>
      <w:divBdr>
        <w:top w:val="none" w:sz="0" w:space="0" w:color="auto"/>
        <w:left w:val="none" w:sz="0" w:space="0" w:color="auto"/>
        <w:bottom w:val="none" w:sz="0" w:space="0" w:color="auto"/>
        <w:right w:val="none" w:sz="0" w:space="0" w:color="auto"/>
      </w:divBdr>
    </w:div>
    <w:div w:id="212672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s23167288" TargetMode="External"/><Relationship Id="rId18" Type="http://schemas.openxmlformats.org/officeDocument/2006/relationships/hyperlink" Target="https://doi.org/10.1016/j.ijhydene.2025.01.413" TargetMode="External"/><Relationship Id="rId26" Type="http://schemas.openxmlformats.org/officeDocument/2006/relationships/hyperlink" Target="https://doi.org/10.1109/icSmartGrid61824.2024.10578221" TargetMode="External"/><Relationship Id="rId39" Type="http://schemas.openxmlformats.org/officeDocument/2006/relationships/hyperlink" Target="https://doi.org/10.3390/pr12112544" TargetMode="External"/><Relationship Id="rId21" Type="http://schemas.openxmlformats.org/officeDocument/2006/relationships/hyperlink" Target="https://doi.org/10.1016/j.segan.2024.101324" TargetMode="External"/><Relationship Id="rId34" Type="http://schemas.openxmlformats.org/officeDocument/2006/relationships/hyperlink" Target="https://doi.org/10.1016/j.segan.2024.101528" TargetMode="External"/><Relationship Id="rId42" Type="http://schemas.openxmlformats.org/officeDocument/2006/relationships/hyperlink" Target="https://doi.org/10.1109/CEEPE64987.2025.11033872"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07/978-981-19-9822-5_73" TargetMode="External"/><Relationship Id="rId29" Type="http://schemas.openxmlformats.org/officeDocument/2006/relationships/hyperlink" Target="https://doi.org/10.3390/su152216002" TargetMode="External"/><Relationship Id="rId11" Type="http://schemas.openxmlformats.org/officeDocument/2006/relationships/hyperlink" Target="https://doi.org/10.1016/j.ifacol.2024.05.025" TargetMode="External"/><Relationship Id="rId24" Type="http://schemas.openxmlformats.org/officeDocument/2006/relationships/hyperlink" Target="https://doi.org/10.1016/j.compeleceng.2025.110356" TargetMode="External"/><Relationship Id="rId32" Type="http://schemas.openxmlformats.org/officeDocument/2006/relationships/hyperlink" Target="https://doi.org/10.3390/modelling6020029" TargetMode="External"/><Relationship Id="rId37" Type="http://schemas.openxmlformats.org/officeDocument/2006/relationships/hyperlink" Target="https://doi.org/10.1049/enc2.12110" TargetMode="External"/><Relationship Id="rId40" Type="http://schemas.openxmlformats.org/officeDocument/2006/relationships/hyperlink" Target="https://doi.org/10.1109/PESGM51994.2024.10688800"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i.org/10.1109/IECON49645.2022.9969092" TargetMode="External"/><Relationship Id="rId23" Type="http://schemas.openxmlformats.org/officeDocument/2006/relationships/hyperlink" Target="https://doi.org/10.1016/j.jup.2025.101890" TargetMode="External"/><Relationship Id="rId28" Type="http://schemas.openxmlformats.org/officeDocument/2006/relationships/hyperlink" Target="https://doi.org/10.1109/ICARCV63323.2024.10821707" TargetMode="External"/><Relationship Id="rId36" Type="http://schemas.openxmlformats.org/officeDocument/2006/relationships/hyperlink" Target="https://doi.org/10.1109/EEM60825.2024.10608955" TargetMode="External"/><Relationship Id="rId49"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hyperlink" Target="https://doi.org/10.1109/IECON55916.2024.10905357" TargetMode="External"/><Relationship Id="rId31" Type="http://schemas.openxmlformats.org/officeDocument/2006/relationships/hyperlink" Target="https://doi.org/10.3390/en18112922" TargetMode="External"/><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09/ACCESS.2024.3465229" TargetMode="External"/><Relationship Id="rId22" Type="http://schemas.openxmlformats.org/officeDocument/2006/relationships/hyperlink" Target="https://doi.org/10.1016/j.energy.2025.134778" TargetMode="External"/><Relationship Id="rId27" Type="http://schemas.openxmlformats.org/officeDocument/2006/relationships/hyperlink" Target="https://doi.org/10.1109/icSmartGrid61824.2024.10578150" TargetMode="External"/><Relationship Id="rId30" Type="http://schemas.openxmlformats.org/officeDocument/2006/relationships/hyperlink" Target="https://doi.org/10.2516/stet/2025006" TargetMode="External"/><Relationship Id="rId35" Type="http://schemas.openxmlformats.org/officeDocument/2006/relationships/hyperlink" Target="https://doi.org/10.1109/TPWRS.2024.3376808" TargetMode="External"/><Relationship Id="rId43" Type="http://schemas.openxmlformats.org/officeDocument/2006/relationships/hyperlink" Target="https://doi.org/10.1109/PESGM51994.2024.10688561" TargetMode="External"/><Relationship Id="rId48" Type="http://schemas.openxmlformats.org/officeDocument/2006/relationships/header" Target="header3.xml"/><Relationship Id="rId8" Type="http://schemas.microsoft.com/office/2011/relationships/commentsExtended" Target="commentsExtended.xml"/><Relationship Id="rId51"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https://doi.org/10.3390/en13092250" TargetMode="External"/><Relationship Id="rId17" Type="http://schemas.openxmlformats.org/officeDocument/2006/relationships/hyperlink" Target="https://doi.org/10.1109/SusTech60925.2024.10553460" TargetMode="External"/><Relationship Id="rId25" Type="http://schemas.openxmlformats.org/officeDocument/2006/relationships/hyperlink" Target="https://doi.org/10.1016/j.segan.2024.101560" TargetMode="External"/><Relationship Id="rId33" Type="http://schemas.openxmlformats.org/officeDocument/2006/relationships/hyperlink" Target="https://doi.org/10.1109/TSG.2023.3313550" TargetMode="External"/><Relationship Id="rId38" Type="http://schemas.openxmlformats.org/officeDocument/2006/relationships/hyperlink" Target="https://doi.org/10.1109/TPWRS.2023.3308104" TargetMode="External"/><Relationship Id="rId46" Type="http://schemas.openxmlformats.org/officeDocument/2006/relationships/footer" Target="footer1.xml"/><Relationship Id="rId20" Type="http://schemas.openxmlformats.org/officeDocument/2006/relationships/hyperlink" Target="https://doi.org/10.1109/OJIA.2023.3264651" TargetMode="External"/><Relationship Id="rId41" Type="http://schemas.openxmlformats.org/officeDocument/2006/relationships/hyperlink" Target="https://doi.org/10.1109/CEEPE62022.2024.1058634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5839</Words>
  <Characters>33288</Characters>
  <Application>Microsoft Office Word</Application>
  <DocSecurity>0</DocSecurity>
  <Lines>277</Lines>
  <Paragraphs>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Proposition de Recherche CRSNG 2025</vt:lpstr>
      <vt:lpstr/>
    </vt:vector>
  </TitlesOfParts>
  <Company>UQTR</Company>
  <LinksUpToDate>false</LinksUpToDate>
  <CharactersWithSpaces>39049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Recherche CRSNG 2025</dc:title>
  <dc:creator>Nilson Fernando Henao</dc:creator>
  <cp:keywords/>
  <cp:lastModifiedBy>Nilson Fernando Henao</cp:lastModifiedBy>
  <cp:revision>7</cp:revision>
  <dcterms:created xsi:type="dcterms:W3CDTF">2025-10-11T13:19:00Z</dcterms:created>
  <dcterms:modified xsi:type="dcterms:W3CDTF">2025-10-11T13:34:00Z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ieee.csl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