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资料处理说明</w:t>
      </w:r>
    </w:p>
    <w:p/>
    <w:p>
      <w:r>
        <w:t>只解析本文件，不请求外部资源。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00"/>
        <w:gridCol w:w="2400"/>
      </w:tblGrid>
      <w:tr>
        <w:tc>
          <w:p>
            <w:r>
              <w:t>项目</w:t>
            </w:r>
          </w:p>
        </w:tc>
        <w:tc>
          <w:p>
            <w:r>
              <w:t>规则</w:t>
            </w:r>
          </w:p>
        </w:tc>
      </w:tr>
      <w:tr>
        <w:tc>
          <w:tcPr>
            <w:gridSpan w:val="2"/>
          </w:tcPr>
          <w:p>
            <w:r>
              <w:t>合并单元格保持来源</w:t>
            </w:r>
          </w:p>
        </w:tc>
      </w:tr>
    </w:tbl>
    <w:p>
      <w:hyperlink r:id="rId3">
        <w:r>
          <w:t>外部链接文字</w:t>
        </w:r>
      </w:hyperlink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example.invalid/never-fetc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2026-10-24T09:51:46Z</dcterms:created>
  <dc:creator>Apache POI</dc:creator>
</cp:coreProperties>
</file>