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8B6698">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8B6698">
        <w:rPr>
          <w:rFonts w:cs="Arial"/>
          <w:sz w:val="22"/>
          <w:szCs w:val="22"/>
        </w:rPr>
        <w:t>Indiana</w:t>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4D5029">
              <w:rPr>
                <w:sz w:val="22"/>
                <w:szCs w:val="22"/>
              </w:rPr>
              <w:t>BORROWER CH</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4D5029">
        <w:rPr>
          <w:sz w:val="22"/>
          <w:szCs w:val="22"/>
        </w:rPr>
        <w:t>BORROWER CH</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8B6698">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8B6698">
        <w:rPr>
          <w:rFonts w:cs="Arial"/>
          <w:sz w:val="22"/>
          <w:szCs w:val="22"/>
        </w:rPr>
        <w:t>Indiana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4D5029">
              <w:rPr>
                <w:sz w:val="22"/>
                <w:szCs w:val="22"/>
              </w:rPr>
              <w:t>BORROWER CH</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4D5029">
        <w:rPr>
          <w:sz w:val="22"/>
          <w:szCs w:val="22"/>
        </w:rPr>
        <w:t>BORROWER CH</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8B6698">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8B6698">
        <w:rPr>
          <w:rFonts w:cs="Arial"/>
          <w:sz w:val="22"/>
          <w:szCs w:val="22"/>
        </w:rPr>
        <w:t>Indiana</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4D5029">
        <w:rPr>
          <w:sz w:val="22"/>
          <w:szCs w:val="22"/>
        </w:rPr>
        <w:t>BORROWER CH</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4D5029">
        <w:rPr>
          <w:sz w:val="22"/>
          <w:szCs w:val="22"/>
        </w:rPr>
        <w:t>BORROWER CH</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15AF" w:rsidRDefault="001515AF">
      <w:r>
        <w:separator/>
      </w:r>
    </w:p>
  </w:endnote>
  <w:endnote w:type="continuationSeparator" w:id="0">
    <w:p w:rsidR="001515AF" w:rsidRDefault="00151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5035D8">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5035D8">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15AF" w:rsidRDefault="001515AF">
      <w:r>
        <w:separator/>
      </w:r>
    </w:p>
  </w:footnote>
  <w:footnote w:type="continuationSeparator" w:id="0">
    <w:p w:rsidR="001515AF" w:rsidRDefault="00151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5AF"/>
    <w:rsid w:val="001517EC"/>
    <w:rsid w:val="0015206D"/>
    <w:rsid w:val="001530DA"/>
    <w:rsid w:val="00185FD0"/>
    <w:rsid w:val="001A346D"/>
    <w:rsid w:val="001E0771"/>
    <w:rsid w:val="001E33C0"/>
    <w:rsid w:val="0020069B"/>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17BA7"/>
    <w:rsid w:val="00321FA4"/>
    <w:rsid w:val="003418A9"/>
    <w:rsid w:val="00344B4A"/>
    <w:rsid w:val="00387496"/>
    <w:rsid w:val="00394D08"/>
    <w:rsid w:val="003A0043"/>
    <w:rsid w:val="003A67C9"/>
    <w:rsid w:val="003B0B27"/>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029"/>
    <w:rsid w:val="004D524F"/>
    <w:rsid w:val="004D70C2"/>
    <w:rsid w:val="004E5A92"/>
    <w:rsid w:val="004E5CC3"/>
    <w:rsid w:val="004E706E"/>
    <w:rsid w:val="004F6FE5"/>
    <w:rsid w:val="005035D8"/>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25D9"/>
    <w:rsid w:val="006330A0"/>
    <w:rsid w:val="00633715"/>
    <w:rsid w:val="00642475"/>
    <w:rsid w:val="0064566B"/>
    <w:rsid w:val="0066205B"/>
    <w:rsid w:val="006A34EE"/>
    <w:rsid w:val="006B14EB"/>
    <w:rsid w:val="006B537B"/>
    <w:rsid w:val="006C3E7D"/>
    <w:rsid w:val="006E06DD"/>
    <w:rsid w:val="00706ABF"/>
    <w:rsid w:val="00733135"/>
    <w:rsid w:val="00743277"/>
    <w:rsid w:val="00757392"/>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A56D6"/>
    <w:rsid w:val="008B6698"/>
    <w:rsid w:val="008B73A1"/>
    <w:rsid w:val="008E3FE5"/>
    <w:rsid w:val="008E7EC4"/>
    <w:rsid w:val="008F38A9"/>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B59BE"/>
    <w:rsid w:val="00BC5F74"/>
    <w:rsid w:val="00BD0B42"/>
    <w:rsid w:val="00BD5E92"/>
    <w:rsid w:val="00BF3609"/>
    <w:rsid w:val="00C0098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556DF"/>
    <w:rsid w:val="00D81151"/>
    <w:rsid w:val="00D87A64"/>
    <w:rsid w:val="00DA3674"/>
    <w:rsid w:val="00DB3A25"/>
    <w:rsid w:val="00DC44B8"/>
    <w:rsid w:val="00DC5DEB"/>
    <w:rsid w:val="00DC75D2"/>
    <w:rsid w:val="00DF2760"/>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E2AAD"/>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55AF59F6-9C9F-6E42-8E61-DCE935A0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