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870EA">
      <w:pPr>
        <w:spacing w:before="0" w:after="40" w:line="240" w:lineRule="auto"/>
        <w:jc w:val="left"/>
      </w:pPr>
      <w:r>
        <w:rPr>
          <w:rFonts w:ascii="Times New Roman" w:hAnsi="Times New Roman" w:eastAsia="宋体"/>
          <w:b w:val="0"/>
          <w:sz w:val="18"/>
        </w:rPr>
        <w:t>作者简介：李蓉（1989—），女，安徽合肥人，硕士，研究助理，数驭百川（北京）科技有限公司，研究方向为数智技术与产业经济。</w:t>
      </w:r>
    </w:p>
    <w:p w14:paraId="03106254">
      <w:pPr>
        <w:spacing w:before="0" w:after="80" w:line="240" w:lineRule="auto"/>
        <w:jc w:val="center"/>
      </w:pPr>
      <w:r>
        <w:rPr>
          <w:rFonts w:ascii="Times New Roman" w:hAnsi="Times New Roman" w:eastAsia="黑体"/>
          <w:b w:val="0"/>
          <w:sz w:val="44"/>
        </w:rPr>
        <w:t>数智技术赋能与企业环境绩效</w:t>
      </w:r>
    </w:p>
    <w:p w14:paraId="6B3F8FA1">
      <w:pPr>
        <w:spacing w:before="0" w:after="160" w:line="240" w:lineRule="auto"/>
        <w:jc w:val="center"/>
      </w:pPr>
      <w:r>
        <w:rPr>
          <w:rFonts w:ascii="Times New Roman" w:hAnsi="Times New Roman" w:eastAsia="黑体"/>
          <w:b w:val="0"/>
          <w:sz w:val="30"/>
        </w:rPr>
        <w:t>——绿色技术创新的中介作用</w:t>
      </w:r>
    </w:p>
    <w:p w14:paraId="40F355D3">
      <w:pPr>
        <w:spacing w:before="0" w:after="40" w:line="240" w:lineRule="auto"/>
        <w:jc w:val="center"/>
      </w:pPr>
      <w:r>
        <w:rPr>
          <w:rFonts w:ascii="Times New Roman" w:hAnsi="Times New Roman" w:eastAsia="黑体"/>
          <w:b w:val="0"/>
          <w:sz w:val="24"/>
        </w:rPr>
        <w:t>李  蓉</w:t>
      </w:r>
    </w:p>
    <w:p w14:paraId="58A18209">
      <w:pPr>
        <w:spacing w:before="0" w:after="160" w:line="240" w:lineRule="auto"/>
        <w:jc w:val="center"/>
      </w:pPr>
      <w:r>
        <w:rPr>
          <w:rFonts w:ascii="Times New Roman" w:hAnsi="Times New Roman" w:eastAsia="宋体"/>
          <w:b w:val="0"/>
          <w:sz w:val="18"/>
        </w:rPr>
        <w:t>（数驭百川（北京）科技有限公司，北京 102600）</w:t>
      </w:r>
    </w:p>
    <w:p w14:paraId="73279002">
      <w:pPr>
        <w:spacing w:line="240" w:lineRule="auto"/>
        <w:ind w:firstLine="360" w:firstLineChars="200"/>
        <w:jc w:val="both"/>
      </w:pPr>
      <w:r>
        <w:rPr>
          <w:rFonts w:ascii="Times New Roman" w:hAnsi="Times New Roman" w:eastAsia="黑体"/>
          <w:b w:val="0"/>
          <w:sz w:val="18"/>
        </w:rPr>
        <w:t>摘  要：数智技术的环境效应经由哪条渠道释放，至今仍是争点。样本取自2007—2024年沪深A股1286家上市公司、11571个观测。数智赋能指数由年报数字化转型词频与数字化无形资产占比合成，环境绩效指数包含绿色创新产出、碳信息披露与环境治理投入三个维度。传导路径借助双向固定效应、中介效应与空间权重回归三重设定识别。估计结果显示，赋能指数每提高一个标准差，绿色专利产出约提高0.055个标准差；绿色技术创新构成主要渠道，中介占比50.05%，Sobel检验在5%水平显著，中介变量进入方程后直接效应不再显著。管理效率与资源配置两条路径在现有代理变量下尚未获支持。分维度观察，赋能对绿色专利申请量与获得量均有正向影响，综合指数不显著更多源于维度稀释，而非环境效应缺失。行业层面，非重污染企业强于重污染企业；区域差异与空间间接效应则均不显著。可见数智赋能主要通过绿色技术创新释放环境红利，且这一效应具有行业异质性，可为差异化政策提供依据。</w:t>
      </w:r>
    </w:p>
    <w:p w14:paraId="437A0DAA">
      <w:pPr>
        <w:spacing w:line="240" w:lineRule="auto"/>
        <w:ind w:firstLine="360" w:firstLineChars="200"/>
        <w:jc w:val="both"/>
      </w:pPr>
      <w:r>
        <w:rPr>
          <w:rFonts w:ascii="Times New Roman" w:hAnsi="Times New Roman" w:eastAsia="黑体"/>
          <w:b w:val="0"/>
          <w:sz w:val="18"/>
        </w:rPr>
        <w:t>关键词：</w:t>
      </w:r>
      <w:r>
        <w:rPr>
          <w:rFonts w:ascii="Times New Roman" w:hAnsi="Times New Roman" w:eastAsia="楷体"/>
          <w:b w:val="0"/>
          <w:sz w:val="18"/>
        </w:rPr>
        <w:t>数智技术赋能；绿色技术创新；企业环境绩效；中介效应；空间溢出</w:t>
      </w:r>
    </w:p>
    <w:p w14:paraId="64F08F53">
      <w:pPr>
        <w:spacing w:before="0" w:after="40" w:line="240" w:lineRule="auto"/>
        <w:ind w:firstLine="360" w:firstLineChars="200"/>
        <w:jc w:val="left"/>
      </w:pPr>
      <w:r>
        <w:rPr>
          <w:rFonts w:ascii="Times New Roman" w:hAnsi="Times New Roman" w:eastAsia="宋体"/>
          <w:b w:val="0"/>
          <w:sz w:val="18"/>
        </w:rPr>
        <w:t>DOI：</w:t>
      </w:r>
      <w:r>
        <w:rPr>
          <w:rFonts w:hint="eastAsia"/>
          <w:b w:val="0"/>
          <w:sz w:val="18"/>
          <w:lang w:val="en-US" w:eastAsia="zh-CN"/>
        </w:rPr>
        <w:t xml:space="preserve">                     </w:t>
      </w:r>
      <w:r>
        <w:rPr>
          <w:rFonts w:ascii="Times New Roman" w:hAnsi="Times New Roman" w:eastAsia="宋体"/>
          <w:b w:val="0"/>
          <w:sz w:val="18"/>
        </w:rPr>
        <w:t>　　　　　开放科学（资源服务）标识码（OSID）：</w:t>
      </w:r>
    </w:p>
    <w:p w14:paraId="212EFA94">
      <w:pPr>
        <w:spacing w:before="0" w:after="40" w:line="240" w:lineRule="auto"/>
        <w:ind w:firstLine="360" w:firstLineChars="200"/>
        <w:jc w:val="left"/>
      </w:pPr>
      <w:r>
        <w:rPr>
          <w:rFonts w:ascii="Times New Roman" w:hAnsi="Times New Roman" w:eastAsia="宋体"/>
          <w:b w:val="0"/>
          <w:sz w:val="18"/>
        </w:rPr>
        <w:t>中图分类号：F279.23　　　　　文献标识码：A　　　　　文章编号：</w:t>
      </w:r>
    </w:p>
    <w:p w14:paraId="694F664E">
      <w:pPr>
        <w:spacing w:before="240" w:after="120" w:line="240" w:lineRule="auto"/>
        <w:jc w:val="left"/>
      </w:pPr>
      <w:r>
        <w:rPr>
          <w:rFonts w:ascii="Times New Roman" w:hAnsi="Times New Roman" w:eastAsia="黑体"/>
          <w:b/>
          <w:sz w:val="24"/>
        </w:rPr>
        <w:t>1 引言</w:t>
      </w:r>
    </w:p>
    <w:p w14:paraId="41DBC251">
      <w:pPr>
        <w:spacing w:before="0" w:after="0" w:line="240" w:lineRule="auto"/>
        <w:ind w:firstLine="420" w:firstLineChars="200"/>
        <w:jc w:val="both"/>
      </w:pPr>
      <w:r>
        <w:rPr>
          <w:rFonts w:ascii="Times New Roman" w:hAnsi="Times New Roman" w:eastAsia="宋体"/>
          <w:b w:val="0"/>
          <w:sz w:val="21"/>
        </w:rPr>
        <w:t>党的二十大以来，数字经济与实体经济融合被置于国家战略的优先位置，发展新质生产力亦成为各地政策部署的重点。人工智能（Artificial Intelligence，AI）、大数据等数智技术，被普遍视为培育绿色生产力的关键变量。“双碳”目标已进入落地攻坚期，传统高耗能、高排放的生产模式难以为继；企业既是碳排放与污染治理的核心主体，其环境绩效又直接关系到合规成本、资本市场定价与供应链合作资质。如何借助数智技术压低绿色转型中的信息成本、管理成本与资源配置成本，成为亟待回答的现实命题</w:t>
      </w:r>
      <w:r>
        <w:rPr>
          <w:rFonts w:ascii="Times New Roman" w:hAnsi="Times New Roman" w:eastAsia="宋体"/>
          <w:b w:val="0"/>
          <w:sz w:val="21"/>
          <w:vertAlign w:val="superscript"/>
        </w:rPr>
        <w:t>[1-2]</w:t>
      </w:r>
      <w:r>
        <w:rPr>
          <w:rFonts w:ascii="Times New Roman" w:hAnsi="Times New Roman" w:eastAsia="宋体"/>
          <w:b w:val="0"/>
          <w:sz w:val="21"/>
        </w:rPr>
        <w:t>。与此同时，人工智能对劳动市场与社会分配的影响也引发广泛讨论：Acemoglu和Restrepo发现机器人的普及会替代常规岗位并压低相关职业的工资</w:t>
      </w:r>
      <w:r>
        <w:rPr>
          <w:rFonts w:ascii="Times New Roman" w:hAnsi="Times New Roman" w:eastAsia="宋体"/>
          <w:b w:val="0"/>
          <w:sz w:val="21"/>
          <w:vertAlign w:val="superscript"/>
        </w:rPr>
        <w:t>[3]</w:t>
      </w:r>
      <w:r>
        <w:rPr>
          <w:rFonts w:ascii="Times New Roman" w:hAnsi="Times New Roman" w:eastAsia="宋体"/>
          <w:b w:val="0"/>
          <w:sz w:val="21"/>
        </w:rPr>
        <w:t>，并进一步指出不同技术方向带来的就业后果并不相同</w:t>
      </w:r>
      <w:r>
        <w:rPr>
          <w:rFonts w:ascii="Times New Roman" w:hAnsi="Times New Roman" w:eastAsia="宋体"/>
          <w:b w:val="0"/>
          <w:sz w:val="21"/>
          <w:vertAlign w:val="superscript"/>
        </w:rPr>
        <w:t>[4]</w:t>
      </w:r>
      <w:r>
        <w:rPr>
          <w:rFonts w:ascii="Times New Roman" w:hAnsi="Times New Roman" w:eastAsia="宋体"/>
          <w:b w:val="0"/>
          <w:sz w:val="21"/>
        </w:rPr>
        <w:t>。</w:t>
      </w:r>
    </w:p>
    <w:p w14:paraId="58469625">
      <w:pPr>
        <w:spacing w:before="0" w:after="0" w:line="240" w:lineRule="auto"/>
        <w:ind w:firstLine="420" w:firstLineChars="200"/>
        <w:jc w:val="both"/>
      </w:pPr>
      <w:r>
        <w:rPr>
          <w:rFonts w:ascii="Times New Roman" w:hAnsi="Times New Roman" w:eastAsia="宋体"/>
          <w:b w:val="0"/>
          <w:sz w:val="21"/>
        </w:rPr>
        <w:t>数字技术与企业环境绩效的关系已有不少探索，多数研究认为信息化与数字化投入有助于企业减排和绿色创新。但现有文献仍有欠缺。多数研究沿用传统互联网与信息化的分析框架，对数智技术跨场景协同、全域数据调度这些新特征关注不够。研究重心也偏向直接影响，绿色技术创新这条核心渠道的中介效应因而缺少严格检验。此外，环境绩效的多维合成口径本就存在差异，碳信息披露指标在2020年后的口径变化会怎样影响结论，尚缺少稳健性排查。</w:t>
      </w:r>
    </w:p>
    <w:p w14:paraId="675F065E">
      <w:pPr>
        <w:spacing w:before="0" w:after="0" w:line="240" w:lineRule="auto"/>
        <w:ind w:firstLine="420" w:firstLineChars="200"/>
        <w:jc w:val="both"/>
      </w:pPr>
      <w:r>
        <w:rPr>
          <w:rFonts w:ascii="Times New Roman" w:hAnsi="Times New Roman" w:eastAsia="宋体"/>
          <w:b w:val="0"/>
          <w:sz w:val="21"/>
        </w:rPr>
        <w:t>下面按“数智技术—环境绩效—绿色效应”三条线索依次梳理文献，每支之后作简要评述，最后归纳尚未解决的问题与本文的推进之处，为后文的概念界定与假设推导提供依据。</w:t>
      </w:r>
    </w:p>
    <w:p w14:paraId="0E549523">
      <w:pPr>
        <w:spacing w:before="240" w:after="120" w:line="240" w:lineRule="auto"/>
        <w:jc w:val="left"/>
      </w:pPr>
      <w:r>
        <w:rPr>
          <w:rFonts w:ascii="Times New Roman" w:hAnsi="Times New Roman" w:eastAsia="黑体"/>
          <w:b/>
          <w:sz w:val="24"/>
        </w:rPr>
        <w:t>2 文献回顾</w:t>
      </w:r>
    </w:p>
    <w:p w14:paraId="09A3D82F">
      <w:pPr>
        <w:spacing w:before="160" w:after="80" w:line="240" w:lineRule="auto"/>
        <w:jc w:val="left"/>
      </w:pPr>
      <w:r>
        <w:rPr>
          <w:rFonts w:ascii="Times New Roman" w:hAnsi="Times New Roman" w:eastAsia="黑体"/>
          <w:b/>
          <w:sz w:val="21"/>
        </w:rPr>
        <w:t>2.1 数智技术与企业数字化转型</w:t>
      </w:r>
    </w:p>
    <w:p w14:paraId="08DFC996">
      <w:pPr>
        <w:spacing w:before="0" w:after="0" w:line="240" w:lineRule="auto"/>
        <w:ind w:firstLine="420" w:firstLineChars="200"/>
        <w:jc w:val="both"/>
      </w:pPr>
      <w:r>
        <w:rPr>
          <w:rFonts w:ascii="Times New Roman" w:hAnsi="Times New Roman" w:eastAsia="宋体"/>
          <w:b w:val="0"/>
          <w:sz w:val="21"/>
        </w:rPr>
        <w:t xml:space="preserve">测度是这一支文献的起点。吴非等</w:t>
      </w:r>
      <w:r>
        <w:rPr>
          <w:rFonts w:ascii="Times New Roman" w:hAnsi="Times New Roman" w:eastAsia="宋体"/>
          <w:b w:val="0"/>
          <w:sz w:val="21"/>
          <w:vertAlign w:val="superscript"/>
        </w:rPr>
        <w:t xml:space="preserve">[5]</w:t>
      </w:r>
      <w:r>
        <w:rPr>
          <w:rFonts w:ascii="Times New Roman" w:hAnsi="Times New Roman" w:eastAsia="宋体"/>
          <w:b w:val="0"/>
          <w:sz w:val="21"/>
        </w:rPr>
        <w:t xml:space="preserve">把年报中的数字化表述折算成词频，检验其与股票流动性的关系，这一做法的价值在于把“数字化”从问卷与案例中解放出来，变成可逐年、可跨企业比较的指标，此后的中文研究大多沿用；代价是词频只反映披露强度，说得多的未必做得实。赵宸宇等</w:t>
      </w:r>
      <w:r>
        <w:rPr>
          <w:rFonts w:ascii="Times New Roman" w:hAnsi="Times New Roman" w:eastAsia="宋体"/>
          <w:b w:val="0"/>
          <w:sz w:val="21"/>
          <w:vertAlign w:val="superscript"/>
        </w:rPr>
        <w:t xml:space="preserve">[6]</w:t>
      </w:r>
      <w:r>
        <w:rPr>
          <w:rFonts w:ascii="Times New Roman" w:hAnsi="Times New Roman" w:eastAsia="宋体"/>
          <w:b w:val="0"/>
          <w:sz w:val="21"/>
        </w:rPr>
        <w:t xml:space="preserve">用同类指标考察全要素生产率，把渠道落在创新能力与人力资本结构，结论比早期的“信息化—效率”研究更细，但止于生产环节，没有触及环境外部性。</w:t>
      </w:r>
    </w:p>
    <w:p w14:paraId="08DFC996">
      <w:pPr>
        <w:spacing w:before="0" w:after="0" w:line="240" w:lineRule="auto"/>
        <w:ind w:firstLine="420" w:firstLineChars="200"/>
        <w:jc w:val="both"/>
      </w:pPr>
      <w:r>
        <w:rPr>
          <w:rFonts w:ascii="Times New Roman" w:hAnsi="Times New Roman" w:eastAsia="宋体"/>
          <w:b w:val="0"/>
          <w:sz w:val="21"/>
        </w:rPr>
        <w:t xml:space="preserve">组织与分工是第二条线索。陈剑等</w:t>
      </w:r>
      <w:r>
        <w:rPr>
          <w:rFonts w:ascii="Times New Roman" w:hAnsi="Times New Roman" w:eastAsia="宋体"/>
          <w:b w:val="0"/>
          <w:sz w:val="21"/>
          <w:vertAlign w:val="superscript"/>
        </w:rPr>
        <w:t xml:space="preserve">[7]</w:t>
      </w:r>
      <w:r>
        <w:rPr>
          <w:rFonts w:ascii="Times New Roman" w:hAnsi="Times New Roman" w:eastAsia="宋体"/>
          <w:b w:val="0"/>
          <w:sz w:val="21"/>
        </w:rPr>
        <w:t xml:space="preserve">区分“赋能”与“使能”，把数字技术的作用拆成两套逻辑，为理解数智化如何改变运营管理提供了框架；不过该文以理论梳理为主，可检验的命题不多。袁淳等</w:t>
      </w:r>
      <w:r>
        <w:rPr>
          <w:rFonts w:ascii="Times New Roman" w:hAnsi="Times New Roman" w:eastAsia="宋体"/>
          <w:b w:val="0"/>
          <w:sz w:val="21"/>
          <w:vertAlign w:val="superscript"/>
        </w:rPr>
        <w:t xml:space="preserve">[8]</w:t>
      </w:r>
      <w:r>
        <w:rPr>
          <w:rFonts w:ascii="Times New Roman" w:hAnsi="Times New Roman" w:eastAsia="宋体"/>
          <w:b w:val="0"/>
          <w:sz w:val="21"/>
        </w:rPr>
        <w:t xml:space="preserve">把视角落到企业边界，发现数字化转型推动分工深化，这提示技术应用会重塑企业内部的协作方式，而协作方式恰恰关系到能耗与排放的归口管理，可惜该文并未沿此展开。</w:t>
      </w:r>
    </w:p>
    <w:p w14:paraId="08DFC996">
      <w:pPr>
        <w:spacing w:before="0" w:after="0" w:line="240" w:lineRule="auto"/>
        <w:ind w:firstLine="420" w:firstLineChars="200"/>
        <w:jc w:val="both"/>
      </w:pPr>
      <w:r>
        <w:rPr>
          <w:rFonts w:ascii="Times New Roman" w:hAnsi="Times New Roman" w:eastAsia="宋体"/>
          <w:b w:val="0"/>
          <w:sz w:val="21"/>
        </w:rPr>
        <w:t xml:space="preserve">宏观与行业层面的证据来自另一组研究。赵涛等</w:t>
      </w:r>
      <w:r>
        <w:rPr>
          <w:rFonts w:ascii="Times New Roman" w:hAnsi="Times New Roman" w:eastAsia="宋体"/>
          <w:b w:val="0"/>
          <w:sz w:val="21"/>
          <w:vertAlign w:val="superscript"/>
        </w:rPr>
        <w:t xml:space="preserve">[9]</w:t>
      </w:r>
      <w:r>
        <w:rPr>
          <w:rFonts w:ascii="Times New Roman" w:hAnsi="Times New Roman" w:eastAsia="宋体"/>
          <w:b w:val="0"/>
          <w:sz w:val="21"/>
        </w:rPr>
        <w:t xml:space="preserve">以城市为单元，发现数字经济通过创业活跃度促进高质量发展，视野开阔，但城市层面的加总掩盖了企业间的差异；黄群慧等</w:t>
      </w:r>
      <w:r>
        <w:rPr>
          <w:rFonts w:ascii="Times New Roman" w:hAnsi="Times New Roman" w:eastAsia="宋体"/>
          <w:b w:val="0"/>
          <w:sz w:val="21"/>
          <w:vertAlign w:val="superscript"/>
        </w:rPr>
        <w:t xml:space="preserve">[10]</w:t>
      </w:r>
      <w:r>
        <w:rPr>
          <w:rFonts w:ascii="Times New Roman" w:hAnsi="Times New Roman" w:eastAsia="宋体"/>
          <w:b w:val="0"/>
          <w:sz w:val="21"/>
        </w:rPr>
        <w:t xml:space="preserve">从制造业入手，识别出互联网发展提升生产率的机制，其行业口径与本文接近，可惜没有把环境后果纳入；唐松等</w:t>
      </w:r>
      <w:r>
        <w:rPr>
          <w:rFonts w:ascii="Times New Roman" w:hAnsi="Times New Roman" w:eastAsia="宋体"/>
          <w:b w:val="0"/>
          <w:sz w:val="21"/>
          <w:vertAlign w:val="superscript"/>
        </w:rPr>
        <w:t xml:space="preserve">[11]</w:t>
      </w:r>
      <w:r>
        <w:rPr>
          <w:rFonts w:ascii="Times New Roman" w:hAnsi="Times New Roman" w:eastAsia="宋体"/>
          <w:b w:val="0"/>
          <w:sz w:val="21"/>
        </w:rPr>
        <w:t xml:space="preserve">补上融资侧，说明数字金融改善了技术创新的资金条件，提示“钱从哪来”同样约束技术路线。三项研究的结论稳健，却都停在“数字化有利于效率或创新”，没有回答环境绩效是否随之改善。</w:t>
      </w:r>
    </w:p>
    <w:p w14:paraId="67DB94D3">
      <w:pPr>
        <w:spacing w:before="0" w:after="0" w:line="240" w:lineRule="auto"/>
        <w:ind w:firstLine="420" w:firstLineChars="200"/>
        <w:jc w:val="both"/>
      </w:pPr>
      <w:r>
        <w:rPr>
          <w:rFonts w:ascii="Times New Roman" w:hAnsi="Times New Roman" w:eastAsia="宋体"/>
          <w:b w:val="0"/>
          <w:sz w:val="21"/>
        </w:rPr>
        <w:t xml:space="preserve">总体看，这一支文献确立了“年报文本—企业行为”的实证范式，也把数字技术的经济后果讲清楚了。不足之处与本文直接相关：词频回答的是企业“提到什么”，而非“用到什么程度”，纸面数字化的干扰无法剔除；研究对象集中在生产率、分工与融资，环境后果多是顺带一提，尚未进入统一的检验框架。</w:t>
      </w:r>
    </w:p>
    <w:p w14:paraId="70D5A1EF">
      <w:pPr>
        <w:spacing w:before="160" w:after="80" w:line="240" w:lineRule="auto"/>
        <w:jc w:val="left"/>
      </w:pPr>
      <w:r>
        <w:rPr>
          <w:rFonts w:ascii="Times New Roman" w:hAnsi="Times New Roman" w:eastAsia="黑体"/>
          <w:b/>
          <w:sz w:val="21"/>
        </w:rPr>
        <w:t>2.2 企业环境绩效的测度与影响因素</w:t>
      </w:r>
    </w:p>
    <w:p w14:paraId="4DD97DD6">
      <w:pPr>
        <w:spacing w:before="0" w:after="0" w:line="240" w:lineRule="auto"/>
        <w:ind w:firstLine="420" w:firstLineChars="200"/>
        <w:jc w:val="both"/>
      </w:pPr>
      <w:r>
        <w:rPr>
          <w:rFonts w:ascii="Times New Roman" w:hAnsi="Times New Roman" w:eastAsia="宋体"/>
          <w:b w:val="0"/>
          <w:sz w:val="21"/>
        </w:rPr>
        <w:t xml:space="preserve">第二支文献处理的是被解释变量本身：环境绩效怎么测、受什么影响。测度上，单一污染物指标口径清晰、与监管数据对应，但只覆盖一种排放物，容易遗漏企业间的替代行为；综合指数便于跨企业比较，代价是维度选择与赋权方式难有共识，不同方案给出的排序未必一致。本文取后者，看中的是它能同时容纳绿色创新、信息披露与治理投入，但也必须对权重与维度单独检验。</w:t>
      </w:r>
    </w:p>
    <w:p w14:paraId="4DD97DD6">
      <w:pPr>
        <w:spacing w:before="0" w:after="0" w:line="240" w:lineRule="auto"/>
        <w:ind w:firstLine="420" w:firstLineChars="200"/>
        <w:jc w:val="both"/>
      </w:pPr>
      <w:r>
        <w:rPr>
          <w:rFonts w:ascii="Times New Roman" w:hAnsi="Times New Roman" w:eastAsia="宋体"/>
          <w:b w:val="0"/>
          <w:sz w:val="21"/>
        </w:rPr>
        <w:t xml:space="preserve">影响因素中，环境规制的研究最充分。Porter和van der Linde</w:t>
      </w:r>
      <w:r>
        <w:rPr>
          <w:rFonts w:ascii="Times New Roman" w:hAnsi="Times New Roman" w:eastAsia="宋体"/>
          <w:b w:val="0"/>
          <w:sz w:val="21"/>
          <w:vertAlign w:val="superscript"/>
        </w:rPr>
        <w:t xml:space="preserve">[12]</w:t>
      </w:r>
      <w:r>
        <w:rPr>
          <w:rFonts w:ascii="Times New Roman" w:hAnsi="Times New Roman" w:eastAsia="宋体"/>
          <w:b w:val="0"/>
          <w:sz w:val="21"/>
        </w:rPr>
        <w:t xml:space="preserve">提出“波特假说”，认为设计得当的规制可以诱发创新补偿，把规制从单纯的成本项变成潜在的收益项；争议在于补偿能否抵消合规成本，以及在什么条件下成立。Acemoglu等</w:t>
      </w:r>
      <w:r>
        <w:rPr>
          <w:rFonts w:ascii="Times New Roman" w:hAnsi="Times New Roman" w:eastAsia="宋体"/>
          <w:b w:val="0"/>
          <w:sz w:val="21"/>
          <w:vertAlign w:val="superscript"/>
        </w:rPr>
        <w:t xml:space="preserve">[13]</w:t>
      </w:r>
      <w:r>
        <w:rPr>
          <w:rFonts w:ascii="Times New Roman" w:hAnsi="Times New Roman" w:eastAsia="宋体"/>
          <w:b w:val="0"/>
          <w:sz w:val="21"/>
        </w:rPr>
        <w:t xml:space="preserve">从定向技术变迁切入，说明环境政策会改变研发方向，把静态的“规制—创新”关系推向动态；其模型对技术方向刻画精细，对微观企业的异质性着墨不多。</w:t>
      </w:r>
    </w:p>
    <w:p w14:paraId="4DD97DD6">
      <w:pPr>
        <w:spacing w:before="0" w:after="0" w:line="240" w:lineRule="auto"/>
        <w:ind w:firstLine="420" w:firstLineChars="200"/>
        <w:jc w:val="both"/>
      </w:pPr>
      <w:r>
        <w:rPr>
          <w:rFonts w:ascii="Times New Roman" w:hAnsi="Times New Roman" w:eastAsia="宋体"/>
          <w:b w:val="0"/>
          <w:sz w:val="21"/>
        </w:rPr>
        <w:t xml:space="preserve">与本文方法相关的另一条线索来自数字经济研究。Goldfarb和Tucker</w:t>
      </w:r>
      <w:r>
        <w:rPr>
          <w:rFonts w:ascii="Times New Roman" w:hAnsi="Times New Roman" w:eastAsia="宋体"/>
          <w:b w:val="0"/>
          <w:sz w:val="21"/>
          <w:vertAlign w:val="superscript"/>
        </w:rPr>
        <w:t xml:space="preserve">[14]</w:t>
      </w:r>
      <w:r>
        <w:rPr>
          <w:rFonts w:ascii="Times New Roman" w:hAnsi="Times New Roman" w:eastAsia="宋体"/>
          <w:b w:val="0"/>
          <w:sz w:val="21"/>
        </w:rPr>
        <w:t xml:space="preserve">把数字技术的成本优势归纳为复制、传输、追踪、验证与搜索五个方面，解释了数字技术为何能改变企业的信息结构；Brynjolfsson和McAfee</w:t>
      </w:r>
      <w:r>
        <w:rPr>
          <w:rFonts w:ascii="Times New Roman" w:hAnsi="Times New Roman" w:eastAsia="宋体"/>
          <w:b w:val="0"/>
          <w:sz w:val="21"/>
          <w:vertAlign w:val="superscript"/>
        </w:rPr>
        <w:t xml:space="preserve">[15]</w:t>
      </w:r>
      <w:r>
        <w:rPr>
          <w:rFonts w:ascii="Times New Roman" w:hAnsi="Times New Roman" w:eastAsia="宋体"/>
          <w:b w:val="0"/>
          <w:sz w:val="21"/>
        </w:rPr>
        <w:t xml:space="preserve">从生产组织角度指出，智能技术正在重组任务与岗位。两项研究为“数智技术如何进入企业流程”提供了理论铺垫，但没有回答这种进入会带来怎样的环境后果。</w:t>
      </w:r>
    </w:p>
    <w:p w14:paraId="33931236">
      <w:pPr>
        <w:spacing w:before="0" w:after="0" w:line="240" w:lineRule="auto"/>
        <w:ind w:firstLine="420" w:firstLineChars="200"/>
        <w:jc w:val="both"/>
      </w:pPr>
      <w:r>
        <w:rPr>
          <w:rFonts w:ascii="Times New Roman" w:hAnsi="Times New Roman" w:eastAsia="宋体"/>
          <w:b w:val="0"/>
          <w:sz w:val="21"/>
        </w:rPr>
        <w:t>对本文而言，这两条线索给出两点提示。一是环境绩效的合成口径会实质影响估计结果，维度异质性与赋权方式必须单独检验，只报一个综合指数并不够。二是碳信息披露在2020年后的口径跃升恰好落在样本期内，若不单独处理，综合指数的跨期可比性会被高估。</w:t>
      </w:r>
    </w:p>
    <w:p w14:paraId="202C8380">
      <w:pPr>
        <w:spacing w:before="160" w:after="80" w:line="240" w:lineRule="auto"/>
        <w:jc w:val="left"/>
      </w:pPr>
      <w:r>
        <w:rPr>
          <w:rFonts w:ascii="Times New Roman" w:hAnsi="Times New Roman" w:eastAsia="黑体"/>
          <w:b/>
          <w:sz w:val="21"/>
        </w:rPr>
        <w:t>2.3 数智技术的绿色效应及其传导机制</w:t>
      </w:r>
    </w:p>
    <w:p w14:paraId="58077A3A">
      <w:pPr>
        <w:spacing w:before="0" w:after="0" w:line="240" w:lineRule="auto"/>
        <w:ind w:firstLine="420" w:firstLineChars="200"/>
        <w:jc w:val="both"/>
      </w:pPr>
      <w:r>
        <w:rPr>
          <w:rFonts w:ascii="Times New Roman" w:hAnsi="Times New Roman" w:eastAsia="宋体"/>
          <w:b w:val="0"/>
          <w:sz w:val="21"/>
        </w:rPr>
        <w:t xml:space="preserve">第三支文献直接考察数智技术的绿色效应，其源头可追溯到环境规制与绿色创新的研究。齐绍洲等</w:t>
      </w:r>
      <w:r>
        <w:rPr>
          <w:rFonts w:ascii="Times New Roman" w:hAnsi="Times New Roman" w:eastAsia="宋体"/>
          <w:b w:val="0"/>
          <w:sz w:val="21"/>
          <w:vertAlign w:val="superscript"/>
        </w:rPr>
        <w:t xml:space="preserve">[16]</w:t>
      </w:r>
      <w:r>
        <w:rPr>
          <w:rFonts w:ascii="Times New Roman" w:hAnsi="Times New Roman" w:eastAsia="宋体"/>
          <w:b w:val="0"/>
          <w:sz w:val="21"/>
        </w:rPr>
        <w:t xml:space="preserve">利用排污权交易试点识别环境权益市场对绿色专利的激励，王馨和王营</w:t>
      </w:r>
      <w:r>
        <w:rPr>
          <w:rFonts w:ascii="Times New Roman" w:hAnsi="Times New Roman" w:eastAsia="宋体"/>
          <w:b w:val="0"/>
          <w:sz w:val="21"/>
          <w:vertAlign w:val="superscript"/>
        </w:rPr>
        <w:t xml:space="preserve">[17]</w:t>
      </w:r>
      <w:r>
        <w:rPr>
          <w:rFonts w:ascii="Times New Roman" w:hAnsi="Times New Roman" w:eastAsia="宋体"/>
          <w:b w:val="0"/>
          <w:sz w:val="21"/>
        </w:rPr>
        <w:t xml:space="preserve">则考察绿色信贷政策如何改变企业的绿色创新投入。两项研究把政策工具与绿色创新直接挂钩，为后续识别策略提供了模板，但解释变量都是政策，数字技术不在其列。</w:t>
      </w:r>
    </w:p>
    <w:p w14:paraId="12F42FD2">
      <w:pPr>
        <w:spacing w:before="0" w:after="0" w:line="240" w:lineRule="auto"/>
        <w:ind w:firstLine="420" w:firstLineChars="200"/>
        <w:jc w:val="both"/>
      </w:pPr>
      <w:r>
        <w:rPr>
          <w:rFonts w:ascii="Times New Roman" w:hAnsi="Times New Roman" w:eastAsia="宋体"/>
          <w:b w:val="0"/>
          <w:sz w:val="21"/>
        </w:rPr>
        <w:t xml:space="preserve">空间计量为识别跨主体影响提供了工具。Anselin</w:t>
      </w:r>
      <w:r>
        <w:rPr>
          <w:rFonts w:ascii="Times New Roman" w:hAnsi="Times New Roman" w:eastAsia="宋体"/>
          <w:b w:val="0"/>
          <w:sz w:val="21"/>
          <w:vertAlign w:val="superscript"/>
        </w:rPr>
        <w:t xml:space="preserve">[18]</w:t>
      </w:r>
      <w:r>
        <w:rPr>
          <w:rFonts w:ascii="Times New Roman" w:hAnsi="Times New Roman" w:eastAsia="宋体"/>
          <w:b w:val="0"/>
          <w:sz w:val="21"/>
        </w:rPr>
        <w:t xml:space="preserve">系统整理了空间权重、空间自相关与滞后模型的估计方法，LeSage和Pace</w:t>
      </w:r>
      <w:r>
        <w:rPr>
          <w:rFonts w:ascii="Times New Roman" w:hAnsi="Times New Roman" w:eastAsia="宋体"/>
          <w:b w:val="0"/>
          <w:sz w:val="21"/>
          <w:vertAlign w:val="superscript"/>
        </w:rPr>
        <w:t xml:space="preserve">[19]</w:t>
      </w:r>
      <w:r>
        <w:rPr>
          <w:rFonts w:ascii="Times New Roman" w:hAnsi="Times New Roman" w:eastAsia="宋体"/>
          <w:b w:val="0"/>
          <w:sz w:val="21"/>
        </w:rPr>
        <w:t xml:space="preserve">进一步把总效应分解为直接效应与间接效应，使“一家企业的变化如何影响邻居”可以被定量回答。这套方法在区域层面已相当成熟，难点在权重：行业、地理与技术距离各有道理，权重不同，结论可能相反。</w:t>
      </w:r>
    </w:p>
    <w:p w14:paraId="12F42FD2">
      <w:pPr>
        <w:spacing w:before="0" w:after="0" w:line="240" w:lineRule="auto"/>
        <w:ind w:firstLine="420" w:firstLineChars="200"/>
        <w:jc w:val="both"/>
      </w:pPr>
      <w:r>
        <w:rPr>
          <w:rFonts w:ascii="Times New Roman" w:hAnsi="Times New Roman" w:eastAsia="宋体"/>
          <w:b w:val="0"/>
          <w:sz w:val="21"/>
        </w:rPr>
        <w:t xml:space="preserve">镜头拉到企业层面，于连超和王雷</w:t>
      </w:r>
      <w:r>
        <w:rPr>
          <w:rFonts w:ascii="Times New Roman" w:hAnsi="Times New Roman" w:eastAsia="宋体"/>
          <w:b w:val="0"/>
          <w:sz w:val="21"/>
          <w:vertAlign w:val="superscript"/>
        </w:rPr>
        <w:t xml:space="preserve">[20]</w:t>
      </w:r>
      <w:r>
        <w:rPr>
          <w:rFonts w:ascii="Times New Roman" w:hAnsi="Times New Roman" w:eastAsia="宋体"/>
          <w:b w:val="0"/>
          <w:sz w:val="21"/>
        </w:rPr>
        <w:t xml:space="preserve">以重污染行业上市公司为样本，发现数字化转型有助于提升环境绩效，其样本划分与本文的重污染分组最接近，但该文只报综合指数，没有把维度拆开；刘善堂和白晓明</w:t>
      </w:r>
      <w:r>
        <w:rPr>
          <w:rFonts w:ascii="Times New Roman" w:hAnsi="Times New Roman" w:eastAsia="宋体"/>
          <w:b w:val="0"/>
          <w:sz w:val="21"/>
          <w:vertAlign w:val="superscript"/>
        </w:rPr>
        <w:t xml:space="preserve">[21]</w:t>
      </w:r>
      <w:r>
        <w:rPr>
          <w:rFonts w:ascii="Times New Roman" w:hAnsi="Times New Roman" w:eastAsia="宋体"/>
          <w:b w:val="0"/>
          <w:sz w:val="21"/>
        </w:rPr>
        <w:t xml:space="preserve">在制造业中观察到大数据应用的类似改善，把技术范围收窄到“大数据”，口径比泛数字化更清楚，不足是对传导渠道着墨不多。两项研究提供了“数字化—环境绩效”的初步证据，但都停留在直接效应，中介变量多为单一指标。</w:t>
      </w:r>
    </w:p>
    <w:p w14:paraId="12F42FD2">
      <w:pPr>
        <w:spacing w:before="0" w:after="0" w:line="240" w:lineRule="auto"/>
        <w:ind w:firstLine="420" w:firstLineChars="200"/>
        <w:jc w:val="both"/>
      </w:pPr>
      <w:r>
        <w:rPr>
          <w:rFonts w:ascii="Times New Roman" w:hAnsi="Times New Roman" w:eastAsia="宋体"/>
          <w:b w:val="0"/>
          <w:sz w:val="21"/>
        </w:rPr>
        <w:t xml:space="preserve">绿色创新是不是中间那座桥，近几年的研究开始正面处理。刘艳霞等</w:t>
      </w:r>
      <w:r>
        <w:rPr>
          <w:rFonts w:ascii="Times New Roman" w:hAnsi="Times New Roman" w:eastAsia="宋体"/>
          <w:b w:val="0"/>
          <w:sz w:val="21"/>
          <w:vertAlign w:val="superscript"/>
        </w:rPr>
        <w:t xml:space="preserve">[22]</w:t>
      </w:r>
      <w:r>
        <w:rPr>
          <w:rFonts w:ascii="Times New Roman" w:hAnsi="Times New Roman" w:eastAsia="宋体"/>
          <w:b w:val="0"/>
          <w:sz w:val="21"/>
        </w:rPr>
        <w:t xml:space="preserve">把数字化转型对绿色创新的影响拆成信息传递与资源获取两种效应，说明技术既缓解了信息不对称，也改善了创新要素的可得性；丁红乙和成琼文</w:t>
      </w:r>
      <w:r>
        <w:rPr>
          <w:rFonts w:ascii="Times New Roman" w:hAnsi="Times New Roman" w:eastAsia="宋体"/>
          <w:b w:val="0"/>
          <w:sz w:val="21"/>
          <w:vertAlign w:val="superscript"/>
        </w:rPr>
        <w:t xml:space="preserve">[23]</w:t>
      </w:r>
      <w:r>
        <w:rPr>
          <w:rFonts w:ascii="Times New Roman" w:hAnsi="Times New Roman" w:eastAsia="宋体"/>
          <w:b w:val="0"/>
          <w:sz w:val="21"/>
        </w:rPr>
        <w:t xml:space="preserve">把企业家精神纳入框架，发现数字化创新的作用在企业家精神较强的企业中更明显。两项研究已经逼近传导机制，但仍把绿色创新当作结果变量，没有放进“赋能—创新—绩效”的链条里做中介。</w:t>
      </w:r>
    </w:p>
    <w:p w14:paraId="12F42FD2">
      <w:pPr>
        <w:spacing w:before="0" w:after="0" w:line="240" w:lineRule="auto"/>
        <w:ind w:firstLine="420" w:firstLineChars="200"/>
        <w:jc w:val="both"/>
      </w:pPr>
      <w:r>
        <w:rPr>
          <w:rFonts w:ascii="Times New Roman" w:hAnsi="Times New Roman" w:eastAsia="宋体"/>
          <w:b w:val="0"/>
          <w:sz w:val="21"/>
        </w:rPr>
        <w:t xml:space="preserve">溢出这条线索起步较晚。杨膨宇等</w:t>
      </w:r>
      <w:r>
        <w:rPr>
          <w:rFonts w:ascii="Times New Roman" w:hAnsi="Times New Roman" w:eastAsia="宋体"/>
          <w:b w:val="0"/>
          <w:sz w:val="21"/>
          <w:vertAlign w:val="superscript"/>
        </w:rPr>
        <w:t xml:space="preserve">[24]</w:t>
      </w:r>
      <w:r>
        <w:rPr>
          <w:rFonts w:ascii="Times New Roman" w:hAnsi="Times New Roman" w:eastAsia="宋体"/>
          <w:b w:val="0"/>
          <w:sz w:val="21"/>
        </w:rPr>
        <w:t xml:space="preserve">发现数字化转型的碳减排效应会扩散到区域、产业链与同群企业，提出“带动效应”一说，把溢出从区域层面推进到企业层面；问题在于识别依赖同群均值，难以排除共同冲击，也无法区分这是技术扩散，还是同区企业面对相同的政策与价格信号。</w:t>
      </w:r>
    </w:p>
    <w:p w14:paraId="12F42FD2">
      <w:pPr>
        <w:spacing w:before="0" w:after="0" w:line="240" w:lineRule="auto"/>
        <w:ind w:firstLine="420" w:firstLineChars="200"/>
        <w:jc w:val="both"/>
      </w:pPr>
      <w:r>
        <w:rPr>
          <w:rFonts w:ascii="Times New Roman" w:hAnsi="Times New Roman" w:eastAsia="宋体"/>
          <w:b w:val="0"/>
          <w:sz w:val="21"/>
        </w:rPr>
        <w:t xml:space="preserve">制度环境的研究相对成熟。刘金科和肖翊阳</w:t>
      </w:r>
      <w:r>
        <w:rPr>
          <w:rFonts w:ascii="Times New Roman" w:hAnsi="Times New Roman" w:eastAsia="宋体"/>
          <w:b w:val="0"/>
          <w:sz w:val="21"/>
          <w:vertAlign w:val="superscript"/>
        </w:rPr>
        <w:t xml:space="preserve">[25]</w:t>
      </w:r>
      <w:r>
        <w:rPr>
          <w:rFonts w:ascii="Times New Roman" w:hAnsi="Times New Roman" w:eastAsia="宋体"/>
          <w:b w:val="0"/>
          <w:sz w:val="21"/>
        </w:rPr>
        <w:t xml:space="preserve">发现环境保护税对绿色创新同时存在杠杆与挤出两种力量，结论的复杂性提醒人们政策效果并非单向。郭俊杰等</w:t>
      </w:r>
      <w:r>
        <w:rPr>
          <w:rFonts w:ascii="Times New Roman" w:hAnsi="Times New Roman" w:eastAsia="宋体"/>
          <w:b w:val="0"/>
          <w:sz w:val="21"/>
          <w:vertAlign w:val="superscript"/>
        </w:rPr>
        <w:t xml:space="preserve">[26]</w:t>
      </w:r>
      <w:r>
        <w:rPr>
          <w:rFonts w:ascii="Times New Roman" w:hAnsi="Times New Roman" w:eastAsia="宋体"/>
          <w:b w:val="0"/>
          <w:sz w:val="21"/>
        </w:rPr>
        <w:t xml:space="preserve">从绿色信贷出发，强调规制中的短期失败容忍对绿色创新的意义，把“容错”这一制度细节引入分析，是本文没有条件处理的变量；张琦等</w:t>
      </w:r>
      <w:r>
        <w:rPr>
          <w:rFonts w:ascii="Times New Roman" w:hAnsi="Times New Roman" w:eastAsia="宋体"/>
          <w:b w:val="0"/>
          <w:sz w:val="21"/>
          <w:vertAlign w:val="superscript"/>
        </w:rPr>
        <w:t xml:space="preserve">[27]</w:t>
      </w:r>
      <w:r>
        <w:rPr>
          <w:rFonts w:ascii="Times New Roman" w:hAnsi="Times New Roman" w:eastAsia="宋体"/>
          <w:b w:val="0"/>
          <w:sz w:val="21"/>
        </w:rPr>
        <w:t xml:space="preserve">以《环境空气质量标准（2012）》为准自然实验，识别出地区环境治理压力对企业环保投资的影响，其识别策略干净，但环保投资与创新产出毕竟是两类结果；王锋和葛星</w:t>
      </w:r>
      <w:r>
        <w:rPr>
          <w:rFonts w:ascii="Times New Roman" w:hAnsi="Times New Roman" w:eastAsia="宋体"/>
          <w:b w:val="0"/>
          <w:sz w:val="21"/>
          <w:vertAlign w:val="superscript"/>
        </w:rPr>
        <w:t xml:space="preserve">[28]</w:t>
      </w:r>
      <w:r>
        <w:rPr>
          <w:rFonts w:ascii="Times New Roman" w:hAnsi="Times New Roman" w:eastAsia="宋体"/>
          <w:b w:val="0"/>
          <w:sz w:val="21"/>
        </w:rPr>
        <w:t xml:space="preserve">则考察低碳城市试点对就业的冲击，提示环境政策存在非环境代价。这些研究把政策变量刻画得很细，共同局限是数字技术通常只作背景，没有进入识别框架。</w:t>
      </w:r>
    </w:p>
    <w:p w14:paraId="0E7BAB0B">
      <w:pPr>
        <w:spacing w:before="0" w:after="0" w:line="240" w:lineRule="auto"/>
        <w:ind w:firstLine="420" w:firstLineChars="200"/>
        <w:jc w:val="both"/>
      </w:pPr>
      <w:r>
        <w:rPr>
          <w:rFonts w:ascii="Times New Roman" w:hAnsi="Times New Roman" w:eastAsia="宋体"/>
          <w:b w:val="0"/>
          <w:sz w:val="21"/>
        </w:rPr>
        <w:t>这一支文献与本文最接近，留下的问题也最具体。多数研究把绿色创新当作解释变量或控制变量，真正把它放进“赋能—创新—绩效”链条做中介检验的不多，Sobel或Bootstrap这类必要的检验常被省略。绿色创新的度量也偏窄，多用申请量一个口径，申请与授权、数量与质量之间的差别没有区分。至于空间溢出，权重多取行业或地域均值，结论往往被直接外推为“存在”或“不存在”溢出，对权重设定的敏感性讨论不足。</w:t>
      </w:r>
    </w:p>
    <w:p w14:paraId="2A7775AD">
      <w:pPr>
        <w:spacing w:before="160" w:after="80" w:line="240" w:lineRule="auto"/>
        <w:jc w:val="left"/>
      </w:pPr>
      <w:r>
        <w:rPr>
          <w:rFonts w:ascii="Times New Roman" w:hAnsi="Times New Roman" w:eastAsia="黑体"/>
          <w:b/>
          <w:sz w:val="21"/>
        </w:rPr>
        <w:t>2.4 研究述评与本文的切入点</w:t>
      </w:r>
    </w:p>
    <w:p w14:paraId="264644B9">
      <w:pPr>
        <w:spacing w:before="0" w:after="0" w:line="240" w:lineRule="auto"/>
        <w:ind w:firstLine="420" w:firstLineChars="200"/>
        <w:jc w:val="both"/>
      </w:pPr>
      <w:r>
        <w:rPr>
          <w:rFonts w:ascii="Times New Roman" w:hAnsi="Times New Roman" w:eastAsia="宋体"/>
          <w:b w:val="0"/>
          <w:sz w:val="21"/>
        </w:rPr>
        <w:t>把三支文献放在一起看，尚未回答的问题集中在三处。第一，数智技术的测度停在文本提及层面，纸面数字化与真实部署混在一起，指标能否反映技术特异性缺少检验。第二，环境绩效的合成口径差异被低估，维度异质性与碳披露的口径跃升少有人处理，综合指数不显著时容易被误读为“没有环境效应”。第三，传导渠道的检验不够严格，绿色技术创新之外的管理效率、资源配置路径鲜有对照，空间溢出的权重设定也偏单一。</w:t>
      </w:r>
    </w:p>
    <w:p w14:paraId="12401F55">
      <w:pPr>
        <w:spacing w:before="0" w:after="0" w:line="240" w:lineRule="auto"/>
        <w:ind w:firstLine="420" w:firstLineChars="200"/>
        <w:jc w:val="both"/>
      </w:pPr>
      <w:r>
        <w:rPr>
          <w:rFonts w:ascii="Times New Roman" w:hAnsi="Times New Roman" w:eastAsia="宋体"/>
          <w:b w:val="0"/>
          <w:sz w:val="21"/>
        </w:rPr>
        <w:t>本文的推进正对着这三点。测度上，除综合指数外另构造仅含AI与智能计算术语的专属强度指标，直接检验技术特异性；口径上，把环境绩效拆成三个维度平行检验，并对碳披露的2020年断点单独处理；机制上，在同一框架内同时检验绿色技术创新、管理效率与资源配置三条路径，并用行业、省份两组权重考察跨企业影响。数据方面，样本覆盖2007—2024年1286家上市公司，文本、专利、财务与地区政策四类数据按企业—年度匹配。</w:t>
      </w:r>
    </w:p>
    <w:p w14:paraId="026C9E9A">
      <w:pPr>
        <w:spacing w:before="0" w:after="0" w:line="240" w:lineRule="auto"/>
        <w:ind w:firstLine="420" w:firstLineChars="200"/>
        <w:jc w:val="both"/>
      </w:pPr>
      <w:r>
        <w:rPr>
          <w:rFonts w:ascii="Times New Roman" w:hAnsi="Times New Roman" w:eastAsia="宋体"/>
          <w:b w:val="0"/>
          <w:sz w:val="21"/>
        </w:rPr>
        <w:t>需要说明的是，本文并不试图给出“数智化必然改善环境”的一般结论。它能回答的是：在可观测的指标与样本期内，环境红利经由哪条渠道释放、在哪些情形下更强。下文先界定概念与理论基础，再据此提出可检验的假设。</w:t>
      </w:r>
    </w:p>
    <w:p w14:paraId="6C064CBD">
      <w:pPr>
        <w:spacing w:before="240" w:after="120" w:line="240" w:lineRule="auto"/>
        <w:jc w:val="left"/>
      </w:pPr>
      <w:r>
        <w:rPr>
          <w:rFonts w:ascii="Times New Roman" w:hAnsi="Times New Roman" w:eastAsia="黑体"/>
          <w:b/>
          <w:sz w:val="24"/>
        </w:rPr>
        <w:t>3 理论分析与研究假设</w:t>
      </w:r>
    </w:p>
    <w:p w14:paraId="490D8262">
      <w:pPr>
        <w:spacing w:before="160" w:after="80" w:line="240" w:lineRule="auto"/>
        <w:jc w:val="left"/>
      </w:pPr>
      <w:r>
        <w:rPr>
          <w:rFonts w:ascii="Times New Roman" w:hAnsi="Times New Roman" w:eastAsia="黑体"/>
          <w:b/>
          <w:sz w:val="21"/>
        </w:rPr>
        <w:t>3.1 核心概念界定与理论基础</w:t>
      </w:r>
    </w:p>
    <w:p w14:paraId="233C25DC">
      <w:pPr>
        <w:spacing w:before="0" w:after="0" w:line="240" w:lineRule="auto"/>
        <w:ind w:firstLine="420" w:firstLineChars="200"/>
        <w:jc w:val="both"/>
      </w:pPr>
      <w:r>
        <w:rPr>
          <w:rFonts w:ascii="Times New Roman" w:hAnsi="Times New Roman" w:eastAsia="宋体"/>
          <w:b w:val="0"/>
          <w:sz w:val="21"/>
        </w:rPr>
        <w:t>把数智技术赋能理解为新一代数字智能技术向企业各环节的渗透。这些技术以人工智能、大数据、云计算为代表，进入生产、管理、研发与污染治理流程后，依靠实时采集、智能分析与动态调度改变流程，进而创造价值。它与传统信息化改造不是一回事：信息化重在把纸面流程搬到线上，数智技术的着力点落在跨场景协同，决策依据由经验转为数据。</w:t>
      </w:r>
    </w:p>
    <w:p w14:paraId="507710B4">
      <w:pPr>
        <w:spacing w:before="0" w:after="0" w:line="240" w:lineRule="auto"/>
        <w:ind w:firstLine="420" w:firstLineChars="200"/>
        <w:jc w:val="both"/>
      </w:pPr>
      <w:r>
        <w:rPr>
          <w:rFonts w:ascii="Times New Roman" w:hAnsi="Times New Roman" w:eastAsia="宋体"/>
          <w:b w:val="0"/>
          <w:sz w:val="21"/>
        </w:rPr>
        <w:t>理论基础可从三个方向展开。利益相关者理论</w:t>
      </w:r>
      <w:r>
        <w:rPr>
          <w:rFonts w:ascii="Times New Roman" w:hAnsi="Times New Roman" w:eastAsia="宋体"/>
          <w:b w:val="0"/>
          <w:sz w:val="21"/>
          <w:vertAlign w:val="superscript"/>
        </w:rPr>
        <w:t>[29]</w:t>
      </w:r>
      <w:r>
        <w:rPr>
          <w:rFonts w:ascii="Times New Roman" w:hAnsi="Times New Roman" w:eastAsia="宋体"/>
          <w:b w:val="0"/>
          <w:sz w:val="21"/>
        </w:rPr>
        <w:t>认为，企业通过数智化信息披露系统能更高效地回应政府环保规制、公众绿色诉求和投资者对环境、社会与治理（ESG）的偏好，把外部压力转为内部治理动力。资源基础理论</w:t>
      </w:r>
      <w:r>
        <w:rPr>
          <w:rFonts w:ascii="Times New Roman" w:hAnsi="Times New Roman" w:eastAsia="宋体"/>
          <w:b w:val="0"/>
          <w:sz w:val="21"/>
          <w:vertAlign w:val="superscript"/>
        </w:rPr>
        <w:t>[30]</w:t>
      </w:r>
      <w:r>
        <w:rPr>
          <w:rFonts w:ascii="Times New Roman" w:hAnsi="Times New Roman" w:eastAsia="宋体"/>
          <w:b w:val="0"/>
          <w:sz w:val="21"/>
        </w:rPr>
        <w:t>把数智技术应用能力视为难以模仿的异质性资源，认为它能支撑绿色转型。信号传递理论</w:t>
      </w:r>
      <w:r>
        <w:rPr>
          <w:rFonts w:ascii="Times New Roman" w:hAnsi="Times New Roman" w:eastAsia="宋体"/>
          <w:b w:val="0"/>
          <w:sz w:val="21"/>
          <w:vertAlign w:val="superscript"/>
        </w:rPr>
        <w:t>[31]</w:t>
      </w:r>
      <w:r>
        <w:rPr>
          <w:rFonts w:ascii="Times New Roman" w:hAnsi="Times New Roman" w:eastAsia="宋体"/>
          <w:b w:val="0"/>
          <w:sz w:val="21"/>
        </w:rPr>
        <w:t>则说明，数智化绿色转型本身能向资本市场传递积极信号。</w:t>
      </w:r>
    </w:p>
    <w:p w14:paraId="666E8B1D">
      <w:pPr>
        <w:spacing w:before="160" w:after="80" w:line="240" w:lineRule="auto"/>
        <w:jc w:val="left"/>
      </w:pPr>
      <w:r>
        <w:rPr>
          <w:rFonts w:ascii="Times New Roman" w:hAnsi="Times New Roman" w:eastAsia="黑体"/>
          <w:b/>
          <w:sz w:val="21"/>
        </w:rPr>
        <w:t>3.2 研究假设</w:t>
      </w:r>
    </w:p>
    <w:p w14:paraId="5268F9F9">
      <w:pPr>
        <w:spacing w:before="0" w:after="0" w:line="240" w:lineRule="auto"/>
        <w:ind w:firstLine="420" w:firstLineChars="200"/>
        <w:jc w:val="both"/>
      </w:pPr>
      <w:r>
        <w:rPr>
          <w:rFonts w:ascii="Times New Roman" w:hAnsi="Times New Roman" w:eastAsia="宋体"/>
          <w:b w:val="0"/>
          <w:sz w:val="21"/>
        </w:rPr>
        <w:t>绿色研发成本高、周期长，数智技术恰好在这两点上省钱省时。数字孪生与智能仿真把工艺参数迭代搬进虚拟环境，研发周期因此明显压缩。流程透明化与数据可追溯性又让企业看得清哪些环节能耗高、排放多，改进也就有了靶子。由此提出：</w:t>
      </w:r>
    </w:p>
    <w:p w14:paraId="270E1D9B">
      <w:pPr>
        <w:spacing w:before="0" w:after="0" w:line="240" w:lineRule="auto"/>
        <w:ind w:firstLine="420" w:firstLineChars="200"/>
        <w:jc w:val="both"/>
      </w:pPr>
      <w:r>
        <w:rPr>
          <w:rFonts w:ascii="Times New Roman" w:hAnsi="Times New Roman" w:eastAsia="宋体"/>
          <w:b w:val="0"/>
          <w:sz w:val="21"/>
        </w:rPr>
        <w:t>绿色技术涉及材料、工艺与排放的多学科交叉，传统研发要靠大量文献检索与试验筛选来试错。基于大数据的智能检索与知识图谱能把可行路线快速筛出来，研发周期随之缩短。资源这一端同样如此，全域数据调度让企业实时掌握研发人员、资金与设备的占用状况，有限资源便可以集中到成功概率高的绿色技术方向。再往深处看，数字孪生与智能仿真可在虚拟环境中反复调试工艺参数，实地试验的次数与成本都降了下来。</w:t>
      </w:r>
    </w:p>
    <w:p w14:paraId="40A57180">
      <w:pPr>
        <w:spacing w:before="0" w:after="0" w:line="240" w:lineRule="auto"/>
        <w:ind w:firstLine="420" w:firstLineChars="200"/>
        <w:jc w:val="both"/>
      </w:pPr>
      <w:r>
        <w:rPr>
          <w:rFonts w:ascii="Times New Roman" w:hAnsi="Times New Roman" w:eastAsia="黑体"/>
          <w:b w:val="0"/>
          <w:sz w:val="21"/>
        </w:rPr>
        <w:t>H1：数智技术赋能显著促进企业绿色技术创新。</w:t>
      </w:r>
    </w:p>
    <w:p w14:paraId="072746B9">
      <w:pPr>
        <w:spacing w:before="0" w:after="0" w:line="240" w:lineRule="auto"/>
        <w:ind w:firstLine="420" w:firstLineChars="200"/>
        <w:jc w:val="both"/>
      </w:pPr>
      <w:r>
        <w:rPr>
          <w:rFonts w:ascii="Times New Roman" w:hAnsi="Times New Roman" w:eastAsia="黑体"/>
          <w:b w:val="0"/>
          <w:sz w:val="21"/>
        </w:rPr>
        <w:t>H2：数智技术赋能通过绿色技术创新改善企业环境绩效，直接效应有限。</w:t>
      </w:r>
    </w:p>
    <w:p w14:paraId="324B2110">
      <w:pPr>
        <w:spacing w:before="0" w:after="0" w:line="240" w:lineRule="auto"/>
        <w:ind w:firstLine="420" w:firstLineChars="200"/>
        <w:jc w:val="both"/>
      </w:pPr>
      <w:r>
        <w:rPr>
          <w:rFonts w:ascii="Times New Roman" w:hAnsi="Times New Roman" w:eastAsia="宋体"/>
          <w:b w:val="0"/>
          <w:sz w:val="21"/>
        </w:rPr>
        <w:t>管理效率机制方面，数智技术赋能通过优化组织流程、减少管理冗余提升管理效率，进而降低能耗与排放。但受内控质量代理指标可得性与测度精度限制，该渠道的作用强度有待检验。由此提出：</w:t>
      </w:r>
    </w:p>
    <w:p w14:paraId="4A4F4844">
      <w:pPr>
        <w:spacing w:before="0" w:after="0" w:line="240" w:lineRule="auto"/>
        <w:ind w:firstLine="420" w:firstLineChars="200"/>
        <w:jc w:val="both"/>
      </w:pPr>
      <w:r>
        <w:rPr>
          <w:rFonts w:ascii="Times New Roman" w:hAnsi="Times New Roman" w:eastAsia="黑体"/>
          <w:b w:val="0"/>
          <w:sz w:val="21"/>
        </w:rPr>
        <w:t>H3：数智技术赋能通过提升管理效率改善企业环境绩效。</w:t>
      </w:r>
    </w:p>
    <w:p w14:paraId="71552CB1">
      <w:pPr>
        <w:spacing w:before="0" w:after="0" w:line="240" w:lineRule="auto"/>
        <w:ind w:firstLine="420" w:firstLineChars="200"/>
        <w:jc w:val="both"/>
      </w:pPr>
      <w:r>
        <w:rPr>
          <w:rFonts w:ascii="Times New Roman" w:hAnsi="Times New Roman" w:eastAsia="宋体"/>
          <w:b w:val="0"/>
          <w:sz w:val="21"/>
        </w:rPr>
        <w:t>资源配置机制方面，数智技术赋能通过全域数据智能调度优化资本、劳动、能源等要素配置，减少资源错配。本文以绿色并购作为资源配置优化的代理变量，受样本期（2012—2024年）限制，预期其作用相对有限。由此提出：</w:t>
      </w:r>
    </w:p>
    <w:p w14:paraId="47ED0DD4">
      <w:pPr>
        <w:spacing w:before="0" w:after="0" w:line="240" w:lineRule="auto"/>
        <w:ind w:firstLine="420" w:firstLineChars="200"/>
        <w:jc w:val="both"/>
      </w:pPr>
      <w:r>
        <w:rPr>
          <w:rFonts w:ascii="Times New Roman" w:hAnsi="Times New Roman" w:eastAsia="黑体"/>
          <w:b w:val="0"/>
          <w:sz w:val="21"/>
        </w:rPr>
        <w:t>H4：数智技术赋能通过优化资源配置改善企业环境绩效。</w:t>
      </w:r>
    </w:p>
    <w:p w14:paraId="7AF3D85D">
      <w:pPr>
        <w:spacing w:before="0" w:after="0" w:line="240" w:lineRule="auto"/>
        <w:ind w:firstLine="420" w:firstLineChars="200"/>
        <w:jc w:val="both"/>
      </w:pPr>
      <w:r>
        <w:rPr>
          <w:rFonts w:ascii="Times New Roman" w:hAnsi="Times New Roman" w:eastAsia="宋体"/>
          <w:b w:val="0"/>
          <w:sz w:val="21"/>
        </w:rPr>
        <w:t>空间溢出机制方面，数智技术赋能可能通过行业技术示范与区域资源共享带动同行业、同区域企业绿色转型。但该效应依赖于权重矩阵设定与识别条件，其显著性有待检验。由此提出探索性假设：</w:t>
      </w:r>
    </w:p>
    <w:p w14:paraId="641A0ED5">
      <w:pPr>
        <w:spacing w:before="0" w:after="0" w:line="240" w:lineRule="auto"/>
        <w:ind w:firstLine="420" w:firstLineChars="200"/>
        <w:jc w:val="both"/>
      </w:pPr>
      <w:r>
        <w:rPr>
          <w:rFonts w:ascii="Times New Roman" w:hAnsi="Times New Roman" w:eastAsia="黑体"/>
          <w:b w:val="0"/>
          <w:sz w:val="21"/>
        </w:rPr>
        <w:t>H5：数智技术赋能对企业环境绩效的影响可能存在正向空间溢出。</w:t>
      </w:r>
    </w:p>
    <w:p w14:paraId="4645D8B7">
      <w:pPr>
        <w:spacing w:before="0" w:after="0" w:line="240" w:lineRule="auto"/>
        <w:ind w:firstLine="420" w:firstLineChars="200"/>
        <w:jc w:val="both"/>
      </w:pPr>
      <w:r>
        <w:rPr>
          <w:rFonts w:ascii="Times New Roman" w:hAnsi="Times New Roman" w:eastAsia="宋体"/>
          <w:b w:val="0"/>
          <w:sz w:val="21"/>
        </w:rPr>
        <w:t>本文的传导与溢出机制如图1所示。</w:t>
      </w:r>
    </w:p>
    <w:p w14:paraId="47B303BC">
      <w:pPr>
        <w:spacing w:before="120" w:after="40"/>
        <w:jc w:val="center"/>
      </w:pPr>
      <w:r>
        <w:drawing>
          <wp:inline distT="0" distB="0" distL="114300" distR="114300">
            <wp:extent cx="4859655" cy="2738755"/>
            <wp:effectExtent l="0" t="0" r="171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60000" cy="2738954"/>
                    </a:xfrm>
                    <a:prstGeom prst="rect">
                      <a:avLst/>
                    </a:prstGeom>
                  </pic:spPr>
                </pic:pic>
              </a:graphicData>
            </a:graphic>
          </wp:inline>
        </w:drawing>
      </w:r>
    </w:p>
    <w:p w14:paraId="1941FF80">
      <w:pPr>
        <w:spacing w:before="120" w:after="20" w:line="240" w:lineRule="auto"/>
        <w:jc w:val="center"/>
      </w:pPr>
      <w:r>
        <w:rPr>
          <w:rFonts w:ascii="Times New Roman" w:hAnsi="Times New Roman" w:eastAsia="黑体"/>
          <w:b w:val="0"/>
          <w:sz w:val="18"/>
        </w:rPr>
        <w:t>图1 数智技术赋能影响企业环境绩效的传导与溢出机制</w:t>
      </w:r>
    </w:p>
    <w:p w14:paraId="390758FE">
      <w:pPr>
        <w:spacing w:before="0" w:after="60" w:line="240" w:lineRule="auto"/>
        <w:jc w:val="center"/>
      </w:pPr>
      <w:r>
        <w:rPr>
          <w:rFonts w:ascii="Times New Roman" w:hAnsi="Times New Roman" w:eastAsia="宋体"/>
          <w:b w:val="0"/>
          <w:sz w:val="16"/>
        </w:rPr>
        <w:t>Fig.1 Transmission and spillover mechanism of digital-intelligent technology empowerment on environmental performance</w:t>
      </w:r>
    </w:p>
    <w:p w14:paraId="5F5C0189">
      <w:pPr>
        <w:spacing w:before="0" w:after="0" w:line="240" w:lineRule="auto"/>
        <w:ind w:firstLine="420" w:firstLineChars="200"/>
        <w:jc w:val="both"/>
      </w:pPr>
      <w:r>
        <w:rPr>
          <w:rFonts w:ascii="Times New Roman" w:hAnsi="Times New Roman" w:eastAsia="宋体"/>
          <w:b w:val="0"/>
          <w:sz w:val="21"/>
        </w:rPr>
        <w:t>上述假设的检验依赖于可观测的指标与恰当的计量设定。本节依次说明样本与数据来源、模型的设定形式，以及核心概念的操作化方案与可复现性保障。</w:t>
      </w:r>
    </w:p>
    <w:p w14:paraId="5BFBECE8">
      <w:pPr>
        <w:spacing w:before="240" w:after="120" w:line="240" w:lineRule="auto"/>
        <w:jc w:val="left"/>
      </w:pPr>
      <w:r>
        <w:rPr>
          <w:rFonts w:ascii="Times New Roman" w:hAnsi="Times New Roman" w:eastAsia="黑体"/>
          <w:b/>
          <w:sz w:val="24"/>
        </w:rPr>
        <w:t>4 研究设计</w:t>
      </w:r>
    </w:p>
    <w:p w14:paraId="120235C6">
      <w:pPr>
        <w:spacing w:before="160" w:after="80" w:line="240" w:lineRule="auto"/>
        <w:jc w:val="left"/>
      </w:pPr>
      <w:r>
        <w:rPr>
          <w:rFonts w:ascii="Times New Roman" w:hAnsi="Times New Roman" w:eastAsia="黑体"/>
          <w:b/>
          <w:sz w:val="21"/>
        </w:rPr>
        <w:t>4.1 样本选择与数据来源</w:t>
      </w:r>
    </w:p>
    <w:p w14:paraId="690268DC">
      <w:pPr>
        <w:spacing w:before="0" w:after="0" w:line="240" w:lineRule="auto"/>
        <w:ind w:firstLine="420" w:firstLineChars="200"/>
        <w:jc w:val="both"/>
      </w:pPr>
      <w:r>
        <w:rPr>
          <w:rFonts w:ascii="Times New Roman" w:hAnsi="Times New Roman" w:eastAsia="宋体"/>
          <w:b w:val="0"/>
          <w:sz w:val="21"/>
        </w:rPr>
        <w:t>研究样本为2007—2024年沪深A股上市公司。核心变量在这一区间基本可得，两处例外需要说明：数据要素开发利用指数2013年才有，2024年绿色专利申请数据则受公开时滞影响而不完整。选取这一区间自有考虑。它覆盖了我国数字技术从信息化普及、移动互联网到大数据与人工智能深化应用的完整演进，其间又叠加“十一五”减排约束、“十三五”污染防治攻坚，以及2020年“双碳”目标提出后的低碳转型深化。</w:t>
      </w:r>
    </w:p>
    <w:p w14:paraId="75518385">
      <w:pPr>
        <w:spacing w:before="0" w:after="0" w:line="240" w:lineRule="auto"/>
        <w:ind w:firstLine="420" w:firstLineChars="200"/>
        <w:jc w:val="both"/>
      </w:pPr>
      <w:r>
        <w:rPr>
          <w:rFonts w:ascii="Times New Roman" w:hAnsi="Times New Roman" w:eastAsia="宋体"/>
          <w:b w:val="0"/>
          <w:sz w:val="21"/>
        </w:rPr>
        <w:t>样本筛选按以下顺序推进。先剔除ST、*ST等经营状态异常的企业，再去掉金融类上市公司（行业代码J开头），随后删除核心变量存在缺失的观测，最后按企业代码—年份维度完成多源数据匹配。经过这几步，得到包含1286家企业、11571个观测值的非平衡面板，覆盖31个省级地区。为降低极端值干扰，所有连续变量均在1%和99%分位做双侧缩尾。</w:t>
      </w:r>
    </w:p>
    <w:p w14:paraId="2D8A0061">
      <w:pPr>
        <w:spacing w:before="0" w:after="0" w:line="240" w:lineRule="auto"/>
        <w:ind w:firstLine="420" w:firstLineChars="200"/>
        <w:jc w:val="both"/>
      </w:pPr>
      <w:r>
        <w:rPr>
          <w:rFonts w:ascii="Times New Roman" w:hAnsi="Times New Roman" w:eastAsia="宋体"/>
          <w:b w:val="0"/>
          <w:sz w:val="21"/>
        </w:rPr>
        <w:t>本文的样本筛选流程如表1所示，各步骤的筛选标准与处理后样本规模如下。</w:t>
      </w:r>
    </w:p>
    <w:p w14:paraId="14C60D36">
      <w:pPr>
        <w:spacing w:before="120" w:after="20" w:line="240" w:lineRule="auto"/>
        <w:jc w:val="center"/>
      </w:pPr>
      <w:r>
        <w:rPr>
          <w:rFonts w:ascii="Times New Roman" w:hAnsi="Times New Roman" w:eastAsia="黑体"/>
          <w:b w:val="0"/>
          <w:sz w:val="18"/>
        </w:rPr>
        <w:t>表1 样本筛选流程</w:t>
      </w:r>
    </w:p>
    <w:p w14:paraId="14282BDF">
      <w:pPr>
        <w:spacing w:before="0" w:after="60" w:line="240" w:lineRule="auto"/>
        <w:jc w:val="center"/>
      </w:pPr>
      <w:r>
        <w:rPr>
          <w:rFonts w:ascii="Times New Roman" w:hAnsi="Times New Roman" w:eastAsia="宋体"/>
          <w:b w:val="0"/>
          <w:sz w:val="16"/>
        </w:rPr>
        <w:t>Table 1 Sample screening process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965"/>
        <w:gridCol w:w="2965"/>
        <w:gridCol w:w="3708"/>
      </w:tblGrid>
      <w:tr w14:paraId="528FD6A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965" w:type="dxa"/>
            <w:tcBorders>
              <w:bottom w:val="single" w:color="auto" w:sz="8" w:space="0"/>
            </w:tcBorders>
          </w:tcPr>
          <w:p w14:paraId="6776B1C1">
            <w:pPr>
              <w:spacing w:before="0" w:after="0" w:line="240" w:lineRule="auto"/>
              <w:jc w:val="center"/>
            </w:pPr>
            <w:r>
              <w:rPr>
                <w:rFonts w:ascii="Times New Roman" w:hAnsi="Times New Roman" w:eastAsia="宋体"/>
                <w:b/>
                <w:sz w:val="15"/>
              </w:rPr>
              <w:t>筛选步骤</w:t>
            </w:r>
          </w:p>
        </w:tc>
        <w:tc>
          <w:tcPr>
            <w:tcW w:w="2965" w:type="dxa"/>
            <w:tcBorders>
              <w:bottom w:val="single" w:color="auto" w:sz="8" w:space="0"/>
            </w:tcBorders>
          </w:tcPr>
          <w:p w14:paraId="19640FAB">
            <w:pPr>
              <w:spacing w:before="0" w:after="0" w:line="240" w:lineRule="auto"/>
              <w:jc w:val="center"/>
            </w:pPr>
            <w:r>
              <w:rPr>
                <w:rFonts w:ascii="Times New Roman" w:hAnsi="Times New Roman" w:eastAsia="宋体"/>
                <w:b/>
                <w:sz w:val="15"/>
              </w:rPr>
              <w:t>筛选标准</w:t>
            </w:r>
          </w:p>
        </w:tc>
        <w:tc>
          <w:tcPr>
            <w:tcW w:w="3708" w:type="dxa"/>
            <w:tcBorders>
              <w:bottom w:val="single" w:color="auto" w:sz="8" w:space="0"/>
            </w:tcBorders>
          </w:tcPr>
          <w:p w14:paraId="40D448A1">
            <w:pPr>
              <w:spacing w:before="0" w:after="0" w:line="240" w:lineRule="auto"/>
              <w:jc w:val="center"/>
            </w:pPr>
            <w:r>
              <w:rPr>
                <w:rFonts w:ascii="Times New Roman" w:hAnsi="Times New Roman" w:eastAsia="宋体"/>
                <w:b/>
                <w:sz w:val="15"/>
              </w:rPr>
              <w:t>处理后样本</w:t>
            </w:r>
          </w:p>
        </w:tc>
      </w:tr>
      <w:tr w14:paraId="5804564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965" w:type="dxa"/>
          </w:tcPr>
          <w:p w14:paraId="7942A5C3">
            <w:pPr>
              <w:spacing w:before="0" w:after="0" w:line="240" w:lineRule="auto"/>
              <w:jc w:val="center"/>
            </w:pPr>
            <w:r>
              <w:rPr>
                <w:rFonts w:ascii="Times New Roman" w:hAnsi="Times New Roman" w:eastAsia="宋体"/>
                <w:b w:val="0"/>
                <w:sz w:val="15"/>
              </w:rPr>
              <w:t>① 初始样本</w:t>
            </w:r>
          </w:p>
        </w:tc>
        <w:tc>
          <w:tcPr>
            <w:tcW w:w="2965" w:type="dxa"/>
          </w:tcPr>
          <w:p w14:paraId="467B9CB5">
            <w:pPr>
              <w:spacing w:before="0" w:after="0" w:line="240" w:lineRule="auto"/>
              <w:jc w:val="center"/>
            </w:pPr>
            <w:r>
              <w:rPr>
                <w:rFonts w:ascii="Times New Roman" w:hAnsi="Times New Roman" w:eastAsia="宋体"/>
                <w:b w:val="0"/>
                <w:sz w:val="15"/>
              </w:rPr>
              <w:t>2007—2024年沪深A股上市公司年报—年度观测</w:t>
            </w:r>
          </w:p>
        </w:tc>
        <w:tc>
          <w:tcPr>
            <w:tcW w:w="3708" w:type="dxa"/>
          </w:tcPr>
          <w:p w14:paraId="7668ACB8">
            <w:pPr>
              <w:spacing w:before="0" w:after="0" w:line="240" w:lineRule="auto"/>
              <w:jc w:val="center"/>
            </w:pPr>
            <w:r>
              <w:rPr>
                <w:rFonts w:ascii="Times New Roman" w:hAnsi="Times New Roman" w:eastAsia="宋体"/>
                <w:b w:val="0"/>
                <w:sz w:val="15"/>
              </w:rPr>
              <w:t>初始全样本</w:t>
            </w:r>
          </w:p>
        </w:tc>
      </w:tr>
      <w:tr w14:paraId="575E019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965" w:type="dxa"/>
          </w:tcPr>
          <w:p w14:paraId="1A687887">
            <w:pPr>
              <w:spacing w:before="0" w:after="0" w:line="240" w:lineRule="auto"/>
              <w:jc w:val="center"/>
            </w:pPr>
            <w:r>
              <w:rPr>
                <w:rFonts w:ascii="Times New Roman" w:hAnsi="Times New Roman" w:eastAsia="宋体"/>
                <w:b w:val="0"/>
                <w:sz w:val="15"/>
              </w:rPr>
              <w:t>② 剔除异常经营企业</w:t>
            </w:r>
          </w:p>
        </w:tc>
        <w:tc>
          <w:tcPr>
            <w:tcW w:w="2965" w:type="dxa"/>
          </w:tcPr>
          <w:p w14:paraId="0594F4D9">
            <w:pPr>
              <w:spacing w:before="0" w:after="0" w:line="240" w:lineRule="auto"/>
              <w:jc w:val="center"/>
            </w:pPr>
            <w:r>
              <w:rPr>
                <w:rFonts w:ascii="Times New Roman" w:hAnsi="Times New Roman" w:eastAsia="宋体"/>
                <w:b w:val="0"/>
                <w:sz w:val="15"/>
              </w:rPr>
              <w:t>剔除ST、*ST等经营状态异常的上市公司</w:t>
            </w:r>
          </w:p>
        </w:tc>
        <w:tc>
          <w:tcPr>
            <w:tcW w:w="3708" w:type="dxa"/>
          </w:tcPr>
          <w:p w14:paraId="1D4E49D1">
            <w:pPr>
              <w:spacing w:before="0" w:after="0" w:line="240" w:lineRule="auto"/>
              <w:jc w:val="center"/>
            </w:pPr>
            <w:r>
              <w:rPr>
                <w:rFonts w:ascii="Times New Roman" w:hAnsi="Times New Roman" w:eastAsia="宋体"/>
                <w:b w:val="0"/>
                <w:sz w:val="15"/>
              </w:rPr>
              <w:t>—</w:t>
            </w:r>
          </w:p>
        </w:tc>
      </w:tr>
      <w:tr w14:paraId="406BEF5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965" w:type="dxa"/>
          </w:tcPr>
          <w:p w14:paraId="68D22216">
            <w:pPr>
              <w:spacing w:before="0" w:after="0" w:line="240" w:lineRule="auto"/>
              <w:jc w:val="center"/>
            </w:pPr>
            <w:r>
              <w:rPr>
                <w:rFonts w:ascii="Times New Roman" w:hAnsi="Times New Roman" w:eastAsia="宋体"/>
                <w:b w:val="0"/>
                <w:sz w:val="15"/>
              </w:rPr>
              <w:t>③ 剔除金融类企业</w:t>
            </w:r>
          </w:p>
        </w:tc>
        <w:tc>
          <w:tcPr>
            <w:tcW w:w="2965" w:type="dxa"/>
          </w:tcPr>
          <w:p w14:paraId="5869681E">
            <w:pPr>
              <w:spacing w:before="0" w:after="0" w:line="240" w:lineRule="auto"/>
              <w:jc w:val="center"/>
            </w:pPr>
            <w:r>
              <w:rPr>
                <w:rFonts w:ascii="Times New Roman" w:hAnsi="Times New Roman" w:eastAsia="宋体"/>
                <w:b w:val="0"/>
                <w:sz w:val="15"/>
              </w:rPr>
              <w:t>剔除金融类上市公司（行业代码J开头）</w:t>
            </w:r>
          </w:p>
        </w:tc>
        <w:tc>
          <w:tcPr>
            <w:tcW w:w="3708" w:type="dxa"/>
          </w:tcPr>
          <w:p w14:paraId="11AF9B93">
            <w:pPr>
              <w:spacing w:before="0" w:after="0" w:line="240" w:lineRule="auto"/>
              <w:jc w:val="center"/>
            </w:pPr>
            <w:r>
              <w:rPr>
                <w:rFonts w:ascii="Times New Roman" w:hAnsi="Times New Roman" w:eastAsia="宋体"/>
                <w:b w:val="0"/>
                <w:sz w:val="15"/>
              </w:rPr>
              <w:t>—</w:t>
            </w:r>
          </w:p>
        </w:tc>
      </w:tr>
      <w:tr w14:paraId="739FF6AD">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965" w:type="dxa"/>
          </w:tcPr>
          <w:p w14:paraId="2F01CC26">
            <w:pPr>
              <w:spacing w:before="0" w:after="0" w:line="240" w:lineRule="auto"/>
              <w:jc w:val="center"/>
            </w:pPr>
            <w:r>
              <w:rPr>
                <w:rFonts w:ascii="Times New Roman" w:hAnsi="Times New Roman" w:eastAsia="宋体"/>
                <w:b w:val="0"/>
                <w:sz w:val="15"/>
              </w:rPr>
              <w:t>④ 剔除核心变量缺失样本</w:t>
            </w:r>
          </w:p>
        </w:tc>
        <w:tc>
          <w:tcPr>
            <w:tcW w:w="2965" w:type="dxa"/>
          </w:tcPr>
          <w:p w14:paraId="20222CC0">
            <w:pPr>
              <w:spacing w:before="0" w:after="0" w:line="240" w:lineRule="auto"/>
              <w:jc w:val="center"/>
            </w:pPr>
            <w:r>
              <w:rPr>
                <w:rFonts w:ascii="Times New Roman" w:hAnsi="Times New Roman" w:eastAsia="宋体"/>
                <w:b w:val="0"/>
                <w:sz w:val="15"/>
              </w:rPr>
              <w:t>剔除数智技术赋能、财务控制变量或注册地缺失的观测</w:t>
            </w:r>
          </w:p>
        </w:tc>
        <w:tc>
          <w:tcPr>
            <w:tcW w:w="3708" w:type="dxa"/>
          </w:tcPr>
          <w:p w14:paraId="357F269B">
            <w:pPr>
              <w:spacing w:before="0" w:after="0" w:line="240" w:lineRule="auto"/>
              <w:jc w:val="center"/>
            </w:pPr>
            <w:r>
              <w:rPr>
                <w:rFonts w:ascii="Times New Roman" w:hAnsi="Times New Roman" w:eastAsia="宋体"/>
                <w:b w:val="0"/>
                <w:sz w:val="15"/>
              </w:rPr>
              <w:t>—</w:t>
            </w:r>
          </w:p>
        </w:tc>
      </w:tr>
      <w:tr w14:paraId="25AF664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965" w:type="dxa"/>
          </w:tcPr>
          <w:p w14:paraId="58DFD8C5">
            <w:pPr>
              <w:spacing w:before="0" w:after="0" w:line="240" w:lineRule="auto"/>
              <w:jc w:val="center"/>
            </w:pPr>
            <w:r>
              <w:rPr>
                <w:rFonts w:ascii="Times New Roman" w:hAnsi="Times New Roman" w:eastAsia="宋体"/>
                <w:b w:val="0"/>
                <w:sz w:val="15"/>
              </w:rPr>
              <w:t>⑤ 多源数据匹配校验</w:t>
            </w:r>
          </w:p>
        </w:tc>
        <w:tc>
          <w:tcPr>
            <w:tcW w:w="2965" w:type="dxa"/>
          </w:tcPr>
          <w:p w14:paraId="6FDF7981">
            <w:pPr>
              <w:spacing w:before="0" w:after="0" w:line="240" w:lineRule="auto"/>
              <w:jc w:val="center"/>
            </w:pPr>
            <w:r>
              <w:rPr>
                <w:rFonts w:ascii="Times New Roman" w:hAnsi="Times New Roman" w:eastAsia="宋体"/>
                <w:b w:val="0"/>
                <w:sz w:val="15"/>
              </w:rPr>
              <w:t>按企业代码—年份维度匹配并校验</w:t>
            </w:r>
          </w:p>
        </w:tc>
        <w:tc>
          <w:tcPr>
            <w:tcW w:w="3708" w:type="dxa"/>
          </w:tcPr>
          <w:p w14:paraId="7C424FDA">
            <w:pPr>
              <w:spacing w:before="0" w:after="0" w:line="240" w:lineRule="auto"/>
              <w:jc w:val="center"/>
            </w:pPr>
            <w:r>
              <w:rPr>
                <w:rFonts w:ascii="Times New Roman" w:hAnsi="Times New Roman" w:eastAsia="宋体"/>
                <w:b w:val="0"/>
                <w:sz w:val="15"/>
              </w:rPr>
              <w:t>1286家企业、11571个观测</w:t>
            </w:r>
          </w:p>
        </w:tc>
      </w:tr>
    </w:tbl>
    <w:p w14:paraId="5B164B32">
      <w:pPr>
        <w:spacing w:before="40" w:after="120" w:line="240" w:lineRule="auto"/>
        <w:ind w:firstLine="180" w:firstLineChars="100"/>
        <w:jc w:val="left"/>
      </w:pPr>
      <w:r>
        <w:rPr>
          <w:rFonts w:ascii="Times New Roman" w:hAnsi="Times New Roman" w:eastAsia="宋体"/>
          <w:b w:val="0"/>
          <w:sz w:val="18"/>
        </w:rPr>
        <w:t>注：为压制极端值，连续变量两端各1%缩尾。</w:t>
      </w:r>
    </w:p>
    <w:p w14:paraId="19974692">
      <w:pPr>
        <w:spacing w:before="0" w:after="0" w:line="240" w:lineRule="auto"/>
        <w:ind w:firstLine="420" w:firstLineChars="200"/>
        <w:jc w:val="both"/>
      </w:pPr>
      <w:r>
        <w:rPr>
          <w:rFonts w:ascii="Times New Roman" w:hAnsi="Times New Roman" w:eastAsia="宋体"/>
          <w:b w:val="0"/>
          <w:sz w:val="21"/>
        </w:rPr>
        <w:t>数据来源可分为四类。</w:t>
      </w:r>
    </w:p>
    <w:p w14:paraId="3561DF33">
      <w:pPr>
        <w:spacing w:before="0" w:after="0" w:line="240" w:lineRule="auto"/>
        <w:ind w:firstLine="420" w:firstLineChars="200"/>
        <w:jc w:val="both"/>
      </w:pPr>
      <w:r>
        <w:rPr>
          <w:rFonts w:ascii="Times New Roman" w:hAnsi="Times New Roman" w:eastAsia="宋体"/>
          <w:b w:val="0"/>
          <w:sz w:val="21"/>
        </w:rPr>
        <w:t>文本与专利类：企业数智化文本取自AKRD企业数字化转型词频库与无形资产数字化，绿色专利取自上市公司绿色专利申请情况与获得情况——环境绩效的绿色创新维度用当年申请量，机制变量绿色技术创新用当年获得量。</w:t>
      </w:r>
    </w:p>
    <w:p w14:paraId="7A888A6D">
      <w:pPr>
        <w:spacing w:before="0" w:after="0" w:line="240" w:lineRule="auto"/>
        <w:ind w:firstLine="420" w:firstLineChars="200"/>
        <w:jc w:val="both"/>
      </w:pPr>
      <w:r>
        <w:rPr>
          <w:rFonts w:ascii="Times New Roman" w:hAnsi="Times New Roman" w:eastAsia="宋体"/>
          <w:b w:val="0"/>
          <w:sz w:val="21"/>
        </w:rPr>
        <w:t>环境类：碳信息披露取自年报碳信息披露词频表，环境治理资源获取取自上市公司环境治理补助，资源配置优化的代理变量取自绿色并购事件基本信息。</w:t>
      </w:r>
    </w:p>
    <w:p w14:paraId="6177B4A1">
      <w:pPr>
        <w:spacing w:before="0" w:after="0" w:line="240" w:lineRule="auto"/>
        <w:ind w:firstLine="420" w:firstLineChars="200"/>
        <w:jc w:val="both"/>
      </w:pPr>
      <w:r>
        <w:rPr>
          <w:rFonts w:ascii="Times New Roman" w:hAnsi="Times New Roman" w:eastAsia="宋体"/>
          <w:b w:val="0"/>
          <w:sz w:val="21"/>
        </w:rPr>
        <w:t>财务与审计类：财务控制变量取自应计盈余管理与真实盈余管理，审计变量取自审计单位与审计费用、审计单位及审计意见。</w:t>
      </w:r>
    </w:p>
    <w:p w14:paraId="49B02D3D">
      <w:pPr>
        <w:spacing w:before="0" w:after="0" w:line="240" w:lineRule="auto"/>
        <w:ind w:firstLine="420" w:firstLineChars="200"/>
        <w:jc w:val="both"/>
      </w:pPr>
      <w:r>
        <w:rPr>
          <w:rFonts w:ascii="Times New Roman" w:hAnsi="Times New Roman" w:eastAsia="宋体"/>
          <w:b w:val="0"/>
          <w:sz w:val="21"/>
        </w:rPr>
        <w:t>地区类：省级数字经济政策词频与环境保护支出取自对应统计表，企业注册地取自公司基本信息。</w:t>
      </w:r>
    </w:p>
    <w:p w14:paraId="371683BB">
      <w:pPr>
        <w:spacing w:before="0" w:after="0" w:line="240" w:lineRule="auto"/>
        <w:ind w:firstLine="420" w:firstLineChars="200"/>
        <w:jc w:val="both"/>
      </w:pPr>
      <w:r>
        <w:rPr>
          <w:rFonts w:ascii="Times New Roman" w:hAnsi="Times New Roman" w:eastAsia="宋体"/>
          <w:b w:val="0"/>
          <w:sz w:val="21"/>
        </w:rPr>
        <w:t>所有数据在合并前均经股票代码与年份维度去重及逻辑校验。</w:t>
      </w:r>
    </w:p>
    <w:p w14:paraId="1CB417E0">
      <w:pPr>
        <w:spacing w:before="0" w:after="0" w:line="240" w:lineRule="auto"/>
        <w:ind w:firstLine="420" w:firstLineChars="200"/>
        <w:jc w:val="both"/>
      </w:pPr>
      <w:r>
        <w:rPr>
          <w:rFonts w:ascii="Times New Roman" w:hAnsi="Times New Roman" w:eastAsia="宋体"/>
          <w:b w:val="0"/>
          <w:sz w:val="21"/>
        </w:rPr>
        <w:t>具体处理分五步。第一步，各数据源的企业代码补齐为6位字符串，与年度标识构成唯一键。第二步，同一企业—年度存在多条记录的绿色专利与碳披露数据，按企业—年度加总。第三步，政府补助按统计日期提取年度并汇总。第四步，数字化无形资产占比去除百分号后转为小数。第五步，企业注册地按省份名称规范化，再与省级政策、财政支出匹配。</w:t>
      </w:r>
    </w:p>
    <w:p w14:paraId="164AE72E">
      <w:pPr>
        <w:spacing w:before="0" w:after="0" w:line="240" w:lineRule="auto"/>
        <w:ind w:firstLine="420" w:firstLineChars="200"/>
        <w:jc w:val="both"/>
      </w:pPr>
      <w:r>
        <w:rPr>
          <w:rFonts w:ascii="Times New Roman" w:hAnsi="Times New Roman" w:eastAsia="宋体"/>
          <w:b w:val="0"/>
          <w:sz w:val="21"/>
        </w:rPr>
        <w:t>匹配完成后，本文进一步核对了资产总计、营业收入等关键科目的量纲一致性，并剔除总资产或营业收入为零或负值的异常观测。</w:t>
      </w:r>
    </w:p>
    <w:p w14:paraId="7683D3D1">
      <w:pPr>
        <w:spacing w:before="160" w:after="80" w:line="240" w:lineRule="auto"/>
        <w:jc w:val="left"/>
      </w:pPr>
      <w:r>
        <w:rPr>
          <w:rFonts w:ascii="Times New Roman" w:hAnsi="Times New Roman" w:eastAsia="黑体"/>
          <w:b/>
          <w:sz w:val="21"/>
        </w:rPr>
        <w:t>4.2 模型设定</w:t>
      </w:r>
    </w:p>
    <w:p w14:paraId="0A2EE31C">
      <w:pPr>
        <w:spacing w:before="120" w:after="60" w:line="240" w:lineRule="auto"/>
        <w:ind w:firstLine="210" w:firstLineChars="100"/>
        <w:jc w:val="left"/>
      </w:pPr>
      <w:r>
        <w:rPr>
          <w:rFonts w:ascii="Times New Roman" w:hAnsi="Times New Roman" w:eastAsia="黑体"/>
          <w:b w:val="0"/>
          <w:sz w:val="21"/>
        </w:rPr>
        <w:t>1.基准回归模型</w:t>
      </w:r>
    </w:p>
    <w:p w14:paraId="33551525">
      <w:pPr>
        <w:spacing w:before="0" w:after="0" w:line="240" w:lineRule="auto"/>
        <w:ind w:firstLine="420" w:firstLineChars="200"/>
        <w:jc w:val="both"/>
      </w:pPr>
      <w:r>
        <w:rPr>
          <w:rFonts w:ascii="Times New Roman" w:hAnsi="Times New Roman" w:eastAsia="宋体"/>
          <w:b w:val="0"/>
          <w:sz w:val="21"/>
        </w:rPr>
        <w:t>为检验数智技术赋能对企业环境绩效的影响，构建双向固定效应面板回归模型，如式（1）所示：</w:t>
      </w:r>
    </w:p>
    <w:p w14:paraId="48A0C4D9">
      <w:pPr>
        <w:tabs>
          <w:tab w:val="center" w:pos="4819"/>
          <w:tab w:val="right" w:pos="9638"/>
        </w:tabs>
        <w:spacing w:before="100" w:after="100" w:line="240" w:lineRule="auto"/>
        <w:jc w:val="left"/>
      </w:pPr>
      <w:r>
        <w:tab/>
      </w:r>
      <m:oMath>
        <m:sSub>
          <m:sSubPr/>
          <m:e>
            <m:r>
              <m:rPr/>
              <m:t>EP</m:t>
            </m:r>
          </m:e>
          <m:sub>
            <m:r>
              <m:rPr/>
              <m:t>i,t</m:t>
            </m:r>
          </m:sub>
        </m:sSub>
        <m:r>
          <m:rPr>
            <m:sty m:val="p"/>
          </m:rPr>
          <m:t>=</m:t>
        </m:r>
        <m:sSub>
          <m:sSubPr/>
          <m:e>
            <m:r>
              <m:rPr/>
              <m:t>α</m:t>
            </m:r>
          </m:e>
          <m:sub>
            <m:r>
              <m:rPr>
                <m:sty m:val="p"/>
              </m:rPr>
              <m:t>0</m:t>
            </m:r>
          </m:sub>
        </m:sSub>
        <m:r>
          <m:rPr>
            <m:sty m:val="p"/>
          </m:rPr>
          <m:t>+</m:t>
        </m:r>
        <m:sSub>
          <m:sSubPr/>
          <m:e>
            <m:r>
              <m:rPr/>
              <m:t>α</m:t>
            </m:r>
          </m:e>
          <m:sub>
            <m:r>
              <m:rPr>
                <m:sty m:val="p"/>
              </m:rPr>
              <m:t>1</m:t>
            </m:r>
          </m:sub>
        </m:sSub>
        <m:r>
          <m:rPr>
            <m:sty m:val="p"/>
          </m:rPr>
          <m:t>·</m:t>
        </m:r>
        <m:sSub>
          <m:sSubPr/>
          <m:e>
            <m:r>
              <m:rPr/>
              <m:t>Digit</m:t>
            </m:r>
          </m:e>
          <m:sub>
            <m:r>
              <m:rPr/>
              <m:t>i,t</m:t>
            </m:r>
          </m:sub>
        </m:sSub>
        <m:r>
          <m:rPr>
            <m:sty m:val="p"/>
          </m:rPr>
          <m:t>+</m:t>
        </m:r>
        <m:nary>
          <m:naryPr>
            <m:chr m:val="∑"/>
            <m:limLoc m:val="undOvr"/>
          </m:naryPr>
          <m:sub>
            <m:r>
              <m:rPr/>
              <m:t>j</m:t>
            </m:r>
            <m:r>
              <m:rPr>
                <m:sty m:val="p"/>
              </m:rPr>
              <m:t>=1</m:t>
            </m:r>
          </m:sub>
          <m:sup>
            <m:r>
              <m:rPr/>
              <m:t>J</m:t>
            </m:r>
          </m:sup>
          <m:e>
            <m:sSub>
              <m:sSubPr/>
              <m:e>
                <m:r>
                  <m:rPr/>
                  <m:t>γ</m:t>
                </m:r>
              </m:e>
              <m:sub>
                <m:r>
                  <m:rPr/>
                  <m:t>j</m:t>
                </m:r>
              </m:sub>
            </m:sSub>
            <m:r>
              <m:rPr>
                <m:sty m:val="p"/>
              </m:rPr>
              <m:t>·</m:t>
            </m:r>
            <m:sSub>
              <m:sSubPr/>
              <m:e>
                <m:r>
                  <m:rPr/>
                  <m:t>Controls</m:t>
                </m:r>
              </m:e>
              <m:sub>
                <m:r>
                  <m:rPr/>
                  <m:t>j,i,t</m:t>
                </m:r>
              </m:sub>
            </m:sSub>
          </m:e>
        </m:nary>
        <m:r>
          <m:rPr>
            <m:sty m:val="p"/>
          </m:rPr>
          <m:t>+</m:t>
        </m:r>
        <m:sSub>
          <m:sSubPr/>
          <m:e>
            <m:r>
              <m:rPr/>
              <m:t>μ</m:t>
            </m:r>
          </m:e>
          <m:sub>
            <m:r>
              <m:rPr/>
              <m:t>i</m:t>
            </m:r>
          </m:sub>
        </m:sSub>
        <m:r>
          <m:rPr>
            <m:sty m:val="p"/>
          </m:rPr>
          <m:t>+</m:t>
        </m:r>
        <m:sSub>
          <m:sSubPr/>
          <m:e>
            <m:r>
              <m:rPr/>
              <m:t>ν</m:t>
            </m:r>
          </m:e>
          <m:sub>
            <m:r>
              <m:rPr/>
              <m:t>t</m:t>
            </m:r>
          </m:sub>
        </m:sSub>
        <m:r>
          <m:rPr>
            <m:sty m:val="p"/>
          </m:rPr>
          <m:t>+</m:t>
        </m:r>
        <m:sSub>
          <m:sSubPr/>
          <m:e>
            <m:r>
              <m:rPr/>
              <m:t>ε</m:t>
            </m:r>
          </m:e>
          <m:sub>
            <m:r>
              <m:rPr/>
              <m:t>i,t</m:t>
            </m:r>
          </m:sub>
        </m:sSub>
      </m:oMath>
      <w:r>
        <w:tab/>
      </w:r>
      <w:r>
        <w:t>（1）</w:t>
      </w:r>
    </w:p>
    <w:p w14:paraId="20585E57">
      <w:pPr>
        <w:spacing w:before="0" w:after="0" w:line="240" w:lineRule="auto"/>
        <w:ind w:firstLine="420" w:firstLineChars="200"/>
        <w:jc w:val="both"/>
      </w:pPr>
      <w:r>
        <w:rPr>
          <w:rFonts w:ascii="Times New Roman" w:hAnsi="Times New Roman" w:eastAsia="宋体"/>
          <w:b w:val="0"/>
          <w:sz w:val="21"/>
        </w:rPr>
        <w:t>式中，下标</w:t>
      </w:r>
      <m:oMath>
        <m:r>
          <m:rPr/>
          <m:t>i</m:t>
        </m:r>
      </m:oMath>
      <w:r>
        <w:rPr>
          <w:rFonts w:ascii="Times New Roman" w:hAnsi="Times New Roman" w:eastAsia="宋体"/>
          <w:b w:val="0"/>
          <w:sz w:val="21"/>
        </w:rPr>
        <w:t>与</w:t>
      </w:r>
      <m:oMath>
        <m:r>
          <m:rPr/>
          <m:t>t</m:t>
        </m:r>
      </m:oMath>
      <w:r>
        <w:rPr>
          <w:rFonts w:ascii="Times New Roman" w:hAnsi="Times New Roman" w:eastAsia="宋体"/>
          <w:b w:val="0"/>
          <w:sz w:val="21"/>
        </w:rPr>
        <w:t>分别标识企业与年份；</w:t>
      </w:r>
      <m:oMath>
        <m:sSub>
          <m:sSubPr/>
          <m:e>
            <m:r>
              <m:rPr/>
              <m:t>EP</m:t>
            </m:r>
          </m:e>
          <m:sub>
            <m:r>
              <m:rPr/>
              <m:t>i,t</m:t>
            </m:r>
          </m:sub>
        </m:sSub>
      </m:oMath>
      <w:r>
        <w:rPr>
          <w:rFonts w:ascii="Times New Roman" w:hAnsi="Times New Roman" w:eastAsia="宋体"/>
          <w:b w:val="0"/>
          <w:sz w:val="21"/>
        </w:rPr>
        <w:t>为企业</w:t>
      </w:r>
      <m:oMath>
        <m:r>
          <m:rPr/>
          <m:t>i</m:t>
        </m:r>
      </m:oMath>
      <w:r>
        <w:rPr>
          <w:rFonts w:ascii="Times New Roman" w:hAnsi="Times New Roman" w:eastAsia="宋体"/>
          <w:b w:val="0"/>
          <w:sz w:val="21"/>
        </w:rPr>
        <w:t>在第</w:t>
      </w:r>
      <m:oMath>
        <m:r>
          <m:rPr/>
          <m:t>t</m:t>
        </m:r>
      </m:oMath>
      <w:r>
        <w:rPr>
          <w:rFonts w:ascii="Times New Roman" w:hAnsi="Times New Roman" w:eastAsia="宋体"/>
          <w:b w:val="0"/>
          <w:sz w:val="21"/>
        </w:rPr>
        <w:t>年的环境绩效；</w:t>
      </w:r>
      <m:oMath>
        <m:sSub>
          <m:sSubPr/>
          <m:e>
            <m:r>
              <m:rPr/>
              <m:t>Digit</m:t>
            </m:r>
          </m:e>
          <m:sub>
            <m:r>
              <m:rPr/>
              <m:t>i,t</m:t>
            </m:r>
          </m:sub>
        </m:sSub>
      </m:oMath>
      <w:r>
        <w:rPr>
          <w:rFonts w:ascii="Times New Roman" w:hAnsi="Times New Roman" w:eastAsia="宋体"/>
          <w:b w:val="0"/>
          <w:sz w:val="21"/>
        </w:rPr>
        <w:t>为企业</w:t>
      </w:r>
      <m:oMath>
        <m:r>
          <m:rPr/>
          <m:t>i</m:t>
        </m:r>
      </m:oMath>
      <w:r>
        <w:rPr>
          <w:rFonts w:ascii="Times New Roman" w:hAnsi="Times New Roman" w:eastAsia="宋体"/>
          <w:b w:val="0"/>
          <w:sz w:val="21"/>
        </w:rPr>
        <w:t>在第</w:t>
      </w:r>
      <m:oMath>
        <m:r>
          <m:rPr/>
          <m:t>t</m:t>
        </m:r>
      </m:oMath>
      <w:r>
        <w:rPr>
          <w:rFonts w:ascii="Times New Roman" w:hAnsi="Times New Roman" w:eastAsia="宋体"/>
          <w:b w:val="0"/>
          <w:sz w:val="21"/>
        </w:rPr>
        <w:t>年的数智技术赋能综合指数；</w:t>
      </w:r>
      <m:oMath>
        <m:sSub>
          <m:sSubPr/>
          <m:e>
            <m:r>
              <m:rPr/>
              <m:t>Controls</m:t>
            </m:r>
          </m:e>
          <m:sub>
            <m:r>
              <m:rPr/>
              <m:t>j,i,t</m:t>
            </m:r>
          </m:sub>
        </m:sSub>
      </m:oMath>
      <w:r>
        <w:rPr>
          <w:rFonts w:ascii="Times New Roman" w:hAnsi="Times New Roman" w:eastAsia="宋体"/>
          <w:b w:val="0"/>
          <w:sz w:val="21"/>
        </w:rPr>
        <w:t>为第</w:t>
      </w:r>
      <m:oMath>
        <m:r>
          <m:rPr/>
          <m:t>j</m:t>
        </m:r>
      </m:oMath>
      <w:r>
        <w:rPr>
          <w:rFonts w:ascii="Times New Roman" w:hAnsi="Times New Roman" w:eastAsia="宋体"/>
          <w:b w:val="0"/>
          <w:sz w:val="21"/>
        </w:rPr>
        <w:t>个控制变量，</w:t>
      </w:r>
      <m:oMath>
        <m:r>
          <m:rPr/>
          <m:t>j</m:t>
        </m:r>
      </m:oMath>
      <w:r>
        <w:rPr>
          <w:rFonts w:ascii="Times New Roman" w:hAnsi="Times New Roman" w:eastAsia="宋体"/>
          <w:b w:val="0"/>
          <w:sz w:val="21"/>
        </w:rPr>
        <w:t>=1,…,</w:t>
      </w:r>
      <m:oMath>
        <m:r>
          <m:rPr/>
          <m:t>J</m:t>
        </m:r>
      </m:oMath>
      <w:r>
        <w:rPr>
          <w:rFonts w:ascii="Times New Roman" w:hAnsi="Times New Roman" w:eastAsia="宋体"/>
          <w:b w:val="0"/>
          <w:sz w:val="21"/>
        </w:rPr>
        <w:t>，</w:t>
      </w:r>
      <m:oMath>
        <m:r>
          <m:rPr/>
          <m:t>J</m:t>
        </m:r>
      </m:oMath>
      <w:r>
        <w:rPr>
          <w:rFonts w:ascii="Times New Roman" w:hAnsi="Times New Roman" w:eastAsia="宋体"/>
          <w:b w:val="0"/>
          <w:sz w:val="21"/>
        </w:rPr>
        <w:t>为控制变量总数；</w:t>
      </w:r>
      <m:oMath>
        <m:sSub>
          <m:sSubPr/>
          <m:e>
            <m:r>
              <m:rPr/>
              <m:t>α</m:t>
            </m:r>
          </m:e>
          <m:sub>
            <m:r>
              <m:rPr>
                <m:sty m:val="p"/>
              </m:rPr>
              <m:t>0</m:t>
            </m:r>
          </m:sub>
        </m:sSub>
      </m:oMath>
      <w:r>
        <w:rPr>
          <w:rFonts w:ascii="Times New Roman" w:hAnsi="Times New Roman" w:eastAsia="宋体"/>
          <w:b w:val="0"/>
          <w:sz w:val="21"/>
        </w:rPr>
        <w:t>为截距项；</w:t>
      </w:r>
      <m:oMath>
        <m:sSub>
          <m:sSubPr/>
          <m:e>
            <m:r>
              <m:rPr/>
              <m:t>α</m:t>
            </m:r>
          </m:e>
          <m:sub>
            <m:r>
              <m:rPr>
                <m:sty m:val="p"/>
              </m:rPr>
              <m:t>1</m:t>
            </m:r>
          </m:sub>
        </m:sSub>
      </m:oMath>
      <w:r>
        <w:rPr>
          <w:rFonts w:ascii="Times New Roman" w:hAnsi="Times New Roman" w:eastAsia="宋体"/>
          <w:b w:val="0"/>
          <w:sz w:val="21"/>
        </w:rPr>
        <w:t>是核心解释变量的系数，刻画赋能对企业环境绩效的平均影响；</w:t>
      </w:r>
      <m:oMath>
        <m:sSub>
          <m:sSubPr/>
          <m:e>
            <m:r>
              <m:rPr/>
              <m:t>γ</m:t>
            </m:r>
          </m:e>
          <m:sub>
            <m:r>
              <m:rPr/>
              <m:t>j</m:t>
            </m:r>
          </m:sub>
        </m:sSub>
      </m:oMath>
      <w:r>
        <w:rPr>
          <w:rFonts w:ascii="Times New Roman" w:hAnsi="Times New Roman" w:eastAsia="宋体"/>
          <w:b w:val="0"/>
          <w:sz w:val="21"/>
        </w:rPr>
        <w:t>为第</w:t>
      </w:r>
      <m:oMath>
        <m:r>
          <m:rPr/>
          <m:t>j</m:t>
        </m:r>
      </m:oMath>
      <w:r>
        <w:rPr>
          <w:rFonts w:ascii="Times New Roman" w:hAnsi="Times New Roman" w:eastAsia="宋体"/>
          <w:b w:val="0"/>
          <w:sz w:val="21"/>
        </w:rPr>
        <w:t>个控制变量的系数；</w:t>
      </w:r>
      <m:oMath>
        <m:sSub>
          <m:sSubPr/>
          <m:e>
            <m:r>
              <m:rPr/>
              <m:t>μ</m:t>
            </m:r>
          </m:e>
          <m:sub>
            <m:r>
              <m:rPr/>
              <m:t>i</m:t>
            </m:r>
          </m:sub>
        </m:sSub>
      </m:oMath>
      <w:r>
        <w:rPr>
          <w:rFonts w:ascii="Times New Roman" w:hAnsi="Times New Roman" w:eastAsia="宋体"/>
          <w:b w:val="0"/>
          <w:sz w:val="21"/>
        </w:rPr>
        <w:t>与</w:t>
      </w:r>
      <m:oMath>
        <m:sSub>
          <m:sSubPr/>
          <m:e>
            <m:r>
              <m:rPr/>
              <m:t>ν</m:t>
            </m:r>
          </m:e>
          <m:sub>
            <m:r>
              <m:rPr/>
              <m:t>t</m:t>
            </m:r>
          </m:sub>
        </m:sSub>
      </m:oMath>
      <w:r>
        <w:rPr>
          <w:rFonts w:ascii="Times New Roman" w:hAnsi="Times New Roman" w:eastAsia="宋体"/>
          <w:b w:val="0"/>
          <w:sz w:val="21"/>
        </w:rPr>
        <w:t>分别为企业个体固定效应与年份固定效应；</w:t>
      </w:r>
      <m:oMath>
        <m:sSub>
          <m:sSubPr/>
          <m:e>
            <m:r>
              <m:rPr/>
              <m:t>ε</m:t>
            </m:r>
          </m:e>
          <m:sub>
            <m:r>
              <m:rPr/>
              <m:t>i,t</m:t>
            </m:r>
          </m:sub>
        </m:sSub>
      </m:oMath>
      <w:r>
        <w:rPr>
          <w:rFonts w:ascii="Times New Roman" w:hAnsi="Times New Roman" w:eastAsia="宋体"/>
          <w:b w:val="0"/>
          <w:sz w:val="21"/>
        </w:rPr>
        <w:t>表示随机扰动项。</w:t>
      </w:r>
    </w:p>
    <w:p w14:paraId="5C9061C6">
      <w:pPr>
        <w:spacing w:before="120" w:after="60" w:line="240" w:lineRule="auto"/>
        <w:ind w:firstLine="210" w:firstLineChars="100"/>
        <w:jc w:val="left"/>
      </w:pPr>
      <w:r>
        <w:rPr>
          <w:rFonts w:ascii="Times New Roman" w:hAnsi="Times New Roman" w:eastAsia="黑体"/>
          <w:b w:val="0"/>
          <w:sz w:val="21"/>
        </w:rPr>
        <w:t>2.中介效应模型</w:t>
      </w:r>
    </w:p>
    <w:p w14:paraId="6618F9AE">
      <w:pPr>
        <w:spacing w:before="0" w:after="0" w:line="240" w:lineRule="auto"/>
        <w:ind w:firstLine="420" w:firstLineChars="200"/>
        <w:jc w:val="both"/>
      </w:pPr>
      <w:r>
        <w:rPr>
          <w:rFonts w:ascii="Times New Roman" w:hAnsi="Times New Roman" w:eastAsia="宋体"/>
          <w:b w:val="0"/>
          <w:sz w:val="21"/>
        </w:rPr>
        <w:t>传导路径的检验沿用Baron和Kenny</w:t>
      </w:r>
      <w:r>
        <w:rPr>
          <w:rFonts w:ascii="Times New Roman" w:hAnsi="Times New Roman" w:eastAsia="宋体"/>
          <w:b w:val="0"/>
          <w:sz w:val="21"/>
          <w:vertAlign w:val="superscript"/>
        </w:rPr>
        <w:t>[32]</w:t>
      </w:r>
      <w:r>
        <w:rPr>
          <w:rFonts w:ascii="Times New Roman" w:hAnsi="Times New Roman" w:eastAsia="宋体"/>
          <w:b w:val="0"/>
          <w:sz w:val="21"/>
        </w:rPr>
        <w:t>的依次回归思路，在基准回归之上分三步推进：先由式（1）判断数智技术赋能对企业环境绩效的总效应是否存在，再分别以式（2）识别赋能对中介变量的作用、以式（3）估计中介变量进入后剩余的直接效应。两步的设定依次如下：</w:t>
      </w:r>
    </w:p>
    <w:p w14:paraId="6C463B82">
      <w:pPr>
        <w:tabs>
          <w:tab w:val="center" w:pos="4819"/>
          <w:tab w:val="right" w:pos="9638"/>
        </w:tabs>
        <w:spacing w:before="100" w:after="100" w:line="240" w:lineRule="auto"/>
        <w:jc w:val="left"/>
      </w:pPr>
      <w:r>
        <w:tab/>
      </w:r>
      <m:oMath>
        <m:sSub>
          <m:sSubPr/>
          <m:e>
            <m:r>
              <m:rPr/>
              <m:t>M</m:t>
            </m:r>
          </m:e>
          <m:sub>
            <m:r>
              <m:rPr/>
              <m:t>i,t</m:t>
            </m:r>
          </m:sub>
        </m:sSub>
        <m:r>
          <m:rPr>
            <m:sty m:val="p"/>
          </m:rPr>
          <m:t>=</m:t>
        </m:r>
        <m:sSub>
          <m:sSubPr/>
          <m:e>
            <m:r>
              <m:rPr/>
              <m:t>β</m:t>
            </m:r>
          </m:e>
          <m:sub>
            <m:r>
              <m:rPr>
                <m:sty m:val="p"/>
              </m:rPr>
              <m:t>0</m:t>
            </m:r>
          </m:sub>
        </m:sSub>
        <m:r>
          <m:rPr>
            <m:sty m:val="p"/>
          </m:rPr>
          <m:t>+</m:t>
        </m:r>
        <m:sSub>
          <m:sSubPr/>
          <m:e>
            <m:r>
              <m:rPr/>
              <m:t>β</m:t>
            </m:r>
          </m:e>
          <m:sub>
            <m:r>
              <m:rPr>
                <m:sty m:val="p"/>
              </m:rPr>
              <m:t>1</m:t>
            </m:r>
          </m:sub>
        </m:sSub>
        <m:r>
          <m:rPr>
            <m:sty m:val="p"/>
          </m:rPr>
          <m:t>·</m:t>
        </m:r>
        <m:sSub>
          <m:sSubPr/>
          <m:e>
            <m:r>
              <m:rPr/>
              <m:t>Digit</m:t>
            </m:r>
          </m:e>
          <m:sub>
            <m:r>
              <m:rPr/>
              <m:t>i,t</m:t>
            </m:r>
          </m:sub>
        </m:sSub>
        <m:r>
          <m:rPr>
            <m:sty m:val="p"/>
          </m:rPr>
          <m:t>+</m:t>
        </m:r>
        <m:nary>
          <m:naryPr>
            <m:chr m:val="∑"/>
            <m:limLoc m:val="undOvr"/>
          </m:naryPr>
          <m:sub>
            <m:r>
              <m:rPr/>
              <m:t>j</m:t>
            </m:r>
            <m:r>
              <m:rPr>
                <m:sty m:val="p"/>
              </m:rPr>
              <m:t>=1</m:t>
            </m:r>
          </m:sub>
          <m:sup>
            <m:r>
              <m:rPr/>
              <m:t>J</m:t>
            </m:r>
          </m:sup>
          <m:e>
            <m:sSub>
              <m:sSubPr/>
              <m:e>
                <m:r>
                  <m:rPr/>
                  <m:t>δ</m:t>
                </m:r>
              </m:e>
              <m:sub>
                <m:r>
                  <m:rPr/>
                  <m:t>j</m:t>
                </m:r>
              </m:sub>
            </m:sSub>
            <m:r>
              <m:rPr>
                <m:sty m:val="p"/>
              </m:rPr>
              <m:t>·</m:t>
            </m:r>
            <m:sSub>
              <m:sSubPr/>
              <m:e>
                <m:r>
                  <m:rPr/>
                  <m:t>Controls</m:t>
                </m:r>
              </m:e>
              <m:sub>
                <m:r>
                  <m:rPr/>
                  <m:t>j,i,t</m:t>
                </m:r>
              </m:sub>
            </m:sSub>
          </m:e>
        </m:nary>
        <m:r>
          <m:rPr>
            <m:sty m:val="p"/>
          </m:rPr>
          <m:t>+</m:t>
        </m:r>
        <m:sSub>
          <m:sSubPr/>
          <m:e>
            <m:r>
              <m:rPr/>
              <m:t>μ</m:t>
            </m:r>
          </m:e>
          <m:sub>
            <m:r>
              <m:rPr/>
              <m:t>i</m:t>
            </m:r>
          </m:sub>
        </m:sSub>
        <m:r>
          <m:rPr>
            <m:sty m:val="p"/>
          </m:rPr>
          <m:t>+</m:t>
        </m:r>
        <m:sSub>
          <m:sSubPr/>
          <m:e>
            <m:r>
              <m:rPr/>
              <m:t>ν</m:t>
            </m:r>
          </m:e>
          <m:sub>
            <m:r>
              <m:rPr/>
              <m:t>t</m:t>
            </m:r>
          </m:sub>
        </m:sSub>
        <m:r>
          <m:rPr>
            <m:sty m:val="p"/>
          </m:rPr>
          <m:t>+</m:t>
        </m:r>
        <m:sSub>
          <m:sSubPr/>
          <m:e>
            <m:r>
              <m:rPr/>
              <m:t>υ</m:t>
            </m:r>
          </m:e>
          <m:sub>
            <m:r>
              <m:rPr/>
              <m:t>i,t</m:t>
            </m:r>
          </m:sub>
        </m:sSub>
      </m:oMath>
      <w:r>
        <w:tab/>
      </w:r>
      <w:r>
        <w:t>（2）</w:t>
      </w:r>
    </w:p>
    <w:p w14:paraId="060F0243">
      <w:pPr>
        <w:tabs>
          <w:tab w:val="center" w:pos="4819"/>
          <w:tab w:val="right" w:pos="9638"/>
        </w:tabs>
        <w:spacing w:before="100" w:after="100" w:line="240" w:lineRule="auto"/>
        <w:jc w:val="left"/>
      </w:pPr>
      <w:r>
        <w:tab/>
      </w:r>
      <m:oMath>
        <m:sSub>
          <m:sSubPr/>
          <m:e>
            <m:r>
              <m:rPr/>
              <m:t>EP</m:t>
            </m:r>
          </m:e>
          <m:sub>
            <m:r>
              <m:rPr/>
              <m:t>i,t</m:t>
            </m:r>
          </m:sub>
        </m:sSub>
        <m:r>
          <m:rPr>
            <m:sty m:val="p"/>
          </m:rPr>
          <m:t>=</m:t>
        </m:r>
        <m:sSub>
          <m:sSubPr/>
          <m:e>
            <m:r>
              <m:rPr/>
              <m:t>θ</m:t>
            </m:r>
          </m:e>
          <m:sub>
            <m:r>
              <m:rPr>
                <m:sty m:val="p"/>
              </m:rPr>
              <m:t>0</m:t>
            </m:r>
          </m:sub>
        </m:sSub>
        <m:r>
          <m:rPr>
            <m:sty m:val="p"/>
          </m:rPr>
          <m:t>+</m:t>
        </m:r>
        <m:sSub>
          <m:sSubPr/>
          <m:e>
            <m:r>
              <m:rPr/>
              <m:t>θ</m:t>
            </m:r>
          </m:e>
          <m:sub>
            <m:r>
              <m:rPr>
                <m:sty m:val="p"/>
              </m:rPr>
              <m:t>1</m:t>
            </m:r>
          </m:sub>
        </m:sSub>
        <m:r>
          <m:rPr>
            <m:sty m:val="p"/>
          </m:rPr>
          <m:t>·</m:t>
        </m:r>
        <m:sSub>
          <m:sSubPr/>
          <m:e>
            <m:r>
              <m:rPr/>
              <m:t>Digit</m:t>
            </m:r>
          </m:e>
          <m:sub>
            <m:r>
              <m:rPr/>
              <m:t>i,t</m:t>
            </m:r>
          </m:sub>
        </m:sSub>
        <m:r>
          <m:rPr>
            <m:sty m:val="p"/>
          </m:rPr>
          <m:t>+</m:t>
        </m:r>
        <m:sSub>
          <m:sSubPr/>
          <m:e>
            <m:r>
              <m:rPr/>
              <m:t>θ</m:t>
            </m:r>
          </m:e>
          <m:sub>
            <m:r>
              <m:rPr>
                <m:sty m:val="p"/>
              </m:rPr>
              <m:t>2</m:t>
            </m:r>
          </m:sub>
        </m:sSub>
        <m:r>
          <m:rPr>
            <m:sty m:val="p"/>
          </m:rPr>
          <m:t>·</m:t>
        </m:r>
        <m:sSub>
          <m:sSubPr/>
          <m:e>
            <m:r>
              <m:rPr/>
              <m:t>M</m:t>
            </m:r>
          </m:e>
          <m:sub>
            <m:r>
              <m:rPr/>
              <m:t>i,t</m:t>
            </m:r>
          </m:sub>
        </m:sSub>
        <m:r>
          <m:rPr>
            <m:sty m:val="p"/>
          </m:rPr>
          <m:t>+</m:t>
        </m:r>
        <m:nary>
          <m:naryPr>
            <m:chr m:val="∑"/>
            <m:limLoc m:val="undOvr"/>
          </m:naryPr>
          <m:sub>
            <m:r>
              <m:rPr/>
              <m:t>j</m:t>
            </m:r>
            <m:r>
              <m:rPr>
                <m:sty m:val="p"/>
              </m:rPr>
              <m:t>=1</m:t>
            </m:r>
          </m:sub>
          <m:sup>
            <m:r>
              <m:rPr/>
              <m:t>J</m:t>
            </m:r>
          </m:sup>
          <m:e>
            <m:sSub>
              <m:sSubPr/>
              <m:e>
                <m:r>
                  <m:rPr/>
                  <m:t>η</m:t>
                </m:r>
              </m:e>
              <m:sub>
                <m:r>
                  <m:rPr/>
                  <m:t>j</m:t>
                </m:r>
              </m:sub>
            </m:sSub>
            <m:r>
              <m:rPr>
                <m:sty m:val="p"/>
              </m:rPr>
              <m:t>·</m:t>
            </m:r>
            <m:sSub>
              <m:sSubPr/>
              <m:e>
                <m:r>
                  <m:rPr/>
                  <m:t>Controls</m:t>
                </m:r>
              </m:e>
              <m:sub>
                <m:r>
                  <m:rPr/>
                  <m:t>j,i,t</m:t>
                </m:r>
              </m:sub>
            </m:sSub>
          </m:e>
        </m:nary>
        <m:r>
          <m:rPr>
            <m:sty m:val="p"/>
          </m:rPr>
          <m:t>+</m:t>
        </m:r>
        <m:sSub>
          <m:sSubPr/>
          <m:e>
            <m:r>
              <m:rPr/>
              <m:t>μ</m:t>
            </m:r>
          </m:e>
          <m:sub>
            <m:r>
              <m:rPr/>
              <m:t>i</m:t>
            </m:r>
          </m:sub>
        </m:sSub>
        <m:r>
          <m:rPr>
            <m:sty m:val="p"/>
          </m:rPr>
          <m:t>+</m:t>
        </m:r>
        <m:sSub>
          <m:sSubPr/>
          <m:e>
            <m:r>
              <m:rPr/>
              <m:t>ν</m:t>
            </m:r>
          </m:e>
          <m:sub>
            <m:r>
              <m:rPr/>
              <m:t>t</m:t>
            </m:r>
          </m:sub>
        </m:sSub>
        <m:r>
          <m:rPr>
            <m:sty m:val="p"/>
          </m:rPr>
          <m:t>+</m:t>
        </m:r>
        <m:sSub>
          <m:sSubPr/>
          <m:e>
            <m:r>
              <m:rPr/>
              <m:t>ω</m:t>
            </m:r>
          </m:e>
          <m:sub>
            <m:r>
              <m:rPr/>
              <m:t>i,t</m:t>
            </m:r>
          </m:sub>
        </m:sSub>
      </m:oMath>
      <w:r>
        <w:tab/>
      </w:r>
      <w:r>
        <w:t>（3）</w:t>
      </w:r>
    </w:p>
    <w:p w14:paraId="65053647">
      <w:pPr>
        <w:spacing w:before="0" w:after="0" w:line="240" w:lineRule="auto"/>
        <w:ind w:firstLine="420" w:firstLineChars="200"/>
        <w:jc w:val="both"/>
      </w:pPr>
      <w:r>
        <w:rPr>
          <w:rFonts w:ascii="Times New Roman" w:hAnsi="Times New Roman" w:eastAsia="宋体"/>
          <w:b w:val="0"/>
          <w:sz w:val="21"/>
        </w:rPr>
        <w:t>式中，</w:t>
      </w:r>
      <m:oMath>
        <m:sSub>
          <m:sSubPr/>
          <m:e>
            <m:r>
              <m:rPr/>
              <m:t>M</m:t>
            </m:r>
          </m:e>
          <m:sub>
            <m:r>
              <m:rPr/>
              <m:t>i,t</m:t>
            </m:r>
          </m:sub>
        </m:sSub>
      </m:oMath>
      <w:r>
        <w:rPr>
          <w:rFonts w:ascii="Times New Roman" w:hAnsi="Times New Roman" w:eastAsia="宋体"/>
          <w:b w:val="0"/>
          <w:sz w:val="21"/>
        </w:rPr>
        <w:t>表示中介变量，分别取绿色技术创新（</w:t>
      </w:r>
      <m:oMath>
        <m:r>
          <m:rPr/>
          <m:t>GreenTech</m:t>
        </m:r>
      </m:oMath>
      <w:r>
        <w:rPr>
          <w:rFonts w:ascii="Times New Roman" w:hAnsi="Times New Roman" w:eastAsia="宋体"/>
          <w:b w:val="0"/>
          <w:sz w:val="21"/>
        </w:rPr>
        <w:t>）、管理效率（</w:t>
      </w:r>
      <m:oMath>
        <m:r>
          <m:rPr/>
          <m:t>IC</m:t>
        </m:r>
      </m:oMath>
      <w:r>
        <w:rPr>
          <w:rFonts w:ascii="Times New Roman" w:hAnsi="Times New Roman" w:eastAsia="宋体"/>
          <w:b w:val="0"/>
          <w:sz w:val="21"/>
        </w:rPr>
        <w:t>，以内部控制质量代理）与资源配置优化（</w:t>
      </w:r>
      <m:oMath>
        <m:r>
          <m:rPr/>
          <m:t>MA</m:t>
        </m:r>
      </m:oMath>
      <w:r>
        <w:rPr>
          <w:rFonts w:ascii="Times New Roman" w:hAnsi="Times New Roman" w:eastAsia="宋体"/>
          <w:b w:val="0"/>
          <w:sz w:val="21"/>
        </w:rPr>
        <w:t>，绿色并购代理）；</w:t>
      </w:r>
      <m:oMath>
        <m:sSub>
          <m:sSubPr/>
          <m:e>
            <m:r>
              <m:rPr/>
              <m:t>β</m:t>
            </m:r>
          </m:e>
          <m:sub>
            <m:r>
              <m:rPr>
                <m:sty m:val="p"/>
              </m:rPr>
              <m:t>0</m:t>
            </m:r>
          </m:sub>
        </m:sSub>
      </m:oMath>
      <w:r>
        <w:rPr>
          <w:rFonts w:ascii="Times New Roman" w:hAnsi="Times New Roman" w:eastAsia="宋体"/>
          <w:b w:val="0"/>
          <w:sz w:val="21"/>
        </w:rPr>
        <w:t>与</w:t>
      </w:r>
      <m:oMath>
        <m:sSub>
          <m:sSubPr/>
          <m:e>
            <m:r>
              <m:rPr/>
              <m:t>θ</m:t>
            </m:r>
          </m:e>
          <m:sub>
            <m:r>
              <m:rPr>
                <m:sty m:val="p"/>
              </m:rPr>
              <m:t>0</m:t>
            </m:r>
          </m:sub>
        </m:sSub>
      </m:oMath>
      <w:r>
        <w:rPr>
          <w:rFonts w:ascii="Times New Roman" w:hAnsi="Times New Roman" w:eastAsia="宋体"/>
          <w:b w:val="0"/>
          <w:sz w:val="21"/>
        </w:rPr>
        <w:t>为截距项；</w:t>
      </w:r>
      <m:oMath>
        <m:sSub>
          <m:sSubPr/>
          <m:e>
            <m:r>
              <m:rPr/>
              <m:t>β</m:t>
            </m:r>
          </m:e>
          <m:sub>
            <m:r>
              <m:rPr>
                <m:sty m:val="p"/>
              </m:rPr>
              <m:t>1</m:t>
            </m:r>
          </m:sub>
        </m:sSub>
      </m:oMath>
      <w:r>
        <w:rPr>
          <w:rFonts w:ascii="Times New Roman" w:hAnsi="Times New Roman" w:eastAsia="宋体"/>
          <w:b w:val="0"/>
          <w:sz w:val="21"/>
        </w:rPr>
        <w:t>是式（2）中赋能对中介变量的估计系数，与式（4）中的</w:t>
      </w:r>
      <m:oMath>
        <m:r>
          <m:rPr/>
          <m:t>a</m:t>
        </m:r>
      </m:oMath>
      <w:r>
        <w:rPr>
          <w:rFonts w:ascii="Times New Roman" w:hAnsi="Times New Roman" w:eastAsia="宋体"/>
          <w:b w:val="0"/>
          <w:sz w:val="21"/>
        </w:rPr>
        <w:t>；</w:t>
      </w:r>
      <m:oMath>
        <m:sSub>
          <m:sSubPr/>
          <m:e>
            <m:r>
              <m:rPr/>
              <m:t>θ</m:t>
            </m:r>
          </m:e>
          <m:sub>
            <m:r>
              <m:rPr>
                <m:sty m:val="p"/>
              </m:rPr>
              <m:t>1</m:t>
            </m:r>
          </m:sub>
        </m:sSub>
      </m:oMath>
      <w:r>
        <w:rPr>
          <w:rFonts w:ascii="Times New Roman" w:hAnsi="Times New Roman" w:eastAsia="宋体"/>
          <w:b w:val="0"/>
          <w:sz w:val="21"/>
        </w:rPr>
        <w:t>衡量式（3）纳入中介变量后赋能对环境绩效的直接效应，与式（4）中的</w:t>
      </w:r>
      <m:oMath>
        <m:r>
          <m:rPr/>
          <m:t>c</m:t>
        </m:r>
      </m:oMath>
      <w:r>
        <w:rPr>
          <w:rFonts w:ascii="Times New Roman" w:hAnsi="Times New Roman" w:eastAsia="宋体"/>
          <w:b w:val="0"/>
          <w:sz w:val="21"/>
        </w:rPr>
        <w:t>′；</w:t>
      </w:r>
      <m:oMath>
        <m:sSub>
          <m:sSubPr/>
          <m:e>
            <m:r>
              <m:rPr/>
              <m:t>θ</m:t>
            </m:r>
          </m:e>
          <m:sub>
            <m:r>
              <m:rPr>
                <m:sty m:val="p"/>
              </m:rPr>
              <m:t>2</m:t>
            </m:r>
          </m:sub>
        </m:sSub>
      </m:oMath>
      <w:r>
        <w:rPr>
          <w:rFonts w:ascii="Times New Roman" w:hAnsi="Times New Roman" w:eastAsia="宋体"/>
          <w:b w:val="0"/>
          <w:sz w:val="21"/>
        </w:rPr>
        <w:t>是中介变量对环境绩效的系数，与式（4）中的</w:t>
      </w:r>
      <m:oMath>
        <m:r>
          <m:rPr/>
          <m:t>b</m:t>
        </m:r>
      </m:oMath>
      <w:r>
        <w:rPr>
          <w:rFonts w:ascii="Times New Roman" w:hAnsi="Times New Roman" w:eastAsia="宋体"/>
          <w:b w:val="0"/>
          <w:sz w:val="21"/>
        </w:rPr>
        <w:t>；</w:t>
      </w:r>
      <m:oMath>
        <m:sSub>
          <m:sSubPr/>
          <m:e>
            <m:r>
              <m:rPr/>
              <m:t>δ</m:t>
            </m:r>
          </m:e>
          <m:sub>
            <m:r>
              <m:rPr/>
              <m:t>j</m:t>
            </m:r>
          </m:sub>
        </m:sSub>
      </m:oMath>
      <w:r>
        <w:rPr>
          <w:rFonts w:ascii="Times New Roman" w:hAnsi="Times New Roman" w:eastAsia="宋体"/>
          <w:b w:val="0"/>
          <w:sz w:val="21"/>
        </w:rPr>
        <w:t>与</w:t>
      </w:r>
      <m:oMath>
        <m:sSub>
          <m:sSubPr/>
          <m:e>
            <m:r>
              <m:rPr/>
              <m:t>η</m:t>
            </m:r>
          </m:e>
          <m:sub>
            <m:r>
              <m:rPr/>
              <m:t>j</m:t>
            </m:r>
          </m:sub>
        </m:sSub>
      </m:oMath>
      <w:r>
        <w:rPr>
          <w:rFonts w:ascii="Times New Roman" w:hAnsi="Times New Roman" w:eastAsia="宋体"/>
          <w:b w:val="0"/>
          <w:sz w:val="21"/>
        </w:rPr>
        <w:t>分别是式（2）、式（3）中第</w:t>
      </w:r>
      <m:oMath>
        <m:r>
          <m:rPr/>
          <m:t>j</m:t>
        </m:r>
      </m:oMath>
      <w:r>
        <w:rPr>
          <w:rFonts w:ascii="Times New Roman" w:hAnsi="Times New Roman" w:eastAsia="宋体"/>
          <w:b w:val="0"/>
          <w:sz w:val="21"/>
        </w:rPr>
        <w:t>个控制变量的估计系数；</w:t>
      </w:r>
      <m:oMath>
        <m:sSub>
          <m:sSubPr/>
          <m:e>
            <m:r>
              <m:rPr/>
              <m:t>υ</m:t>
            </m:r>
          </m:e>
          <m:sub>
            <m:r>
              <m:rPr/>
              <m:t>i,t</m:t>
            </m:r>
          </m:sub>
        </m:sSub>
      </m:oMath>
      <w:r>
        <w:rPr>
          <w:rFonts w:ascii="Times New Roman" w:hAnsi="Times New Roman" w:eastAsia="宋体"/>
          <w:b w:val="0"/>
          <w:sz w:val="21"/>
        </w:rPr>
        <w:t>与</w:t>
      </w:r>
      <m:oMath>
        <m:sSub>
          <m:sSubPr/>
          <m:e>
            <m:r>
              <m:rPr/>
              <m:t>ω</m:t>
            </m:r>
          </m:e>
          <m:sub>
            <m:r>
              <m:rPr/>
              <m:t>i,t</m:t>
            </m:r>
          </m:sub>
        </m:sSub>
      </m:oMath>
      <w:r>
        <w:rPr>
          <w:rFonts w:ascii="Times New Roman" w:hAnsi="Times New Roman" w:eastAsia="宋体"/>
          <w:b w:val="0"/>
          <w:sz w:val="21"/>
        </w:rPr>
        <w:t>表示随机扰动项；其余符号同式（1）。各路径的中介效应占总效应的比例如式（4）所示：</w:t>
      </w:r>
    </w:p>
    <w:p w14:paraId="20BE6963">
      <w:pPr>
        <w:tabs>
          <w:tab w:val="center" w:pos="4819"/>
          <w:tab w:val="right" w:pos="9638"/>
        </w:tabs>
        <w:spacing w:before="100" w:after="100" w:line="240" w:lineRule="auto"/>
        <w:jc w:val="left"/>
      </w:pPr>
      <w:r>
        <w:tab/>
      </w:r>
      <m:oMath>
        <m:r>
          <m:rPr/>
          <m:t>Ratio</m:t>
        </m:r>
        <m:r>
          <m:rPr>
            <m:sty m:val="p"/>
          </m:rPr>
          <m:t>=</m:t>
        </m:r>
        <m:f>
          <m:fPr/>
          <m:num>
            <m:r>
              <m:rPr/>
              <m:t>a</m:t>
            </m:r>
            <m:r>
              <m:rPr>
                <m:sty m:val="p"/>
              </m:rPr>
              <m:t>×</m:t>
            </m:r>
            <m:r>
              <m:rPr/>
              <m:t>b</m:t>
            </m:r>
          </m:num>
          <m:den>
            <m:r>
              <m:rPr/>
              <m:t>c</m:t>
            </m:r>
          </m:den>
        </m:f>
        <m:r>
          <m:rPr>
            <m:sty m:val="p"/>
          </m:rPr>
          <m:t>×100%=</m:t>
        </m:r>
        <m:f>
          <m:fPr/>
          <m:num>
            <m:sSub>
              <m:sSubPr/>
              <m:e>
                <m:r>
                  <m:rPr/>
                  <m:t>β</m:t>
                </m:r>
              </m:e>
              <m:sub>
                <m:r>
                  <m:rPr>
                    <m:sty m:val="p"/>
                  </m:rPr>
                  <m:t>1</m:t>
                </m:r>
              </m:sub>
            </m:sSub>
            <m:r>
              <m:rPr>
                <m:sty m:val="p"/>
              </m:rPr>
              <m:t>×</m:t>
            </m:r>
            <m:sSub>
              <m:sSubPr/>
              <m:e>
                <m:r>
                  <m:rPr/>
                  <m:t>θ</m:t>
                </m:r>
              </m:e>
              <m:sub>
                <m:r>
                  <m:rPr>
                    <m:sty m:val="p"/>
                  </m:rPr>
                  <m:t>2</m:t>
                </m:r>
              </m:sub>
            </m:sSub>
          </m:num>
          <m:den>
            <m:sSub>
              <m:sSubPr/>
              <m:e>
                <m:r>
                  <m:rPr/>
                  <m:t>α</m:t>
                </m:r>
              </m:e>
              <m:sub>
                <m:r>
                  <m:rPr>
                    <m:sty m:val="p"/>
                  </m:rPr>
                  <m:t>1</m:t>
                </m:r>
              </m:sub>
            </m:sSub>
          </m:den>
        </m:f>
        <m:r>
          <m:rPr>
            <m:sty m:val="p"/>
          </m:rPr>
          <m:t>×100%</m:t>
        </m:r>
      </m:oMath>
      <w:r>
        <w:tab/>
      </w:r>
      <w:r>
        <w:t>（4）</w:t>
      </w:r>
    </w:p>
    <w:p w14:paraId="10271A52">
      <w:pPr>
        <w:spacing w:before="0" w:after="0" w:line="240" w:lineRule="auto"/>
        <w:ind w:firstLine="420" w:firstLineChars="200"/>
        <w:jc w:val="both"/>
      </w:pPr>
      <w:r>
        <w:rPr>
          <w:rFonts w:ascii="Times New Roman" w:hAnsi="Times New Roman" w:eastAsia="宋体"/>
          <w:b w:val="0"/>
          <w:sz w:val="21"/>
        </w:rPr>
        <w:t>其中：a×b为中介效应，即数智技术赋能经由中介变量传导至企业环境绩效的间接效应；c为总效应；Ratio为中介效应占总效应的比例（%），分别按绿色技术创新、管理效率与资源配置优化三条路径计算。为提高检验效力，本文进一步报告基于一阶泰勒展开标准误的Sobel检验Z值，以判断各条路径中介效应的统计显著性。</w:t>
      </w:r>
    </w:p>
    <w:p w14:paraId="1F12B38A">
      <w:pPr>
        <w:spacing w:before="120" w:after="60" w:line="240" w:lineRule="auto"/>
        <w:ind w:firstLine="210" w:firstLineChars="100"/>
        <w:jc w:val="left"/>
      </w:pPr>
      <w:r>
        <w:rPr>
          <w:rFonts w:ascii="Times New Roman" w:hAnsi="Times New Roman" w:eastAsia="黑体"/>
          <w:b w:val="0"/>
          <w:sz w:val="21"/>
        </w:rPr>
        <w:t>3.空间权重回归模型</w:t>
      </w:r>
    </w:p>
    <w:p w14:paraId="5B19D4AA">
      <w:pPr>
        <w:spacing w:before="0" w:after="0" w:line="240" w:lineRule="auto"/>
        <w:ind w:firstLine="420" w:firstLineChars="200"/>
        <w:jc w:val="both"/>
      </w:pPr>
      <w:r>
        <w:rPr>
          <w:rFonts w:ascii="Times New Roman" w:hAnsi="Times New Roman" w:eastAsia="宋体"/>
          <w:b w:val="0"/>
          <w:sz w:val="21"/>
        </w:rPr>
        <w:t>为考察数智技术赋能对企业环境绩效的跨企业溢出效应，本文以同行业（行业代码—年份）与同省份（省份—年份）其他企业的均值构造空间滞后项，建立如式（5）所示的空间权重回归模型：</w:t>
      </w:r>
    </w:p>
    <w:p w14:paraId="6A4A26E7">
      <w:pPr>
        <w:tabs>
          <w:tab w:val="center" w:pos="4819"/>
          <w:tab w:val="right" w:pos="9638"/>
        </w:tabs>
        <w:spacing w:before="100" w:after="100" w:line="240" w:lineRule="auto"/>
        <w:jc w:val="left"/>
      </w:pPr>
      <w:r>
        <w:tab/>
      </w:r>
      <m:oMath>
        <m:sSub>
          <m:sSubPr/>
          <m:e>
            <m:r>
              <m:rPr/>
              <m:t>EP</m:t>
            </m:r>
          </m:e>
          <m:sub>
            <m:r>
              <m:rPr/>
              <m:t>i,t</m:t>
            </m:r>
          </m:sub>
        </m:sSub>
        <m:r>
          <m:rPr>
            <m:sty m:val="p"/>
          </m:rPr>
          <m:t>=</m:t>
        </m:r>
        <m:r>
          <m:rPr/>
          <m:t>ρ</m:t>
        </m:r>
        <m:r>
          <m:rPr>
            <m:sty m:val="p"/>
          </m:rPr>
          <m:t>·</m:t>
        </m:r>
        <m:sSub>
          <m:sSubPr/>
          <m:e>
            <m:r>
              <m:rPr/>
              <m:t>WEP</m:t>
            </m:r>
          </m:e>
          <m:sub>
            <m:r>
              <m:rPr/>
              <m:t>i,t</m:t>
            </m:r>
          </m:sub>
        </m:sSub>
        <m:r>
          <m:rPr>
            <m:sty m:val="p"/>
          </m:rPr>
          <m:t>+</m:t>
        </m:r>
        <m:sSub>
          <m:sSubPr/>
          <m:e>
            <m:r>
              <m:rPr/>
              <m:t>β</m:t>
            </m:r>
          </m:e>
          <m:sub>
            <m:r>
              <m:rPr>
                <m:sty m:val="p"/>
              </m:rPr>
              <m:t>1</m:t>
            </m:r>
          </m:sub>
        </m:sSub>
        <m:r>
          <m:rPr>
            <m:sty m:val="p"/>
          </m:rPr>
          <m:t>·</m:t>
        </m:r>
        <m:sSub>
          <m:sSubPr/>
          <m:e>
            <m:r>
              <m:rPr/>
              <m:t>Digit</m:t>
            </m:r>
          </m:e>
          <m:sub>
            <m:r>
              <m:rPr/>
              <m:t>i,t</m:t>
            </m:r>
          </m:sub>
        </m:sSub>
        <m:r>
          <m:rPr>
            <m:sty m:val="p"/>
          </m:rPr>
          <m:t>+</m:t>
        </m:r>
        <m:r>
          <m:rPr/>
          <m:t>λ</m:t>
        </m:r>
        <m:r>
          <m:rPr>
            <m:sty m:val="p"/>
          </m:rPr>
          <m:t>·</m:t>
        </m:r>
        <m:sSub>
          <m:sSubPr/>
          <m:e>
            <m:r>
              <m:rPr/>
              <m:t>WDigit</m:t>
            </m:r>
          </m:e>
          <m:sub>
            <m:r>
              <m:rPr/>
              <m:t>i,t</m:t>
            </m:r>
          </m:sub>
        </m:sSub>
        <m:r>
          <m:rPr>
            <m:sty m:val="p"/>
          </m:rPr>
          <m:t>+</m:t>
        </m:r>
        <m:nary>
          <m:naryPr>
            <m:chr m:val="∑"/>
            <m:limLoc m:val="undOvr"/>
          </m:naryPr>
          <m:sub>
            <m:r>
              <m:rPr/>
              <m:t>j</m:t>
            </m:r>
            <m:r>
              <m:rPr>
                <m:sty m:val="p"/>
              </m:rPr>
              <m:t>=1</m:t>
            </m:r>
          </m:sub>
          <m:sup>
            <m:r>
              <m:rPr/>
              <m:t>J</m:t>
            </m:r>
          </m:sup>
          <m:e>
            <m:sSub>
              <m:sSubPr/>
              <m:e>
                <m:r>
                  <m:rPr/>
                  <m:t>φ</m:t>
                </m:r>
              </m:e>
              <m:sub>
                <m:r>
                  <m:rPr/>
                  <m:t>j</m:t>
                </m:r>
              </m:sub>
            </m:sSub>
            <m:r>
              <m:rPr>
                <m:sty m:val="p"/>
              </m:rPr>
              <m:t>·</m:t>
            </m:r>
            <m:sSub>
              <m:sSubPr/>
              <m:e>
                <m:r>
                  <m:rPr/>
                  <m:t>Controls</m:t>
                </m:r>
              </m:e>
              <m:sub>
                <m:r>
                  <m:rPr/>
                  <m:t>j,i,t</m:t>
                </m:r>
              </m:sub>
            </m:sSub>
          </m:e>
        </m:nary>
        <m:r>
          <m:rPr>
            <m:sty m:val="p"/>
          </m:rPr>
          <m:t>+</m:t>
        </m:r>
        <m:sSub>
          <m:sSubPr/>
          <m:e>
            <m:r>
              <m:rPr/>
              <m:t>μ</m:t>
            </m:r>
          </m:e>
          <m:sub>
            <m:r>
              <m:rPr/>
              <m:t>i</m:t>
            </m:r>
          </m:sub>
        </m:sSub>
        <m:r>
          <m:rPr>
            <m:sty m:val="p"/>
          </m:rPr>
          <m:t>+</m:t>
        </m:r>
        <m:sSub>
          <m:sSubPr/>
          <m:e>
            <m:r>
              <m:rPr/>
              <m:t>ν</m:t>
            </m:r>
          </m:e>
          <m:sub>
            <m:r>
              <m:rPr/>
              <m:t>t</m:t>
            </m:r>
          </m:sub>
        </m:sSub>
        <m:r>
          <m:rPr>
            <m:sty m:val="p"/>
          </m:rPr>
          <m:t>+</m:t>
        </m:r>
        <m:sSub>
          <m:sSubPr/>
          <m:e>
            <m:r>
              <m:rPr/>
              <m:t>u</m:t>
            </m:r>
          </m:e>
          <m:sub>
            <m:r>
              <m:rPr/>
              <m:t>i,t</m:t>
            </m:r>
          </m:sub>
        </m:sSub>
      </m:oMath>
      <w:r>
        <w:tab/>
      </w:r>
      <w:r>
        <w:t>（5）</w:t>
      </w:r>
    </w:p>
    <w:p w14:paraId="75B1F562">
      <w:pPr>
        <w:spacing w:before="0" w:after="0" w:line="240" w:lineRule="auto"/>
        <w:ind w:firstLine="420" w:firstLineChars="200"/>
        <w:jc w:val="both"/>
      </w:pPr>
      <w:r>
        <w:rPr>
          <w:rFonts w:ascii="Times New Roman" w:hAnsi="Times New Roman" w:eastAsia="宋体"/>
          <w:b w:val="0"/>
          <w:sz w:val="21"/>
        </w:rPr>
        <w:t>式中，</w:t>
      </w:r>
      <m:oMath>
        <m:sSub>
          <m:sSubPr/>
          <m:e>
            <m:r>
              <m:rPr/>
              <m:t>WEP</m:t>
            </m:r>
          </m:e>
          <m:sub>
            <m:r>
              <m:rPr/>
              <m:t>i,t</m:t>
            </m:r>
          </m:sub>
        </m:sSub>
      </m:oMath>
      <w:r>
        <w:rPr>
          <w:rFonts w:ascii="Times New Roman" w:hAnsi="Times New Roman" w:eastAsia="宋体"/>
          <w:b w:val="0"/>
          <w:sz w:val="21"/>
        </w:rPr>
        <w:t>与</w:t>
      </w:r>
      <m:oMath>
        <m:sSub>
          <m:sSubPr/>
          <m:e>
            <m:r>
              <m:rPr/>
              <m:t>WDigit</m:t>
            </m:r>
          </m:e>
          <m:sub>
            <m:r>
              <m:rPr/>
              <m:t>i,t</m:t>
            </m:r>
          </m:sub>
        </m:sSub>
      </m:oMath>
      <w:r>
        <w:rPr>
          <w:rFonts w:ascii="Times New Roman" w:hAnsi="Times New Roman" w:eastAsia="宋体"/>
          <w:b w:val="0"/>
          <w:sz w:val="21"/>
        </w:rPr>
        <w:t>分别是同群企业环境绩效、同群企业数智技术赋能的行标准化加权均值；</w:t>
      </w:r>
      <m:oMath>
        <m:r>
          <m:rPr/>
          <m:t>ρ</m:t>
        </m:r>
      </m:oMath>
      <w:r>
        <w:rPr>
          <w:rFonts w:ascii="Times New Roman" w:hAnsi="Times New Roman" w:eastAsia="宋体"/>
          <w:b w:val="0"/>
          <w:sz w:val="21"/>
        </w:rPr>
        <w:t>是被解释变量的空间滞后系数，衡量同群企业环境绩效的联动强度；</w:t>
      </w:r>
      <m:oMath>
        <m:sSub>
          <m:sSubPr/>
          <m:e>
            <m:r>
              <m:rPr/>
              <m:t>β</m:t>
            </m:r>
          </m:e>
          <m:sub>
            <m:r>
              <m:rPr>
                <m:sty m:val="p"/>
              </m:rPr>
              <m:t>1</m:t>
            </m:r>
          </m:sub>
        </m:sSub>
      </m:oMath>
      <w:r>
        <w:rPr>
          <w:rFonts w:ascii="Times New Roman" w:hAnsi="Times New Roman" w:eastAsia="宋体"/>
          <w:b w:val="0"/>
          <w:sz w:val="21"/>
        </w:rPr>
        <w:t>刻画企业自身赋能对自身环境绩效的直接影响（直接效应）；</w:t>
      </w:r>
      <m:oMath>
        <m:r>
          <m:rPr/>
          <m:t>λ</m:t>
        </m:r>
      </m:oMath>
      <w:r>
        <w:rPr>
          <w:rFonts w:ascii="Times New Roman" w:hAnsi="Times New Roman" w:eastAsia="宋体"/>
          <w:b w:val="0"/>
          <w:sz w:val="21"/>
        </w:rPr>
        <w:t>刻画同群企业赋能对样本企业环境绩效的影响（间接效应或溢出效应）；</w:t>
      </w:r>
      <m:oMath>
        <m:sSub>
          <m:sSubPr/>
          <m:e>
            <m:r>
              <m:rPr/>
              <m:t>φ</m:t>
            </m:r>
          </m:e>
          <m:sub>
            <m:r>
              <m:rPr/>
              <m:t>j</m:t>
            </m:r>
          </m:sub>
        </m:sSub>
      </m:oMath>
      <w:r>
        <w:rPr>
          <w:rFonts w:ascii="Times New Roman" w:hAnsi="Times New Roman" w:eastAsia="宋体"/>
          <w:b w:val="0"/>
          <w:sz w:val="21"/>
        </w:rPr>
        <w:t>为第</w:t>
      </w:r>
      <m:oMath>
        <m:r>
          <m:rPr/>
          <m:t>j</m:t>
        </m:r>
      </m:oMath>
      <w:r>
        <w:rPr>
          <w:rFonts w:ascii="Times New Roman" w:hAnsi="Times New Roman" w:eastAsia="宋体"/>
          <w:b w:val="0"/>
          <w:sz w:val="21"/>
        </w:rPr>
        <w:t>个控制变量的系数；</w:t>
      </w:r>
      <m:oMath>
        <m:sSub>
          <m:sSubPr/>
          <m:e>
            <m:r>
              <m:rPr/>
              <m:t>u</m:t>
            </m:r>
          </m:e>
          <m:sub>
            <m:r>
              <m:rPr/>
              <m:t>i,t</m:t>
            </m:r>
          </m:sub>
        </m:sSub>
      </m:oMath>
      <w:r>
        <w:rPr>
          <w:rFonts w:ascii="Times New Roman" w:hAnsi="Times New Roman" w:eastAsia="宋体"/>
          <w:b w:val="0"/>
          <w:sz w:val="21"/>
        </w:rPr>
        <w:t>表示随机扰动项；其余符号同式（1）。式（6）给出空间权重矩阵的构造方式：</w:t>
      </w:r>
    </w:p>
    <w:p w14:paraId="04582628">
      <w:pPr>
        <w:tabs>
          <w:tab w:val="center" w:pos="4819"/>
          <w:tab w:val="right" w:pos="9638"/>
        </w:tabs>
        <w:spacing w:before="100" w:after="100" w:line="240" w:lineRule="auto"/>
        <w:jc w:val="left"/>
      </w:pPr>
      <w:r>
        <w:tab/>
      </w:r>
      <m:oMath>
        <m:sSub>
          <m:sSubPr/>
          <m:e>
            <m:r>
              <m:rPr/>
              <m:t>a</m:t>
            </m:r>
          </m:e>
          <m:sub>
            <m:r>
              <m:rPr/>
              <m:t>i,k,t</m:t>
            </m:r>
          </m:sub>
        </m:sSub>
        <m:r>
          <m:rPr>
            <m:sty m:val="p"/>
          </m:rPr>
          <m:t>=1（</m:t>
        </m:r>
        <m:r>
          <m:rPr/>
          <m:t>i与k同属行业—年份或省份—年份组且i</m:t>
        </m:r>
        <m:r>
          <m:rPr>
            <m:sty m:val="p"/>
          </m:rPr>
          <m:t>≠</m:t>
        </m:r>
        <m:r>
          <m:rPr/>
          <m:t>k</m:t>
        </m:r>
        <m:r>
          <m:rPr>
            <m:sty m:val="p"/>
          </m:rPr>
          <m:t>）</m:t>
        </m:r>
        <m:sSub>
          <m:sSubPr/>
          <m:e>
            <m:r>
              <m:rPr/>
              <m:t>；a</m:t>
            </m:r>
          </m:e>
          <m:sub>
            <m:r>
              <m:rPr/>
              <m:t>i,k,t</m:t>
            </m:r>
          </m:sub>
        </m:sSub>
        <m:r>
          <m:rPr>
            <m:sty m:val="p"/>
          </m:rPr>
          <m:t>=0（</m:t>
        </m:r>
        <m:r>
          <m:rPr/>
          <m:t>其他情形</m:t>
        </m:r>
        <m:r>
          <m:rPr>
            <m:sty m:val="p"/>
          </m:rPr>
          <m:t>）</m:t>
        </m:r>
        <m:r>
          <m:rPr/>
          <m:t>；</m:t>
        </m:r>
        <m:sSub>
          <m:sSubPr/>
          <m:e>
            <m:acc>
              <m:accPr>
                <m:chr m:val="~"/>
              </m:accPr>
              <m:e>
                <m:r>
                  <m:rPr/>
                  <m:t>w</m:t>
                </m:r>
              </m:e>
            </m:acc>
          </m:e>
          <m:sub>
            <m:r>
              <m:rPr/>
              <m:t>i,k,t</m:t>
            </m:r>
          </m:sub>
        </m:sSub>
        <m:r>
          <m:rPr>
            <m:sty m:val="p"/>
          </m:rPr>
          <m:t>=</m:t>
        </m:r>
        <m:f>
          <m:fPr/>
          <m:num>
            <m:sSub>
              <m:sSubPr/>
              <m:e>
                <m:r>
                  <m:rPr/>
                  <m:t>a</m:t>
                </m:r>
              </m:e>
              <m:sub>
                <m:r>
                  <m:rPr/>
                  <m:t>i,k,t</m:t>
                </m:r>
              </m:sub>
            </m:sSub>
          </m:num>
          <m:den>
            <m:sSub>
              <m:sSubPr/>
              <m:e>
                <m:r>
                  <m:rPr/>
                  <m:t>Σ</m:t>
                </m:r>
              </m:e>
              <m:sub>
                <m:r>
                  <m:rPr/>
                  <m:t>l</m:t>
                </m:r>
              </m:sub>
            </m:sSub>
            <m:sSub>
              <m:sSubPr/>
              <m:e>
                <m:r>
                  <m:rPr/>
                  <m:t>a</m:t>
                </m:r>
              </m:e>
              <m:sub>
                <m:r>
                  <m:rPr/>
                  <m:t>i,l,t</m:t>
                </m:r>
              </m:sub>
            </m:sSub>
          </m:den>
        </m:f>
      </m:oMath>
      <w:r>
        <w:tab/>
      </w:r>
      <w:r>
        <w:t>（6）</w:t>
      </w:r>
    </w:p>
    <w:p w14:paraId="6B7A6363">
      <w:pPr>
        <w:spacing w:before="0" w:after="0" w:line="240" w:lineRule="auto"/>
        <w:ind w:firstLine="420" w:firstLineChars="200"/>
        <w:jc w:val="both"/>
      </w:pPr>
      <w:r>
        <w:rPr>
          <w:rFonts w:ascii="Times New Roman" w:hAnsi="Times New Roman" w:eastAsia="宋体"/>
          <w:b w:val="0"/>
          <w:sz w:val="21"/>
        </w:rPr>
        <w:t>式中，</w:t>
      </w:r>
      <m:oMath>
        <m:sSub>
          <m:sSubPr/>
          <m:e>
            <m:r>
              <m:rPr/>
              <m:t>a</m:t>
            </m:r>
          </m:e>
          <m:sub>
            <m:r>
              <m:rPr/>
              <m:t>i,k,t</m:t>
            </m:r>
          </m:sub>
        </m:sSub>
      </m:oMath>
      <w:r>
        <w:rPr>
          <w:rFonts w:ascii="Times New Roman" w:hAnsi="Times New Roman" w:eastAsia="宋体"/>
          <w:b w:val="0"/>
          <w:sz w:val="21"/>
        </w:rPr>
        <w:t>为第</w:t>
      </w:r>
      <m:oMath>
        <m:r>
          <m:rPr/>
          <m:t>t</m:t>
        </m:r>
      </m:oMath>
      <w:r>
        <w:rPr>
          <w:rFonts w:ascii="Times New Roman" w:hAnsi="Times New Roman" w:eastAsia="宋体"/>
          <w:b w:val="0"/>
          <w:sz w:val="21"/>
        </w:rPr>
        <w:t>年企业</w:t>
      </w:r>
      <m:oMath>
        <m:r>
          <m:rPr/>
          <m:t>i</m:t>
        </m:r>
      </m:oMath>
      <w:r>
        <w:rPr>
          <w:rFonts w:ascii="Times New Roman" w:hAnsi="Times New Roman" w:eastAsia="宋体"/>
          <w:b w:val="0"/>
          <w:sz w:val="21"/>
        </w:rPr>
        <w:t>与企业</w:t>
      </w:r>
      <m:oMath>
        <m:r>
          <m:rPr/>
          <m:t>k</m:t>
        </m:r>
      </m:oMath>
      <w:r>
        <w:rPr>
          <w:rFonts w:ascii="Times New Roman" w:hAnsi="Times New Roman" w:eastAsia="宋体"/>
          <w:b w:val="0"/>
          <w:sz w:val="21"/>
        </w:rPr>
        <w:t>间的原始邻接权重；</w:t>
      </w:r>
      <m:oMath>
        <m:sSub>
          <m:sSubPr/>
          <m:e>
            <m:acc>
              <m:accPr>
                <m:chr m:val="~"/>
              </m:accPr>
              <m:e>
                <m:r>
                  <m:rPr/>
                  <m:t>w</m:t>
                </m:r>
              </m:e>
            </m:acc>
          </m:e>
          <m:sub>
            <m:r>
              <m:rPr/>
              <m:t>i,k,t</m:t>
            </m:r>
          </m:sub>
        </m:sSub>
      </m:oMath>
      <w:r>
        <w:rPr>
          <w:rFonts w:ascii="Times New Roman" w:hAnsi="Times New Roman" w:eastAsia="宋体"/>
          <w:b w:val="0"/>
          <w:sz w:val="21"/>
        </w:rPr>
        <w:t>是行标准化后的空间权重，</w:t>
      </w:r>
      <m:oMath>
        <m:sSub>
          <m:sSubPr/>
          <m:e>
            <m:acc>
              <m:accPr>
                <m:chr m:val="~"/>
              </m:accPr>
              <m:e>
                <m:r>
                  <m:rPr/>
                  <m:t>w</m:t>
                </m:r>
              </m:e>
            </m:acc>
          </m:e>
          <m:sub>
            <m:r>
              <m:rPr/>
              <m:t>i,i,t</m:t>
            </m:r>
          </m:sub>
        </m:sSub>
      </m:oMath>
      <w:r>
        <w:rPr>
          <w:rFonts w:ascii="Times New Roman" w:hAnsi="Times New Roman" w:eastAsia="宋体"/>
          <w:b w:val="0"/>
          <w:sz w:val="21"/>
        </w:rPr>
        <w:t>=0、</w:t>
      </w:r>
      <m:oMath>
        <m:sSub>
          <m:sSubPr/>
          <m:e>
            <m:r>
              <m:rPr/>
              <m:t>Σ</m:t>
            </m:r>
          </m:e>
          <m:sub>
            <m:r>
              <m:rPr/>
              <m:t>k</m:t>
            </m:r>
          </m:sub>
        </m:sSub>
        <m:sSub>
          <m:sSubPr/>
          <m:e>
            <m:acc>
              <m:accPr>
                <m:chr m:val="~"/>
              </m:accPr>
              <m:e>
                <m:r>
                  <m:rPr/>
                  <m:t>w</m:t>
                </m:r>
              </m:e>
            </m:acc>
          </m:e>
          <m:sub>
            <m:r>
              <m:rPr/>
              <m:t>i,k,t</m:t>
            </m:r>
          </m:sub>
        </m:sSub>
      </m:oMath>
      <w:r>
        <w:rPr>
          <w:rFonts w:ascii="Times New Roman" w:hAnsi="Times New Roman" w:eastAsia="宋体"/>
          <w:b w:val="0"/>
          <w:sz w:val="21"/>
        </w:rPr>
        <w:t>=1；</w:t>
      </w:r>
      <m:oMath>
        <m:r>
          <m:rPr/>
          <m:t>l</m:t>
        </m:r>
      </m:oMath>
      <w:r>
        <w:rPr>
          <w:rFonts w:ascii="Times New Roman" w:hAnsi="Times New Roman" w:eastAsia="宋体"/>
          <w:b w:val="0"/>
          <w:sz w:val="21"/>
        </w:rPr>
        <w:t>为同一分组内的企业索引。需要说明的是，本文采用组内均值滞后形式，未估计空间误差项，也未计入</w:t>
      </w:r>
      <m:oMath>
        <m:r>
          <m:rPr/>
          <m:t>ρ</m:t>
        </m:r>
      </m:oMath>
      <w:r>
        <w:rPr>
          <w:rFonts w:ascii="Times New Roman" w:hAnsi="Times New Roman" w:eastAsia="宋体"/>
          <w:b w:val="0"/>
          <w:sz w:val="21"/>
        </w:rPr>
        <w:t>的空间反馈乘数，因此后文报告的直接效应与间接效应为相应回归系数的简化分解；行业空间权重矩阵与省份空间权重矩阵均按式（6）分别构造。</w:t>
      </w:r>
    </w:p>
    <w:p w14:paraId="63816C3A">
      <w:pPr>
        <w:spacing w:before="160" w:after="80" w:line="240" w:lineRule="auto"/>
        <w:jc w:val="left"/>
      </w:pPr>
      <w:r>
        <w:rPr>
          <w:rFonts w:ascii="Times New Roman" w:hAnsi="Times New Roman" w:eastAsia="黑体"/>
          <w:b/>
          <w:sz w:val="21"/>
        </w:rPr>
        <w:t>4.3 概念操作化：从数智技术到可测指标</w:t>
      </w:r>
    </w:p>
    <w:p w14:paraId="3D68966A">
      <w:pPr>
        <w:spacing w:before="120" w:after="60" w:line="240" w:lineRule="auto"/>
        <w:ind w:firstLine="210" w:firstLineChars="100"/>
        <w:jc w:val="left"/>
      </w:pPr>
      <w:r>
        <w:rPr>
          <w:rFonts w:ascii="Times New Roman" w:hAnsi="Times New Roman" w:eastAsia="黑体"/>
          <w:b w:val="0"/>
          <w:sz w:val="21"/>
        </w:rPr>
        <w:t>1.被解释变量</w:t>
      </w:r>
    </w:p>
    <w:p w14:paraId="3818A745">
      <w:pPr>
        <w:spacing w:before="0" w:after="0" w:line="240" w:lineRule="auto"/>
        <w:ind w:firstLine="420" w:firstLineChars="200"/>
        <w:jc w:val="both"/>
      </w:pPr>
      <w:r>
        <w:rPr>
          <w:rFonts w:ascii="Times New Roman" w:hAnsi="Times New Roman" w:eastAsia="宋体"/>
          <w:b w:val="0"/>
          <w:sz w:val="21"/>
        </w:rPr>
        <w:t>被解释变量企业环境绩效（EP）由三个维度的标准化得分等权合成。第一个维度是绿色创新产出，用当年绿色发明与实用新型两类专利的申请件数（取对数）度量；第二个是碳信息披露，以年报文本中相关关键词的出现频次（取对数）刻画；第三个是环保治理资源获取，取企业当年拿到的环境治理政府补助（同样对数化）。三个维度先按1%、99%分位缩尾，再标准化，最后等权平均为综合指数。考虑到碳信息披露词频在2020年后因“双碳”目标提出出现口径性跃升（企业均值由2019年的0.98次升至2024年的13.42次），本文在稳健性检验中剔除该维度重新合成指数。</w:t>
      </w:r>
    </w:p>
    <w:p w14:paraId="2840F51D">
      <w:pPr>
        <w:spacing w:before="0" w:after="0" w:line="240" w:lineRule="auto"/>
        <w:ind w:firstLine="420" w:firstLineChars="200"/>
        <w:jc w:val="both"/>
      </w:pPr>
      <w:r>
        <w:rPr>
          <w:rFonts w:ascii="Times New Roman" w:hAnsi="Times New Roman" w:eastAsia="宋体"/>
          <w:b w:val="0"/>
          <w:sz w:val="21"/>
        </w:rPr>
        <w:t>企业环境绩效指标体系的具体构成如表2所示。</w:t>
      </w:r>
    </w:p>
    <w:p w14:paraId="345A1EB1">
      <w:pPr>
        <w:spacing w:before="120" w:after="20" w:line="240" w:lineRule="auto"/>
        <w:jc w:val="center"/>
      </w:pPr>
      <w:r>
        <w:rPr>
          <w:rFonts w:ascii="Times New Roman" w:hAnsi="Times New Roman" w:eastAsia="黑体"/>
          <w:b w:val="0"/>
          <w:sz w:val="18"/>
        </w:rPr>
        <w:t>表2 企业环境绩效指标体系</w:t>
      </w:r>
    </w:p>
    <w:p w14:paraId="4C452379">
      <w:pPr>
        <w:spacing w:before="0" w:after="60" w:line="240" w:lineRule="auto"/>
        <w:jc w:val="center"/>
      </w:pPr>
      <w:r>
        <w:rPr>
          <w:rFonts w:ascii="Times New Roman" w:hAnsi="Times New Roman" w:eastAsia="宋体"/>
          <w:b w:val="0"/>
          <w:sz w:val="16"/>
        </w:rPr>
        <w:t>Table 2 Indicator system of corporate environmental performance</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409"/>
        <w:gridCol w:w="2409"/>
        <w:gridCol w:w="2409"/>
        <w:gridCol w:w="2411"/>
      </w:tblGrid>
      <w:tr w14:paraId="3DED9FB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8" w:space="0"/>
            </w:tcBorders>
          </w:tcPr>
          <w:p w14:paraId="29DEEB12">
            <w:pPr>
              <w:spacing w:before="0" w:after="0" w:line="240" w:lineRule="auto"/>
              <w:jc w:val="center"/>
            </w:pPr>
            <w:r>
              <w:rPr>
                <w:rFonts w:ascii="Times New Roman" w:hAnsi="Times New Roman" w:eastAsia="宋体"/>
                <w:b/>
                <w:sz w:val="15"/>
              </w:rPr>
              <w:t>测度维度</w:t>
            </w:r>
          </w:p>
        </w:tc>
        <w:tc>
          <w:tcPr>
            <w:tcW w:w="2409" w:type="dxa"/>
            <w:tcBorders>
              <w:bottom w:val="single" w:color="auto" w:sz="8" w:space="0"/>
            </w:tcBorders>
          </w:tcPr>
          <w:p w14:paraId="05CE9589">
            <w:pPr>
              <w:spacing w:before="0" w:after="0" w:line="240" w:lineRule="auto"/>
              <w:jc w:val="center"/>
            </w:pPr>
            <w:r>
              <w:rPr>
                <w:rFonts w:ascii="Times New Roman" w:hAnsi="Times New Roman" w:eastAsia="宋体"/>
                <w:b/>
                <w:sz w:val="15"/>
              </w:rPr>
              <w:t>具体指标</w:t>
            </w:r>
          </w:p>
        </w:tc>
        <w:tc>
          <w:tcPr>
            <w:tcW w:w="2409" w:type="dxa"/>
            <w:tcBorders>
              <w:bottom w:val="single" w:color="auto" w:sz="8" w:space="0"/>
            </w:tcBorders>
          </w:tcPr>
          <w:p w14:paraId="5C13B81E">
            <w:pPr>
              <w:spacing w:before="0" w:after="0" w:line="240" w:lineRule="auto"/>
              <w:jc w:val="center"/>
            </w:pPr>
            <w:r>
              <w:rPr>
                <w:rFonts w:ascii="Times New Roman" w:hAnsi="Times New Roman" w:eastAsia="宋体"/>
                <w:b/>
                <w:sz w:val="15"/>
              </w:rPr>
              <w:t>指标方向</w:t>
            </w:r>
          </w:p>
        </w:tc>
        <w:tc>
          <w:tcPr>
            <w:tcW w:w="2411" w:type="dxa"/>
            <w:tcBorders>
              <w:bottom w:val="single" w:color="auto" w:sz="8" w:space="0"/>
            </w:tcBorders>
          </w:tcPr>
          <w:p w14:paraId="545AE05F">
            <w:pPr>
              <w:spacing w:before="0" w:after="0" w:line="240" w:lineRule="auto"/>
              <w:jc w:val="center"/>
            </w:pPr>
            <w:r>
              <w:rPr>
                <w:rFonts w:ascii="Times New Roman" w:hAnsi="Times New Roman" w:eastAsia="宋体"/>
                <w:b/>
                <w:sz w:val="15"/>
              </w:rPr>
              <w:t>数据来源</w:t>
            </w:r>
          </w:p>
        </w:tc>
      </w:tr>
      <w:tr w14:paraId="696EF02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409" w:type="dxa"/>
          </w:tcPr>
          <w:p w14:paraId="3CA37C2C">
            <w:pPr>
              <w:spacing w:before="0" w:after="0" w:line="240" w:lineRule="auto"/>
              <w:jc w:val="center"/>
            </w:pPr>
            <w:r>
              <w:rPr>
                <w:rFonts w:ascii="Times New Roman" w:hAnsi="Times New Roman" w:eastAsia="宋体"/>
                <w:b w:val="0"/>
                <w:sz w:val="15"/>
              </w:rPr>
              <w:t>绿色创新产出</w:t>
            </w:r>
          </w:p>
        </w:tc>
        <w:tc>
          <w:tcPr>
            <w:tcW w:w="2409" w:type="dxa"/>
          </w:tcPr>
          <w:p w14:paraId="340FAF79">
            <w:pPr>
              <w:spacing w:before="0" w:after="0" w:line="240" w:lineRule="auto"/>
              <w:jc w:val="center"/>
            </w:pPr>
            <w:r>
              <w:rPr>
                <w:rFonts w:ascii="Times New Roman" w:hAnsi="Times New Roman" w:eastAsia="宋体"/>
                <w:b w:val="0"/>
                <w:sz w:val="15"/>
              </w:rPr>
              <w:t>当年绿色发明与绿色实用新型专利申请总量（加1取对数）</w:t>
            </w:r>
          </w:p>
        </w:tc>
        <w:tc>
          <w:tcPr>
            <w:tcW w:w="2409" w:type="dxa"/>
          </w:tcPr>
          <w:p w14:paraId="7DDE56B2">
            <w:pPr>
              <w:spacing w:before="0" w:after="0" w:line="240" w:lineRule="auto"/>
              <w:jc w:val="center"/>
            </w:pPr>
            <w:r>
              <w:rPr>
                <w:rFonts w:ascii="Times New Roman" w:hAnsi="Times New Roman" w:eastAsia="宋体"/>
                <w:b w:val="0"/>
                <w:sz w:val="15"/>
              </w:rPr>
              <w:t>正向</w:t>
            </w:r>
          </w:p>
        </w:tc>
        <w:tc>
          <w:tcPr>
            <w:tcW w:w="2411" w:type="dxa"/>
          </w:tcPr>
          <w:p w14:paraId="473DC6B7">
            <w:pPr>
              <w:spacing w:before="0" w:after="0" w:line="240" w:lineRule="auto"/>
              <w:jc w:val="center"/>
            </w:pPr>
            <w:r>
              <w:rPr>
                <w:rFonts w:ascii="Times New Roman" w:hAnsi="Times New Roman" w:eastAsia="宋体"/>
                <w:b w:val="0"/>
                <w:sz w:val="15"/>
              </w:rPr>
              <w:t>上市公司绿色专利申请情况</w:t>
            </w:r>
          </w:p>
        </w:tc>
      </w:tr>
      <w:tr w14:paraId="2A15030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409" w:type="dxa"/>
          </w:tcPr>
          <w:p w14:paraId="7F914E14">
            <w:pPr>
              <w:spacing w:before="0" w:after="0" w:line="240" w:lineRule="auto"/>
              <w:jc w:val="center"/>
            </w:pPr>
            <w:r>
              <w:rPr>
                <w:rFonts w:ascii="Times New Roman" w:hAnsi="Times New Roman" w:eastAsia="宋体"/>
                <w:b w:val="0"/>
                <w:sz w:val="15"/>
              </w:rPr>
              <w:t>碳信息披露</w:t>
            </w:r>
          </w:p>
        </w:tc>
        <w:tc>
          <w:tcPr>
            <w:tcW w:w="2409" w:type="dxa"/>
          </w:tcPr>
          <w:p w14:paraId="2E50C692">
            <w:pPr>
              <w:spacing w:before="0" w:after="0" w:line="240" w:lineRule="auto"/>
              <w:jc w:val="center"/>
            </w:pPr>
            <w:r>
              <w:rPr>
                <w:rFonts w:ascii="Times New Roman" w:hAnsi="Times New Roman" w:eastAsia="宋体"/>
                <w:b w:val="0"/>
                <w:sz w:val="15"/>
              </w:rPr>
              <w:t>年报碳信息披露关键词词频（加1取对数）</w:t>
            </w:r>
          </w:p>
        </w:tc>
        <w:tc>
          <w:tcPr>
            <w:tcW w:w="2409" w:type="dxa"/>
          </w:tcPr>
          <w:p w14:paraId="2BD0C9D2">
            <w:pPr>
              <w:spacing w:before="0" w:after="0" w:line="240" w:lineRule="auto"/>
              <w:jc w:val="center"/>
            </w:pPr>
            <w:r>
              <w:rPr>
                <w:rFonts w:ascii="Times New Roman" w:hAnsi="Times New Roman" w:eastAsia="宋体"/>
                <w:b w:val="0"/>
                <w:sz w:val="15"/>
              </w:rPr>
              <w:t>正向</w:t>
            </w:r>
          </w:p>
        </w:tc>
        <w:tc>
          <w:tcPr>
            <w:tcW w:w="2411" w:type="dxa"/>
          </w:tcPr>
          <w:p w14:paraId="17409F7A">
            <w:pPr>
              <w:spacing w:before="0" w:after="0" w:line="240" w:lineRule="auto"/>
              <w:jc w:val="center"/>
            </w:pPr>
            <w:r>
              <w:rPr>
                <w:rFonts w:ascii="Times New Roman" w:hAnsi="Times New Roman" w:eastAsia="宋体"/>
                <w:b w:val="0"/>
                <w:sz w:val="15"/>
              </w:rPr>
              <w:t>年报碳信息披露词频表</w:t>
            </w:r>
          </w:p>
        </w:tc>
      </w:tr>
      <w:tr w14:paraId="65E143AD">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409" w:type="dxa"/>
          </w:tcPr>
          <w:p w14:paraId="68431E97">
            <w:pPr>
              <w:spacing w:before="0" w:after="0" w:line="240" w:lineRule="auto"/>
              <w:jc w:val="center"/>
            </w:pPr>
            <w:r>
              <w:rPr>
                <w:rFonts w:ascii="Times New Roman" w:hAnsi="Times New Roman" w:eastAsia="宋体"/>
                <w:b w:val="0"/>
                <w:sz w:val="15"/>
              </w:rPr>
              <w:t>环保治理投入</w:t>
            </w:r>
          </w:p>
        </w:tc>
        <w:tc>
          <w:tcPr>
            <w:tcW w:w="2409" w:type="dxa"/>
          </w:tcPr>
          <w:p w14:paraId="7DD8E0E8">
            <w:pPr>
              <w:spacing w:before="0" w:after="0" w:line="240" w:lineRule="auto"/>
              <w:jc w:val="center"/>
            </w:pPr>
            <w:r>
              <w:rPr>
                <w:rFonts w:ascii="Times New Roman" w:hAnsi="Times New Roman" w:eastAsia="宋体"/>
                <w:b w:val="0"/>
                <w:sz w:val="15"/>
              </w:rPr>
              <w:t>当年环境治理政府补助金额（加1取对数）</w:t>
            </w:r>
          </w:p>
        </w:tc>
        <w:tc>
          <w:tcPr>
            <w:tcW w:w="2409" w:type="dxa"/>
          </w:tcPr>
          <w:p w14:paraId="6F4427ED">
            <w:pPr>
              <w:spacing w:before="0" w:after="0" w:line="240" w:lineRule="auto"/>
              <w:jc w:val="center"/>
            </w:pPr>
            <w:r>
              <w:rPr>
                <w:rFonts w:ascii="Times New Roman" w:hAnsi="Times New Roman" w:eastAsia="宋体"/>
                <w:b w:val="0"/>
                <w:sz w:val="15"/>
              </w:rPr>
              <w:t>正向</w:t>
            </w:r>
          </w:p>
        </w:tc>
        <w:tc>
          <w:tcPr>
            <w:tcW w:w="2411" w:type="dxa"/>
          </w:tcPr>
          <w:p w14:paraId="4FBE4728">
            <w:pPr>
              <w:spacing w:before="0" w:after="0" w:line="240" w:lineRule="auto"/>
              <w:jc w:val="center"/>
            </w:pPr>
            <w:r>
              <w:rPr>
                <w:rFonts w:ascii="Times New Roman" w:hAnsi="Times New Roman" w:eastAsia="宋体"/>
                <w:b w:val="0"/>
                <w:sz w:val="15"/>
              </w:rPr>
              <w:t>上市公司环境治理补助</w:t>
            </w:r>
          </w:p>
        </w:tc>
      </w:tr>
    </w:tbl>
    <w:p w14:paraId="52200704">
      <w:pPr>
        <w:spacing w:before="40" w:after="120" w:line="240" w:lineRule="auto"/>
        <w:ind w:firstLine="180" w:firstLineChars="100"/>
        <w:jc w:val="left"/>
      </w:pPr>
      <w:r>
        <w:rPr>
          <w:rFonts w:ascii="Times New Roman" w:hAnsi="Times New Roman" w:eastAsia="宋体"/>
          <w:b w:val="0"/>
          <w:sz w:val="18"/>
        </w:rPr>
        <w:t>注：各维度指标先按两端1%缩尾，再标准化，等权平均合成综合指数；稳健性检验中剔除碳信息披露维度重新合成。</w:t>
      </w:r>
    </w:p>
    <w:p w14:paraId="6786C347">
      <w:pPr>
        <w:spacing w:before="0" w:after="0" w:line="240" w:lineRule="auto"/>
        <w:ind w:firstLine="420" w:firstLineChars="200"/>
        <w:jc w:val="both"/>
      </w:pPr>
      <w:r>
        <w:rPr>
          <w:rFonts w:ascii="Times New Roman" w:hAnsi="Times New Roman" w:eastAsia="宋体"/>
          <w:b w:val="0"/>
          <w:sz w:val="21"/>
        </w:rPr>
        <w:t>本文主要变量的定义与测度方法汇总于表3。</w:t>
      </w:r>
    </w:p>
    <w:p w14:paraId="4312E41E">
      <w:pPr>
        <w:spacing w:before="120" w:after="20" w:line="240" w:lineRule="auto"/>
        <w:jc w:val="center"/>
      </w:pPr>
      <w:r>
        <w:rPr>
          <w:rFonts w:ascii="Times New Roman" w:hAnsi="Times New Roman" w:eastAsia="黑体"/>
          <w:b w:val="0"/>
          <w:sz w:val="18"/>
        </w:rPr>
        <w:t>表3 变量定义与测度方法</w:t>
      </w:r>
    </w:p>
    <w:p w14:paraId="0A9AF28F">
      <w:pPr>
        <w:spacing w:before="0" w:after="60" w:line="240" w:lineRule="auto"/>
        <w:jc w:val="center"/>
      </w:pPr>
      <w:r>
        <w:rPr>
          <w:rFonts w:ascii="Times New Roman" w:hAnsi="Times New Roman" w:eastAsia="宋体"/>
          <w:b w:val="0"/>
          <w:sz w:val="16"/>
        </w:rPr>
        <w:t>Table 3 Variable definitions and measurement</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31"/>
        <w:gridCol w:w="1881"/>
        <w:gridCol w:w="1371"/>
        <w:gridCol w:w="4655"/>
      </w:tblGrid>
      <w:tr w14:paraId="41A7458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Borders>
              <w:bottom w:val="single" w:color="auto" w:sz="8" w:space="0"/>
            </w:tcBorders>
          </w:tcPr>
          <w:p w14:paraId="3DBC5C57">
            <w:pPr>
              <w:spacing w:before="0" w:after="0" w:line="240" w:lineRule="auto"/>
              <w:jc w:val="center"/>
            </w:pPr>
            <w:r>
              <w:rPr>
                <w:rFonts w:ascii="Times New Roman" w:hAnsi="Times New Roman" w:eastAsia="宋体"/>
                <w:b/>
                <w:sz w:val="14"/>
              </w:rPr>
              <w:t>变量类型</w:t>
            </w:r>
          </w:p>
        </w:tc>
        <w:tc>
          <w:tcPr>
            <w:tcW w:w="1881" w:type="dxa"/>
            <w:tcBorders>
              <w:bottom w:val="single" w:color="auto" w:sz="8" w:space="0"/>
            </w:tcBorders>
          </w:tcPr>
          <w:p w14:paraId="1186EEE3">
            <w:pPr>
              <w:spacing w:before="0" w:after="0" w:line="240" w:lineRule="auto"/>
              <w:jc w:val="center"/>
            </w:pPr>
            <w:r>
              <w:rPr>
                <w:rFonts w:ascii="Times New Roman" w:hAnsi="Times New Roman" w:eastAsia="宋体"/>
                <w:b/>
                <w:sz w:val="14"/>
              </w:rPr>
              <w:t>变量名称</w:t>
            </w:r>
          </w:p>
        </w:tc>
        <w:tc>
          <w:tcPr>
            <w:tcW w:w="1371" w:type="dxa"/>
            <w:tcBorders>
              <w:bottom w:val="single" w:color="auto" w:sz="8" w:space="0"/>
            </w:tcBorders>
          </w:tcPr>
          <w:p w14:paraId="588AB332">
            <w:pPr>
              <w:spacing w:before="0" w:after="0" w:line="240" w:lineRule="auto"/>
              <w:jc w:val="center"/>
            </w:pPr>
            <w:r>
              <w:rPr>
                <w:rFonts w:ascii="Times New Roman" w:hAnsi="Times New Roman" w:eastAsia="宋体"/>
                <w:b/>
                <w:sz w:val="14"/>
              </w:rPr>
              <w:t>符号</w:t>
            </w:r>
          </w:p>
        </w:tc>
        <w:tc>
          <w:tcPr>
            <w:tcW w:w="4655" w:type="dxa"/>
            <w:tcBorders>
              <w:bottom w:val="single" w:color="auto" w:sz="8" w:space="0"/>
            </w:tcBorders>
          </w:tcPr>
          <w:p w14:paraId="3026C430">
            <w:pPr>
              <w:spacing w:before="0" w:after="0" w:line="240" w:lineRule="auto"/>
              <w:jc w:val="center"/>
            </w:pPr>
            <w:r>
              <w:rPr>
                <w:rFonts w:ascii="Times New Roman" w:hAnsi="Times New Roman" w:eastAsia="宋体"/>
                <w:b/>
                <w:sz w:val="14"/>
              </w:rPr>
              <w:t>测度方法</w:t>
            </w:r>
          </w:p>
        </w:tc>
      </w:tr>
      <w:tr w14:paraId="490F695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5EE28937">
            <w:pPr>
              <w:spacing w:before="0" w:after="0" w:line="240" w:lineRule="auto"/>
              <w:jc w:val="center"/>
            </w:pPr>
            <w:r>
              <w:rPr>
                <w:rFonts w:ascii="Times New Roman" w:hAnsi="Times New Roman" w:eastAsia="宋体"/>
                <w:b w:val="0"/>
                <w:sz w:val="14"/>
              </w:rPr>
              <w:t>被解释变量</w:t>
            </w:r>
          </w:p>
        </w:tc>
        <w:tc>
          <w:tcPr>
            <w:tcW w:w="1881" w:type="dxa"/>
          </w:tcPr>
          <w:p w14:paraId="1AFC292C">
            <w:pPr>
              <w:spacing w:before="0" w:after="0" w:line="240" w:lineRule="auto"/>
              <w:jc w:val="center"/>
            </w:pPr>
            <w:r>
              <w:rPr>
                <w:rFonts w:ascii="Times New Roman" w:hAnsi="Times New Roman" w:eastAsia="宋体"/>
                <w:b w:val="0"/>
                <w:sz w:val="14"/>
              </w:rPr>
              <w:t>企业环境绩效</w:t>
            </w:r>
          </w:p>
        </w:tc>
        <w:tc>
          <w:tcPr>
            <w:tcW w:w="1371" w:type="dxa"/>
          </w:tcPr>
          <w:p w14:paraId="2D6D11D2">
            <w:pPr>
              <w:spacing w:before="0" w:after="0" w:line="240" w:lineRule="auto"/>
              <w:jc w:val="center"/>
            </w:pPr>
            <w:r>
              <w:rPr>
                <w:rFonts w:ascii="Times New Roman" w:hAnsi="Times New Roman" w:eastAsia="宋体"/>
                <w:b w:val="0"/>
                <w:sz w:val="14"/>
              </w:rPr>
              <w:t>EP</w:t>
            </w:r>
          </w:p>
        </w:tc>
        <w:tc>
          <w:tcPr>
            <w:tcW w:w="4655" w:type="dxa"/>
          </w:tcPr>
          <w:p w14:paraId="3AAC6FF2">
            <w:pPr>
              <w:spacing w:before="0" w:after="0" w:line="240" w:lineRule="auto"/>
              <w:jc w:val="center"/>
            </w:pPr>
            <w:r>
              <w:rPr>
                <w:rFonts w:ascii="Times New Roman" w:hAnsi="Times New Roman" w:eastAsia="宋体"/>
                <w:b w:val="0"/>
                <w:sz w:val="14"/>
              </w:rPr>
              <w:t>绿色创新产出、碳信息披露、环保治理投入三维度标准化后等权平均</w:t>
            </w:r>
          </w:p>
        </w:tc>
      </w:tr>
      <w:tr w14:paraId="2825E43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28FF7428">
            <w:pPr>
              <w:spacing w:before="0" w:after="0" w:line="240" w:lineRule="auto"/>
              <w:jc w:val="center"/>
            </w:pPr>
            <w:r>
              <w:rPr>
                <w:rFonts w:ascii="Times New Roman" w:hAnsi="Times New Roman" w:eastAsia="宋体"/>
                <w:b w:val="0"/>
                <w:sz w:val="14"/>
              </w:rPr>
              <w:t>核心解释变量</w:t>
            </w:r>
          </w:p>
        </w:tc>
        <w:tc>
          <w:tcPr>
            <w:tcW w:w="1881" w:type="dxa"/>
          </w:tcPr>
          <w:p w14:paraId="632B2143">
            <w:pPr>
              <w:spacing w:before="0" w:after="0" w:line="240" w:lineRule="auto"/>
              <w:jc w:val="center"/>
            </w:pPr>
            <w:r>
              <w:rPr>
                <w:rFonts w:ascii="Times New Roman" w:hAnsi="Times New Roman" w:eastAsia="宋体"/>
                <w:b w:val="0"/>
                <w:sz w:val="14"/>
              </w:rPr>
              <w:t>数智技术赋能</w:t>
            </w:r>
          </w:p>
        </w:tc>
        <w:tc>
          <w:tcPr>
            <w:tcW w:w="1371" w:type="dxa"/>
          </w:tcPr>
          <w:p w14:paraId="4DA1204E">
            <w:pPr>
              <w:spacing w:before="0" w:after="0" w:line="240" w:lineRule="auto"/>
              <w:jc w:val="center"/>
            </w:pPr>
            <w:r>
              <w:rPr>
                <w:rFonts w:ascii="Times New Roman" w:hAnsi="Times New Roman" w:eastAsia="宋体"/>
                <w:b w:val="0"/>
                <w:sz w:val="14"/>
              </w:rPr>
              <w:t>Digit</w:t>
            </w:r>
          </w:p>
        </w:tc>
        <w:tc>
          <w:tcPr>
            <w:tcW w:w="4655" w:type="dxa"/>
          </w:tcPr>
          <w:p w14:paraId="4FA106DF">
            <w:pPr>
              <w:spacing w:before="0" w:after="0" w:line="240" w:lineRule="auto"/>
              <w:jc w:val="center"/>
            </w:pPr>
            <w:r>
              <w:rPr>
                <w:rFonts w:ascii="Times New Roman" w:hAnsi="Times New Roman" w:eastAsia="宋体"/>
                <w:b w:val="0"/>
                <w:sz w:val="14"/>
              </w:rPr>
              <w:t>数字化转型关键词词频与数字化无形资产占比标准化后等权平均</w:t>
            </w:r>
          </w:p>
        </w:tc>
      </w:tr>
      <w:tr w14:paraId="687CE88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731" w:type="dxa"/>
          </w:tcPr>
          <w:p w14:paraId="70BD0EC9">
            <w:pPr>
              <w:spacing w:before="0" w:after="0" w:line="240" w:lineRule="auto"/>
              <w:jc w:val="center"/>
            </w:pPr>
            <w:r>
              <w:rPr>
                <w:rFonts w:ascii="Times New Roman" w:hAnsi="Times New Roman" w:eastAsia="宋体"/>
                <w:b w:val="0"/>
                <w:sz w:val="14"/>
              </w:rPr>
              <w:t>中介变量</w:t>
            </w:r>
          </w:p>
        </w:tc>
        <w:tc>
          <w:tcPr>
            <w:tcW w:w="1881" w:type="dxa"/>
          </w:tcPr>
          <w:p w14:paraId="7920343A">
            <w:pPr>
              <w:spacing w:before="0" w:after="0" w:line="240" w:lineRule="auto"/>
              <w:jc w:val="center"/>
            </w:pPr>
            <w:r>
              <w:rPr>
                <w:rFonts w:ascii="Times New Roman" w:hAnsi="Times New Roman" w:eastAsia="宋体"/>
                <w:b w:val="0"/>
                <w:sz w:val="14"/>
              </w:rPr>
              <w:t>绿色技术创新</w:t>
            </w:r>
          </w:p>
        </w:tc>
        <w:tc>
          <w:tcPr>
            <w:tcW w:w="1371" w:type="dxa"/>
          </w:tcPr>
          <w:p w14:paraId="4FA2E5C5">
            <w:pPr>
              <w:spacing w:before="0" w:after="0" w:line="240" w:lineRule="auto"/>
              <w:jc w:val="center"/>
            </w:pPr>
            <w:r>
              <w:rPr>
                <w:rFonts w:ascii="Times New Roman" w:hAnsi="Times New Roman" w:eastAsia="宋体"/>
                <w:b w:val="0"/>
                <w:sz w:val="14"/>
              </w:rPr>
              <w:t>GreenTech</w:t>
            </w:r>
          </w:p>
        </w:tc>
        <w:tc>
          <w:tcPr>
            <w:tcW w:w="4655" w:type="dxa"/>
          </w:tcPr>
          <w:p w14:paraId="26DEB641">
            <w:pPr>
              <w:spacing w:before="0" w:after="0" w:line="240" w:lineRule="auto"/>
              <w:jc w:val="center"/>
            </w:pPr>
            <w:r>
              <w:rPr>
                <w:rFonts w:ascii="Times New Roman" w:hAnsi="Times New Roman" w:eastAsia="宋体"/>
                <w:b w:val="0"/>
                <w:sz w:val="14"/>
              </w:rPr>
              <w:t>当年绿色专利（发明+实用新型）获得量加1取对数</w:t>
            </w:r>
          </w:p>
        </w:tc>
      </w:tr>
      <w:tr w14:paraId="14145E0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6CFAD63C">
            <w:pPr>
              <w:spacing w:before="0" w:after="0" w:line="240" w:lineRule="auto"/>
              <w:jc w:val="center"/>
            </w:pPr>
            <w:r>
              <w:rPr>
                <w:rFonts w:ascii="Times New Roman" w:hAnsi="Times New Roman" w:eastAsia="宋体"/>
                <w:b w:val="0"/>
                <w:sz w:val="14"/>
              </w:rPr>
              <w:t>中介变量</w:t>
            </w:r>
          </w:p>
        </w:tc>
        <w:tc>
          <w:tcPr>
            <w:tcW w:w="1881" w:type="dxa"/>
          </w:tcPr>
          <w:p w14:paraId="74EE8230">
            <w:pPr>
              <w:spacing w:before="0" w:after="0" w:line="240" w:lineRule="auto"/>
              <w:jc w:val="center"/>
            </w:pPr>
            <w:r>
              <w:rPr>
                <w:rFonts w:ascii="Times New Roman" w:hAnsi="Times New Roman" w:eastAsia="宋体"/>
                <w:b w:val="0"/>
                <w:sz w:val="14"/>
              </w:rPr>
              <w:t>管理效率</w:t>
            </w:r>
          </w:p>
        </w:tc>
        <w:tc>
          <w:tcPr>
            <w:tcW w:w="1371" w:type="dxa"/>
          </w:tcPr>
          <w:p w14:paraId="7E4041B4">
            <w:pPr>
              <w:spacing w:before="0" w:after="0" w:line="240" w:lineRule="auto"/>
              <w:jc w:val="center"/>
            </w:pPr>
            <w:r>
              <w:rPr>
                <w:rFonts w:ascii="Times New Roman" w:hAnsi="Times New Roman" w:eastAsia="宋体"/>
                <w:b w:val="0"/>
                <w:sz w:val="14"/>
              </w:rPr>
              <w:t>IC</w:t>
            </w:r>
          </w:p>
        </w:tc>
        <w:tc>
          <w:tcPr>
            <w:tcW w:w="4655" w:type="dxa"/>
          </w:tcPr>
          <w:p w14:paraId="56A3534A">
            <w:pPr>
              <w:spacing w:before="0" w:after="0" w:line="240" w:lineRule="auto"/>
              <w:jc w:val="center"/>
            </w:pPr>
            <w:r>
              <w:rPr>
                <w:rFonts w:ascii="Times New Roman" w:hAnsi="Times New Roman" w:eastAsia="宋体"/>
                <w:b w:val="0"/>
                <w:sz w:val="14"/>
              </w:rPr>
              <w:t>内控评价报告披露、内控有效、内控改进计划三项得分之和（0—3分）</w:t>
            </w:r>
          </w:p>
        </w:tc>
      </w:tr>
      <w:tr w14:paraId="63E6667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4F5B907A">
            <w:pPr>
              <w:spacing w:before="0" w:after="0" w:line="240" w:lineRule="auto"/>
              <w:jc w:val="center"/>
            </w:pPr>
            <w:r>
              <w:rPr>
                <w:rFonts w:ascii="Times New Roman" w:hAnsi="Times New Roman" w:eastAsia="宋体"/>
                <w:b w:val="0"/>
                <w:sz w:val="14"/>
              </w:rPr>
              <w:t>中介变量</w:t>
            </w:r>
          </w:p>
        </w:tc>
        <w:tc>
          <w:tcPr>
            <w:tcW w:w="1881" w:type="dxa"/>
          </w:tcPr>
          <w:p w14:paraId="626DBBA8">
            <w:pPr>
              <w:spacing w:before="0" w:after="0" w:line="240" w:lineRule="auto"/>
              <w:jc w:val="center"/>
            </w:pPr>
            <w:r>
              <w:rPr>
                <w:rFonts w:ascii="Times New Roman" w:hAnsi="Times New Roman" w:eastAsia="宋体"/>
                <w:b w:val="0"/>
                <w:sz w:val="14"/>
              </w:rPr>
              <w:t>资源配置优化</w:t>
            </w:r>
          </w:p>
        </w:tc>
        <w:tc>
          <w:tcPr>
            <w:tcW w:w="1371" w:type="dxa"/>
          </w:tcPr>
          <w:p w14:paraId="3455A421">
            <w:pPr>
              <w:spacing w:before="0" w:after="0" w:line="240" w:lineRule="auto"/>
              <w:jc w:val="center"/>
            </w:pPr>
            <w:r>
              <w:rPr>
                <w:rFonts w:ascii="Times New Roman" w:hAnsi="Times New Roman" w:eastAsia="宋体"/>
                <w:b w:val="0"/>
                <w:sz w:val="14"/>
              </w:rPr>
              <w:t>MA</w:t>
            </w:r>
          </w:p>
        </w:tc>
        <w:tc>
          <w:tcPr>
            <w:tcW w:w="4655" w:type="dxa"/>
          </w:tcPr>
          <w:p w14:paraId="0B891205">
            <w:pPr>
              <w:spacing w:before="0" w:after="0" w:line="240" w:lineRule="auto"/>
              <w:jc w:val="center"/>
            </w:pPr>
            <w:r>
              <w:rPr>
                <w:rFonts w:ascii="Times New Roman" w:hAnsi="Times New Roman" w:eastAsia="宋体"/>
                <w:b w:val="0"/>
                <w:sz w:val="14"/>
              </w:rPr>
              <w:t>当年首次公告的绿色并购事件数量加1取对数</w:t>
            </w:r>
          </w:p>
        </w:tc>
      </w:tr>
      <w:tr w14:paraId="4755240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2E828593">
            <w:pPr>
              <w:spacing w:before="0" w:after="0" w:line="240" w:lineRule="auto"/>
              <w:jc w:val="center"/>
            </w:pPr>
            <w:r>
              <w:rPr>
                <w:rFonts w:ascii="Times New Roman" w:hAnsi="Times New Roman" w:eastAsia="宋体"/>
                <w:b w:val="0"/>
                <w:sz w:val="14"/>
              </w:rPr>
              <w:t>控制变量</w:t>
            </w:r>
          </w:p>
        </w:tc>
        <w:tc>
          <w:tcPr>
            <w:tcW w:w="1881" w:type="dxa"/>
          </w:tcPr>
          <w:p w14:paraId="1F23A1B8">
            <w:pPr>
              <w:spacing w:before="0" w:after="0" w:line="240" w:lineRule="auto"/>
              <w:jc w:val="center"/>
            </w:pPr>
            <w:r>
              <w:rPr>
                <w:rFonts w:ascii="Times New Roman" w:hAnsi="Times New Roman" w:eastAsia="宋体"/>
                <w:b w:val="0"/>
                <w:sz w:val="14"/>
              </w:rPr>
              <w:t>企业规模</w:t>
            </w:r>
          </w:p>
        </w:tc>
        <w:tc>
          <w:tcPr>
            <w:tcW w:w="1371" w:type="dxa"/>
          </w:tcPr>
          <w:p w14:paraId="3EBAF73A">
            <w:pPr>
              <w:spacing w:before="0" w:after="0" w:line="240" w:lineRule="auto"/>
              <w:jc w:val="center"/>
            </w:pPr>
            <w:r>
              <w:rPr>
                <w:rFonts w:ascii="Times New Roman" w:hAnsi="Times New Roman" w:eastAsia="宋体"/>
                <w:b w:val="0"/>
                <w:sz w:val="14"/>
              </w:rPr>
              <w:t>Size</w:t>
            </w:r>
          </w:p>
        </w:tc>
        <w:tc>
          <w:tcPr>
            <w:tcW w:w="4655" w:type="dxa"/>
          </w:tcPr>
          <w:p w14:paraId="4157ED8C">
            <w:pPr>
              <w:spacing w:before="0" w:after="0" w:line="240" w:lineRule="auto"/>
              <w:jc w:val="center"/>
            </w:pPr>
            <w:r>
              <w:rPr>
                <w:rFonts w:ascii="Times New Roman" w:hAnsi="Times New Roman" w:eastAsia="宋体"/>
                <w:b w:val="0"/>
                <w:sz w:val="14"/>
              </w:rPr>
              <w:t>年末总资产的自然对数</w:t>
            </w:r>
          </w:p>
        </w:tc>
      </w:tr>
      <w:tr w14:paraId="558293F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731" w:type="dxa"/>
          </w:tcPr>
          <w:p w14:paraId="0214DE80">
            <w:pPr>
              <w:spacing w:before="0" w:after="0" w:line="240" w:lineRule="auto"/>
              <w:jc w:val="center"/>
            </w:pPr>
            <w:r>
              <w:rPr>
                <w:rFonts w:ascii="Times New Roman" w:hAnsi="Times New Roman" w:eastAsia="宋体"/>
                <w:b w:val="0"/>
                <w:sz w:val="14"/>
              </w:rPr>
              <w:t>控制变量</w:t>
            </w:r>
          </w:p>
        </w:tc>
        <w:tc>
          <w:tcPr>
            <w:tcW w:w="1881" w:type="dxa"/>
          </w:tcPr>
          <w:p w14:paraId="3A7DFFEF">
            <w:pPr>
              <w:spacing w:before="0" w:after="0" w:line="240" w:lineRule="auto"/>
              <w:jc w:val="center"/>
            </w:pPr>
            <w:r>
              <w:rPr>
                <w:rFonts w:ascii="Times New Roman" w:hAnsi="Times New Roman" w:eastAsia="宋体"/>
                <w:b w:val="0"/>
                <w:sz w:val="14"/>
              </w:rPr>
              <w:t>资产负债率</w:t>
            </w:r>
          </w:p>
        </w:tc>
        <w:tc>
          <w:tcPr>
            <w:tcW w:w="1371" w:type="dxa"/>
          </w:tcPr>
          <w:p w14:paraId="6B8E96CF">
            <w:pPr>
              <w:spacing w:before="0" w:after="0" w:line="240" w:lineRule="auto"/>
              <w:jc w:val="center"/>
            </w:pPr>
            <w:r>
              <w:rPr>
                <w:rFonts w:ascii="Times New Roman" w:hAnsi="Times New Roman" w:eastAsia="宋体"/>
                <w:b w:val="0"/>
                <w:sz w:val="14"/>
              </w:rPr>
              <w:t>Lev</w:t>
            </w:r>
          </w:p>
        </w:tc>
        <w:tc>
          <w:tcPr>
            <w:tcW w:w="4655" w:type="dxa"/>
          </w:tcPr>
          <w:p w14:paraId="0400B4F6">
            <w:pPr>
              <w:spacing w:before="0" w:after="0" w:line="240" w:lineRule="auto"/>
              <w:jc w:val="center"/>
            </w:pPr>
            <w:r>
              <w:rPr>
                <w:rFonts w:ascii="Times New Roman" w:hAnsi="Times New Roman" w:eastAsia="宋体"/>
                <w:b w:val="0"/>
                <w:sz w:val="14"/>
              </w:rPr>
              <w:t>年末总负债/总资产</w:t>
            </w:r>
          </w:p>
        </w:tc>
      </w:tr>
      <w:tr w14:paraId="269CB6C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799383E9">
            <w:pPr>
              <w:spacing w:before="0" w:after="0" w:line="240" w:lineRule="auto"/>
              <w:jc w:val="center"/>
            </w:pPr>
            <w:r>
              <w:rPr>
                <w:rFonts w:ascii="Times New Roman" w:hAnsi="Times New Roman" w:eastAsia="宋体"/>
                <w:b w:val="0"/>
                <w:sz w:val="14"/>
              </w:rPr>
              <w:t>控制变量</w:t>
            </w:r>
          </w:p>
        </w:tc>
        <w:tc>
          <w:tcPr>
            <w:tcW w:w="1881" w:type="dxa"/>
          </w:tcPr>
          <w:p w14:paraId="70AFB78F">
            <w:pPr>
              <w:spacing w:before="0" w:after="0" w:line="240" w:lineRule="auto"/>
              <w:jc w:val="center"/>
            </w:pPr>
            <w:r>
              <w:rPr>
                <w:rFonts w:ascii="Times New Roman" w:hAnsi="Times New Roman" w:eastAsia="宋体"/>
                <w:b w:val="0"/>
                <w:sz w:val="14"/>
              </w:rPr>
              <w:t>总资产收益率</w:t>
            </w:r>
          </w:p>
        </w:tc>
        <w:tc>
          <w:tcPr>
            <w:tcW w:w="1371" w:type="dxa"/>
          </w:tcPr>
          <w:p w14:paraId="51A582DA">
            <w:pPr>
              <w:spacing w:before="0" w:after="0" w:line="240" w:lineRule="auto"/>
              <w:jc w:val="center"/>
            </w:pPr>
            <w:r>
              <w:rPr>
                <w:rFonts w:ascii="Times New Roman" w:hAnsi="Times New Roman" w:eastAsia="宋体"/>
                <w:b w:val="0"/>
                <w:sz w:val="14"/>
              </w:rPr>
              <w:t>ROA</w:t>
            </w:r>
          </w:p>
        </w:tc>
        <w:tc>
          <w:tcPr>
            <w:tcW w:w="4655" w:type="dxa"/>
          </w:tcPr>
          <w:p w14:paraId="7443E457">
            <w:pPr>
              <w:spacing w:before="0" w:after="0" w:line="240" w:lineRule="auto"/>
              <w:jc w:val="center"/>
            </w:pPr>
            <w:r>
              <w:rPr>
                <w:rFonts w:ascii="Times New Roman" w:hAnsi="Times New Roman" w:eastAsia="宋体"/>
                <w:b w:val="0"/>
                <w:sz w:val="14"/>
              </w:rPr>
              <w:t>净利润/资产总计</w:t>
            </w:r>
          </w:p>
        </w:tc>
      </w:tr>
      <w:tr w14:paraId="378F20F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5544FFE4">
            <w:pPr>
              <w:spacing w:before="0" w:after="0" w:line="240" w:lineRule="auto"/>
              <w:jc w:val="center"/>
            </w:pPr>
            <w:r>
              <w:rPr>
                <w:rFonts w:ascii="Times New Roman" w:hAnsi="Times New Roman" w:eastAsia="宋体"/>
                <w:b w:val="0"/>
                <w:sz w:val="14"/>
              </w:rPr>
              <w:t>控制变量</w:t>
            </w:r>
          </w:p>
        </w:tc>
        <w:tc>
          <w:tcPr>
            <w:tcW w:w="1881" w:type="dxa"/>
          </w:tcPr>
          <w:p w14:paraId="5743C03E">
            <w:pPr>
              <w:spacing w:before="0" w:after="0" w:line="240" w:lineRule="auto"/>
              <w:jc w:val="center"/>
            </w:pPr>
            <w:r>
              <w:rPr>
                <w:rFonts w:ascii="Times New Roman" w:hAnsi="Times New Roman" w:eastAsia="宋体"/>
                <w:b w:val="0"/>
                <w:sz w:val="14"/>
              </w:rPr>
              <w:t>固定资产占比</w:t>
            </w:r>
          </w:p>
        </w:tc>
        <w:tc>
          <w:tcPr>
            <w:tcW w:w="1371" w:type="dxa"/>
          </w:tcPr>
          <w:p w14:paraId="7D76DBFB">
            <w:pPr>
              <w:spacing w:before="0" w:after="0" w:line="240" w:lineRule="auto"/>
              <w:jc w:val="center"/>
            </w:pPr>
            <w:r>
              <w:rPr>
                <w:rFonts w:ascii="Times New Roman" w:hAnsi="Times New Roman" w:eastAsia="宋体"/>
                <w:b w:val="0"/>
                <w:sz w:val="14"/>
              </w:rPr>
              <w:t>FAsset</w:t>
            </w:r>
          </w:p>
        </w:tc>
        <w:tc>
          <w:tcPr>
            <w:tcW w:w="4655" w:type="dxa"/>
          </w:tcPr>
          <w:p w14:paraId="5BC85D91">
            <w:pPr>
              <w:spacing w:before="0" w:after="0" w:line="240" w:lineRule="auto"/>
              <w:jc w:val="center"/>
            </w:pPr>
            <w:r>
              <w:rPr>
                <w:rFonts w:ascii="Times New Roman" w:hAnsi="Times New Roman" w:eastAsia="宋体"/>
                <w:b w:val="0"/>
                <w:sz w:val="14"/>
              </w:rPr>
              <w:t>固定资产/总资产</w:t>
            </w:r>
          </w:p>
        </w:tc>
      </w:tr>
      <w:tr w14:paraId="6698438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19B4BD46">
            <w:pPr>
              <w:spacing w:before="0" w:after="0" w:line="240" w:lineRule="auto"/>
              <w:jc w:val="center"/>
            </w:pPr>
            <w:r>
              <w:rPr>
                <w:rFonts w:ascii="Times New Roman" w:hAnsi="Times New Roman" w:eastAsia="宋体"/>
                <w:b w:val="0"/>
                <w:sz w:val="14"/>
              </w:rPr>
              <w:t>控制变量</w:t>
            </w:r>
          </w:p>
        </w:tc>
        <w:tc>
          <w:tcPr>
            <w:tcW w:w="1881" w:type="dxa"/>
          </w:tcPr>
          <w:p w14:paraId="6EE7BE4E">
            <w:pPr>
              <w:spacing w:before="0" w:after="0" w:line="240" w:lineRule="auto"/>
              <w:jc w:val="center"/>
            </w:pPr>
            <w:r>
              <w:rPr>
                <w:rFonts w:ascii="Times New Roman" w:hAnsi="Times New Roman" w:eastAsia="宋体"/>
                <w:b w:val="0"/>
                <w:sz w:val="14"/>
              </w:rPr>
              <w:t>营业收入增长率</w:t>
            </w:r>
          </w:p>
        </w:tc>
        <w:tc>
          <w:tcPr>
            <w:tcW w:w="1371" w:type="dxa"/>
          </w:tcPr>
          <w:p w14:paraId="0CD3723C">
            <w:pPr>
              <w:spacing w:before="0" w:after="0" w:line="240" w:lineRule="auto"/>
              <w:jc w:val="center"/>
            </w:pPr>
            <w:r>
              <w:rPr>
                <w:rFonts w:ascii="Times New Roman" w:hAnsi="Times New Roman" w:eastAsia="宋体"/>
                <w:b w:val="0"/>
                <w:sz w:val="14"/>
              </w:rPr>
              <w:t>Growth</w:t>
            </w:r>
          </w:p>
        </w:tc>
        <w:tc>
          <w:tcPr>
            <w:tcW w:w="4655" w:type="dxa"/>
          </w:tcPr>
          <w:p w14:paraId="67CFCC40">
            <w:pPr>
              <w:spacing w:before="0" w:after="0" w:line="240" w:lineRule="auto"/>
              <w:jc w:val="center"/>
            </w:pPr>
            <w:r>
              <w:rPr>
                <w:rFonts w:ascii="Times New Roman" w:hAnsi="Times New Roman" w:eastAsia="宋体"/>
                <w:b w:val="0"/>
                <w:sz w:val="14"/>
              </w:rPr>
              <w:t>营业总收入同比增速</w:t>
            </w:r>
          </w:p>
        </w:tc>
      </w:tr>
      <w:tr w14:paraId="122E8F2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731" w:type="dxa"/>
          </w:tcPr>
          <w:p w14:paraId="701D5F9A">
            <w:pPr>
              <w:spacing w:before="0" w:after="0" w:line="240" w:lineRule="auto"/>
              <w:jc w:val="center"/>
            </w:pPr>
            <w:r>
              <w:rPr>
                <w:rFonts w:ascii="Times New Roman" w:hAnsi="Times New Roman" w:eastAsia="宋体"/>
                <w:b w:val="0"/>
                <w:sz w:val="14"/>
              </w:rPr>
              <w:t>控制变量</w:t>
            </w:r>
          </w:p>
        </w:tc>
        <w:tc>
          <w:tcPr>
            <w:tcW w:w="1881" w:type="dxa"/>
          </w:tcPr>
          <w:p w14:paraId="74CDE00F">
            <w:pPr>
              <w:spacing w:before="0" w:after="0" w:line="240" w:lineRule="auto"/>
              <w:jc w:val="center"/>
            </w:pPr>
            <w:r>
              <w:rPr>
                <w:rFonts w:ascii="Times New Roman" w:hAnsi="Times New Roman" w:eastAsia="宋体"/>
                <w:b w:val="0"/>
                <w:sz w:val="14"/>
              </w:rPr>
              <w:t>无形资产占比</w:t>
            </w:r>
          </w:p>
        </w:tc>
        <w:tc>
          <w:tcPr>
            <w:tcW w:w="1371" w:type="dxa"/>
          </w:tcPr>
          <w:p w14:paraId="1F2BBE64">
            <w:pPr>
              <w:spacing w:before="0" w:after="0" w:line="240" w:lineRule="auto"/>
              <w:jc w:val="center"/>
            </w:pPr>
            <w:r>
              <w:rPr>
                <w:rFonts w:ascii="Times New Roman" w:hAnsi="Times New Roman" w:eastAsia="宋体"/>
                <w:b w:val="0"/>
                <w:sz w:val="14"/>
              </w:rPr>
              <w:t>IntAsset</w:t>
            </w:r>
          </w:p>
        </w:tc>
        <w:tc>
          <w:tcPr>
            <w:tcW w:w="4655" w:type="dxa"/>
          </w:tcPr>
          <w:p w14:paraId="712A18AA">
            <w:pPr>
              <w:spacing w:before="0" w:after="0" w:line="240" w:lineRule="auto"/>
              <w:jc w:val="center"/>
            </w:pPr>
            <w:r>
              <w:rPr>
                <w:rFonts w:ascii="Times New Roman" w:hAnsi="Times New Roman" w:eastAsia="宋体"/>
                <w:b w:val="0"/>
                <w:sz w:val="14"/>
              </w:rPr>
              <w:t>无形资产/总资产</w:t>
            </w:r>
          </w:p>
        </w:tc>
      </w:tr>
      <w:tr w14:paraId="46D450F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45F574B9">
            <w:pPr>
              <w:spacing w:before="0" w:after="0" w:line="240" w:lineRule="auto"/>
              <w:jc w:val="center"/>
            </w:pPr>
            <w:r>
              <w:rPr>
                <w:rFonts w:ascii="Times New Roman" w:hAnsi="Times New Roman" w:eastAsia="宋体"/>
                <w:b w:val="0"/>
                <w:sz w:val="14"/>
              </w:rPr>
              <w:t>控制变量</w:t>
            </w:r>
          </w:p>
        </w:tc>
        <w:tc>
          <w:tcPr>
            <w:tcW w:w="1881" w:type="dxa"/>
          </w:tcPr>
          <w:p w14:paraId="14E62692">
            <w:pPr>
              <w:spacing w:before="0" w:after="0" w:line="240" w:lineRule="auto"/>
              <w:jc w:val="center"/>
            </w:pPr>
            <w:r>
              <w:rPr>
                <w:rFonts w:ascii="Times New Roman" w:hAnsi="Times New Roman" w:eastAsia="宋体"/>
                <w:b w:val="0"/>
                <w:sz w:val="14"/>
              </w:rPr>
              <w:t>货币资金占比</w:t>
            </w:r>
          </w:p>
        </w:tc>
        <w:tc>
          <w:tcPr>
            <w:tcW w:w="1371" w:type="dxa"/>
          </w:tcPr>
          <w:p w14:paraId="63EFB065">
            <w:pPr>
              <w:spacing w:before="0" w:after="0" w:line="240" w:lineRule="auto"/>
              <w:jc w:val="center"/>
            </w:pPr>
            <w:r>
              <w:rPr>
                <w:rFonts w:ascii="Times New Roman" w:hAnsi="Times New Roman" w:eastAsia="宋体"/>
                <w:b w:val="0"/>
                <w:sz w:val="14"/>
              </w:rPr>
              <w:t>Cash</w:t>
            </w:r>
          </w:p>
        </w:tc>
        <w:tc>
          <w:tcPr>
            <w:tcW w:w="4655" w:type="dxa"/>
          </w:tcPr>
          <w:p w14:paraId="79D1D2F3">
            <w:pPr>
              <w:spacing w:before="0" w:after="0" w:line="240" w:lineRule="auto"/>
              <w:jc w:val="center"/>
            </w:pPr>
            <w:r>
              <w:rPr>
                <w:rFonts w:ascii="Times New Roman" w:hAnsi="Times New Roman" w:eastAsia="宋体"/>
                <w:b w:val="0"/>
                <w:sz w:val="14"/>
              </w:rPr>
              <w:t>货币资金/总资产</w:t>
            </w:r>
          </w:p>
        </w:tc>
      </w:tr>
      <w:tr w14:paraId="3A67D3E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588BA58C">
            <w:pPr>
              <w:spacing w:before="0" w:after="0" w:line="240" w:lineRule="auto"/>
              <w:jc w:val="center"/>
            </w:pPr>
            <w:r>
              <w:rPr>
                <w:rFonts w:ascii="Times New Roman" w:hAnsi="Times New Roman" w:eastAsia="宋体"/>
                <w:b w:val="0"/>
                <w:sz w:val="14"/>
              </w:rPr>
              <w:t>控制变量</w:t>
            </w:r>
          </w:p>
        </w:tc>
        <w:tc>
          <w:tcPr>
            <w:tcW w:w="1881" w:type="dxa"/>
          </w:tcPr>
          <w:p w14:paraId="07C9B788">
            <w:pPr>
              <w:spacing w:before="0" w:after="0" w:line="240" w:lineRule="auto"/>
              <w:jc w:val="center"/>
            </w:pPr>
            <w:r>
              <w:rPr>
                <w:rFonts w:ascii="Times New Roman" w:hAnsi="Times New Roman" w:eastAsia="宋体"/>
                <w:b w:val="0"/>
                <w:sz w:val="14"/>
              </w:rPr>
              <w:t>经营现金流占比</w:t>
            </w:r>
          </w:p>
        </w:tc>
        <w:tc>
          <w:tcPr>
            <w:tcW w:w="1371" w:type="dxa"/>
          </w:tcPr>
          <w:p w14:paraId="71B63349">
            <w:pPr>
              <w:spacing w:before="0" w:after="0" w:line="240" w:lineRule="auto"/>
              <w:jc w:val="center"/>
            </w:pPr>
            <w:r>
              <w:rPr>
                <w:rFonts w:ascii="Times New Roman" w:hAnsi="Times New Roman" w:eastAsia="宋体"/>
                <w:b w:val="0"/>
                <w:sz w:val="14"/>
              </w:rPr>
              <w:t>OCF</w:t>
            </w:r>
          </w:p>
        </w:tc>
        <w:tc>
          <w:tcPr>
            <w:tcW w:w="4655" w:type="dxa"/>
          </w:tcPr>
          <w:p w14:paraId="636E7718">
            <w:pPr>
              <w:spacing w:before="0" w:after="0" w:line="240" w:lineRule="auto"/>
              <w:jc w:val="center"/>
            </w:pPr>
            <w:r>
              <w:rPr>
                <w:rFonts w:ascii="Times New Roman" w:hAnsi="Times New Roman" w:eastAsia="宋体"/>
                <w:b w:val="0"/>
                <w:sz w:val="14"/>
              </w:rPr>
              <w:t>经营活动现金流量净额/总资产</w:t>
            </w:r>
          </w:p>
        </w:tc>
      </w:tr>
      <w:tr w14:paraId="69CC570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10FBE3D7">
            <w:pPr>
              <w:spacing w:before="0" w:after="0" w:line="240" w:lineRule="auto"/>
              <w:jc w:val="center"/>
            </w:pPr>
            <w:r>
              <w:rPr>
                <w:rFonts w:ascii="Times New Roman" w:hAnsi="Times New Roman" w:eastAsia="宋体"/>
                <w:b w:val="0"/>
                <w:sz w:val="14"/>
              </w:rPr>
              <w:t>控制变量</w:t>
            </w:r>
          </w:p>
        </w:tc>
        <w:tc>
          <w:tcPr>
            <w:tcW w:w="1881" w:type="dxa"/>
          </w:tcPr>
          <w:p w14:paraId="150EFD76">
            <w:pPr>
              <w:spacing w:before="0" w:after="0" w:line="240" w:lineRule="auto"/>
              <w:jc w:val="center"/>
            </w:pPr>
            <w:r>
              <w:rPr>
                <w:rFonts w:ascii="Times New Roman" w:hAnsi="Times New Roman" w:eastAsia="宋体"/>
                <w:b w:val="0"/>
                <w:sz w:val="14"/>
              </w:rPr>
              <w:t>审计费用</w:t>
            </w:r>
          </w:p>
        </w:tc>
        <w:tc>
          <w:tcPr>
            <w:tcW w:w="1371" w:type="dxa"/>
          </w:tcPr>
          <w:p w14:paraId="104C66CC">
            <w:pPr>
              <w:spacing w:before="0" w:after="0" w:line="240" w:lineRule="auto"/>
              <w:jc w:val="center"/>
            </w:pPr>
            <w:r>
              <w:rPr>
                <w:rFonts w:ascii="Times New Roman" w:hAnsi="Times New Roman" w:eastAsia="宋体"/>
                <w:b w:val="0"/>
                <w:sz w:val="14"/>
              </w:rPr>
              <w:t>AuditFee</w:t>
            </w:r>
          </w:p>
        </w:tc>
        <w:tc>
          <w:tcPr>
            <w:tcW w:w="4655" w:type="dxa"/>
          </w:tcPr>
          <w:p w14:paraId="3CD9B2B9">
            <w:pPr>
              <w:spacing w:before="0" w:after="0" w:line="240" w:lineRule="auto"/>
              <w:jc w:val="center"/>
            </w:pPr>
            <w:r>
              <w:rPr>
                <w:rFonts w:ascii="Times New Roman" w:hAnsi="Times New Roman" w:eastAsia="宋体"/>
                <w:b w:val="0"/>
                <w:sz w:val="14"/>
              </w:rPr>
              <w:t>审计费用加1取自然对数</w:t>
            </w:r>
          </w:p>
        </w:tc>
      </w:tr>
      <w:tr w14:paraId="6CF4EFF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731" w:type="dxa"/>
          </w:tcPr>
          <w:p w14:paraId="72E2D1E8">
            <w:pPr>
              <w:spacing w:before="0" w:after="0" w:line="240" w:lineRule="auto"/>
              <w:jc w:val="center"/>
            </w:pPr>
            <w:r>
              <w:rPr>
                <w:rFonts w:ascii="Times New Roman" w:hAnsi="Times New Roman" w:eastAsia="宋体"/>
                <w:b w:val="0"/>
                <w:sz w:val="14"/>
              </w:rPr>
              <w:t>控制变量</w:t>
            </w:r>
          </w:p>
        </w:tc>
        <w:tc>
          <w:tcPr>
            <w:tcW w:w="1881" w:type="dxa"/>
          </w:tcPr>
          <w:p w14:paraId="5099EB13">
            <w:pPr>
              <w:spacing w:before="0" w:after="0" w:line="240" w:lineRule="auto"/>
              <w:jc w:val="center"/>
            </w:pPr>
            <w:r>
              <w:rPr>
                <w:rFonts w:ascii="Times New Roman" w:hAnsi="Times New Roman" w:eastAsia="宋体"/>
                <w:b w:val="0"/>
                <w:sz w:val="14"/>
              </w:rPr>
              <w:t>审计意见</w:t>
            </w:r>
          </w:p>
        </w:tc>
        <w:tc>
          <w:tcPr>
            <w:tcW w:w="1371" w:type="dxa"/>
          </w:tcPr>
          <w:p w14:paraId="2EC63A6F">
            <w:pPr>
              <w:spacing w:before="0" w:after="0" w:line="240" w:lineRule="auto"/>
              <w:jc w:val="center"/>
            </w:pPr>
            <w:r>
              <w:rPr>
                <w:rFonts w:ascii="Times New Roman" w:hAnsi="Times New Roman" w:eastAsia="宋体"/>
                <w:b w:val="0"/>
                <w:sz w:val="14"/>
              </w:rPr>
              <w:t>Audit</w:t>
            </w:r>
          </w:p>
        </w:tc>
        <w:tc>
          <w:tcPr>
            <w:tcW w:w="4655" w:type="dxa"/>
          </w:tcPr>
          <w:p w14:paraId="74DC0293">
            <w:pPr>
              <w:spacing w:before="0" w:after="0" w:line="240" w:lineRule="auto"/>
              <w:jc w:val="center"/>
            </w:pPr>
            <w:r>
              <w:rPr>
                <w:rFonts w:ascii="Times New Roman" w:hAnsi="Times New Roman" w:eastAsia="宋体"/>
                <w:b w:val="0"/>
                <w:sz w:val="14"/>
              </w:rPr>
              <w:t>标准无保留审计意见取1，否则取0</w:t>
            </w:r>
          </w:p>
        </w:tc>
      </w:tr>
      <w:tr w14:paraId="1CF6D52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64CA11F9">
            <w:pPr>
              <w:spacing w:before="0" w:after="0" w:line="240" w:lineRule="auto"/>
              <w:jc w:val="center"/>
            </w:pPr>
            <w:r>
              <w:rPr>
                <w:rFonts w:ascii="Times New Roman" w:hAnsi="Times New Roman" w:eastAsia="宋体"/>
                <w:b w:val="0"/>
                <w:sz w:val="14"/>
              </w:rPr>
              <w:t>地区变量</w:t>
            </w:r>
          </w:p>
        </w:tc>
        <w:tc>
          <w:tcPr>
            <w:tcW w:w="1881" w:type="dxa"/>
          </w:tcPr>
          <w:p w14:paraId="2157FA46">
            <w:pPr>
              <w:spacing w:before="0" w:after="0" w:line="240" w:lineRule="auto"/>
              <w:jc w:val="center"/>
            </w:pPr>
            <w:r>
              <w:rPr>
                <w:rFonts w:ascii="Times New Roman" w:hAnsi="Times New Roman" w:eastAsia="宋体"/>
                <w:b w:val="0"/>
                <w:sz w:val="14"/>
              </w:rPr>
              <w:t>省级数字经济政策</w:t>
            </w:r>
          </w:p>
        </w:tc>
        <w:tc>
          <w:tcPr>
            <w:tcW w:w="1371" w:type="dxa"/>
          </w:tcPr>
          <w:p w14:paraId="30A0204D">
            <w:pPr>
              <w:spacing w:before="0" w:after="0" w:line="240" w:lineRule="auto"/>
              <w:jc w:val="center"/>
            </w:pPr>
            <w:r>
              <w:rPr>
                <w:rFonts w:ascii="Times New Roman" w:hAnsi="Times New Roman" w:eastAsia="宋体"/>
                <w:b w:val="0"/>
                <w:sz w:val="14"/>
              </w:rPr>
              <w:t>Policy</w:t>
            </w:r>
          </w:p>
        </w:tc>
        <w:tc>
          <w:tcPr>
            <w:tcW w:w="4655" w:type="dxa"/>
          </w:tcPr>
          <w:p w14:paraId="10E63E6C">
            <w:pPr>
              <w:spacing w:before="0" w:after="0" w:line="240" w:lineRule="auto"/>
              <w:jc w:val="center"/>
            </w:pPr>
            <w:r>
              <w:rPr>
                <w:rFonts w:ascii="Times New Roman" w:hAnsi="Times New Roman" w:eastAsia="宋体"/>
                <w:b w:val="0"/>
                <w:sz w:val="14"/>
              </w:rPr>
              <w:t>省级数字经济政策词频汇总加1取自然对数</w:t>
            </w:r>
          </w:p>
        </w:tc>
      </w:tr>
      <w:tr w14:paraId="77512DB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31" w:type="dxa"/>
          </w:tcPr>
          <w:p w14:paraId="42EA06D2">
            <w:pPr>
              <w:spacing w:before="0" w:after="0" w:line="240" w:lineRule="auto"/>
              <w:jc w:val="center"/>
            </w:pPr>
            <w:r>
              <w:rPr>
                <w:rFonts w:ascii="Times New Roman" w:hAnsi="Times New Roman" w:eastAsia="宋体"/>
                <w:b w:val="0"/>
                <w:sz w:val="14"/>
              </w:rPr>
              <w:t>地区变量</w:t>
            </w:r>
          </w:p>
        </w:tc>
        <w:tc>
          <w:tcPr>
            <w:tcW w:w="1881" w:type="dxa"/>
          </w:tcPr>
          <w:p w14:paraId="5DF2B988">
            <w:pPr>
              <w:spacing w:before="0" w:after="0" w:line="240" w:lineRule="auto"/>
              <w:jc w:val="center"/>
            </w:pPr>
            <w:r>
              <w:rPr>
                <w:rFonts w:ascii="Times New Roman" w:hAnsi="Times New Roman" w:eastAsia="宋体"/>
                <w:b w:val="0"/>
                <w:sz w:val="14"/>
              </w:rPr>
              <w:t>地方环保支出</w:t>
            </w:r>
          </w:p>
        </w:tc>
        <w:tc>
          <w:tcPr>
            <w:tcW w:w="1371" w:type="dxa"/>
          </w:tcPr>
          <w:p w14:paraId="40FC8523">
            <w:pPr>
              <w:spacing w:before="0" w:after="0" w:line="240" w:lineRule="auto"/>
              <w:jc w:val="center"/>
            </w:pPr>
            <w:r>
              <w:rPr>
                <w:rFonts w:ascii="Times New Roman" w:hAnsi="Times New Roman" w:eastAsia="宋体"/>
                <w:b w:val="0"/>
                <w:sz w:val="14"/>
              </w:rPr>
              <w:t>EnvExp</w:t>
            </w:r>
          </w:p>
        </w:tc>
        <w:tc>
          <w:tcPr>
            <w:tcW w:w="4655" w:type="dxa"/>
          </w:tcPr>
          <w:p w14:paraId="1A6B92A6">
            <w:pPr>
              <w:spacing w:before="0" w:after="0" w:line="240" w:lineRule="auto"/>
              <w:jc w:val="center"/>
            </w:pPr>
            <w:r>
              <w:rPr>
                <w:rFonts w:ascii="Times New Roman" w:hAnsi="Times New Roman" w:eastAsia="宋体"/>
                <w:b w:val="0"/>
                <w:sz w:val="14"/>
              </w:rPr>
              <w:t>地方财政环境保护支出（亿元）</w:t>
            </w:r>
          </w:p>
        </w:tc>
      </w:tr>
    </w:tbl>
    <w:p w14:paraId="2082D4EE">
      <w:pPr>
        <w:spacing w:before="40" w:after="120" w:line="240" w:lineRule="auto"/>
        <w:ind w:firstLine="180" w:firstLineChars="100"/>
        <w:jc w:val="left"/>
      </w:pPr>
      <w:r>
        <w:rPr>
          <w:rFonts w:ascii="Times New Roman" w:hAnsi="Times New Roman" w:eastAsia="宋体"/>
          <w:b w:val="0"/>
          <w:sz w:val="18"/>
        </w:rPr>
        <w:t>注：连续变量做两端各1%的缩尾；中介变量MA在2012年前无对应事件记录，按缺失处理。</w:t>
      </w:r>
    </w:p>
    <w:p w14:paraId="7BFE0141">
      <w:pPr>
        <w:spacing w:before="120" w:after="60" w:line="240" w:lineRule="auto"/>
        <w:ind w:firstLine="210" w:firstLineChars="100"/>
        <w:jc w:val="left"/>
      </w:pPr>
      <w:r>
        <w:rPr>
          <w:rFonts w:ascii="Times New Roman" w:hAnsi="Times New Roman" w:eastAsia="黑体"/>
          <w:b w:val="0"/>
          <w:sz w:val="21"/>
        </w:rPr>
        <w:t>2.核心解释变量：概念边界与操作化</w:t>
      </w:r>
    </w:p>
    <w:p w14:paraId="4E05F527">
      <w:pPr>
        <w:spacing w:before="0" w:after="0" w:line="240" w:lineRule="auto"/>
        <w:ind w:firstLine="420" w:firstLineChars="200"/>
        <w:jc w:val="both"/>
      </w:pPr>
      <w:r>
        <w:rPr>
          <w:rFonts w:ascii="Times New Roman" w:hAnsi="Times New Roman" w:eastAsia="宋体"/>
          <w:b w:val="0"/>
          <w:sz w:val="21"/>
        </w:rPr>
        <w:t>评议指出“数智技术赋能”的概念界定与测度之间存在鸿沟。本文对此作三点说明。第一，概念边界。本文把数智技术赋能理解为一种技术应用广度，即人工智能、大数据、云计算等数字智能技术进入企业生产、管理、研发与污染治理流程的程度；它刻画的是技术用得有多广，而非组织变革或战略承诺。这一口径与既有数字化转型测度文献</w:t>
      </w:r>
      <w:r>
        <w:rPr>
          <w:rFonts w:ascii="Times New Roman" w:hAnsi="Times New Roman" w:eastAsia="宋体"/>
          <w:b w:val="0"/>
          <w:sz w:val="21"/>
          <w:vertAlign w:val="superscript"/>
        </w:rPr>
        <w:t>[5-6]</w:t>
      </w:r>
      <w:r>
        <w:rPr>
          <w:rFonts w:ascii="Times New Roman" w:hAnsi="Times New Roman" w:eastAsia="宋体"/>
          <w:b w:val="0"/>
          <w:sz w:val="21"/>
        </w:rPr>
        <w:t>一致，便于横向比较。</w:t>
      </w:r>
    </w:p>
    <w:p w14:paraId="3CAB980B">
      <w:pPr>
        <w:spacing w:before="0" w:after="0" w:line="240" w:lineRule="auto"/>
        <w:ind w:firstLine="420" w:firstLineChars="200"/>
        <w:jc w:val="both"/>
      </w:pPr>
      <w:r>
        <w:rPr>
          <w:rFonts w:ascii="Times New Roman" w:hAnsi="Times New Roman" w:eastAsia="宋体"/>
          <w:b w:val="0"/>
          <w:sz w:val="21"/>
        </w:rPr>
        <w:t>第二，测度内容的技术特异性。本文的文本词频并非通用“信息化”词表，而是包含新一代智能技术专属术语。对年报文本数字化词表（共222个术语）的核验显示，其中直接指向人工智能与智能计算的术语包括“人工智能”“人工智能平台”“人工智能系统”“机器学习”“神经网络”“深度学习”“学习算法”“自然语言处理”“语音识别”“计算机视觉”“智能机器人”“智能制造”“智能数据分析”“边缘计算”“数字孪生”“云计算”“区块链”“物联网”等18类，2007—2024年累计词频达190余万次。为直接回应“测度是否体现AI特性”的疑问，本文据此单独构造“AI专属技术强度”指标（AI）——仅统计上述AI与智能计算类术语的词频并取对数，作为核心解释变量的技术特异性检验（后文将进一步报告该指标的估计结果）。</w:t>
      </w:r>
    </w:p>
    <w:p w14:paraId="1D314299">
      <w:pPr>
        <w:spacing w:before="0" w:after="0" w:line="240" w:lineRule="auto"/>
        <w:ind w:firstLine="420" w:firstLineChars="200"/>
        <w:jc w:val="both"/>
      </w:pPr>
      <w:r>
        <w:rPr>
          <w:rFonts w:ascii="Times New Roman" w:hAnsi="Times New Roman" w:eastAsia="宋体"/>
          <w:b w:val="0"/>
          <w:sz w:val="21"/>
        </w:rPr>
        <w:t>第三，测度的局限，需要说得更直白一些。年报词频记录的是“提及”，不是“落地”。现实中确有企业一边在文本中密集谈论数字化、人工智能，一边没有相应的设备、人员与研发投入，这类“纸面数字化”会让词频指标高估实际水平。反过来，真正深度部署却低调表述的企业又可能被低估。本文的应对有三层。词表限定在新一代智能技术术语，剔除通用信息化表述。指数由文本词频与数字化无形资产占比两个分量合成，后者取自财务报表，不易被文本操纵。稳健性检验中单用无形资产占比时系数为-0.0260且不显著，说明离开文本口径会损失识别力，也反过来说明两个分量各自都有盲区。此外，受词典构建时点限制，生成式人工智能、大语言模型等2022年后普及的技术覆盖不足。这些局限决定了本文的系数应读作“技术应用广度的效应”，而不是“数字化深度的效应”。</w:t>
      </w:r>
    </w:p>
    <w:p w14:paraId="2EDAB3E8">
      <w:pPr>
        <w:spacing w:before="0" w:after="0" w:line="240" w:lineRule="auto"/>
        <w:ind w:firstLine="420" w:firstLineChars="200"/>
        <w:jc w:val="both"/>
      </w:pPr>
      <w:r>
        <w:rPr>
          <w:rFonts w:ascii="Times New Roman" w:hAnsi="Times New Roman" w:eastAsia="宋体"/>
          <w:b w:val="0"/>
          <w:sz w:val="21"/>
        </w:rPr>
        <w:t>核心解释变量为数智技术赋能综合指数（Digit），由AKRD年报数字化转型关键词词频（加1取对数）与数字化无形资产占比两个维度缩尾标准化后等权平均合成；数据要素开发利用指数（2013年起可得）作为稳健性检验的替代口径。</w:t>
      </w:r>
    </w:p>
    <w:p w14:paraId="12C009B0">
      <w:pPr>
        <w:spacing w:before="120" w:after="60" w:line="240" w:lineRule="auto"/>
        <w:ind w:firstLine="210" w:firstLineChars="100"/>
        <w:jc w:val="left"/>
      </w:pPr>
      <w:r>
        <w:rPr>
          <w:rFonts w:ascii="Times New Roman" w:hAnsi="Times New Roman" w:eastAsia="黑体"/>
          <w:b w:val="0"/>
          <w:sz w:val="21"/>
        </w:rPr>
        <w:t>3.中介变量与控制变量</w:t>
      </w:r>
    </w:p>
    <w:p w14:paraId="445BC3B5">
      <w:pPr>
        <w:spacing w:before="0" w:after="0" w:line="240" w:lineRule="auto"/>
        <w:ind w:firstLine="420" w:firstLineChars="200"/>
        <w:jc w:val="both"/>
      </w:pPr>
      <w:r>
        <w:rPr>
          <w:rFonts w:ascii="Times New Roman" w:hAnsi="Times New Roman" w:eastAsia="宋体"/>
          <w:b w:val="0"/>
          <w:sz w:val="21"/>
        </w:rPr>
        <w:t>绿色技术创新用当年获得的绿色发明与实用新型专利件数之和取对数。管理效率则用内控质量得分（0—3分）刻画——该得分由内控评价报告是否披露、内控是否有效、是否提出内控改进计划三项信息加总而来，样本期为2010—2024年。</w:t>
      </w:r>
    </w:p>
    <w:p w14:paraId="374DD124">
      <w:pPr>
        <w:spacing w:before="0" w:after="0" w:line="240" w:lineRule="auto"/>
        <w:ind w:firstLine="420" w:firstLineChars="200"/>
        <w:jc w:val="both"/>
      </w:pPr>
      <w:r>
        <w:rPr>
          <w:rFonts w:ascii="Times New Roman" w:hAnsi="Times New Roman" w:eastAsia="宋体"/>
          <w:b w:val="0"/>
          <w:sz w:val="21"/>
        </w:rPr>
        <w:t>资源配置优化以当年首次公告的绿色并购事件数量（加1取对数）衡量，样本期为2012—2024年；2012年以前无事件记录，属数据缺失而非真实为零。</w:t>
      </w:r>
    </w:p>
    <w:p w14:paraId="30502B12">
      <w:pPr>
        <w:spacing w:before="0" w:after="0" w:line="240" w:lineRule="auto"/>
        <w:ind w:firstLine="420" w:firstLineChars="200"/>
        <w:jc w:val="both"/>
      </w:pPr>
      <w:r>
        <w:rPr>
          <w:rFonts w:ascii="Times New Roman" w:hAnsi="Times New Roman" w:eastAsia="宋体"/>
          <w:b w:val="0"/>
          <w:sz w:val="21"/>
        </w:rPr>
        <w:t>需要说明两个代理变量的局限。</w:t>
      </w:r>
    </w:p>
    <w:p w14:paraId="176C7BBE">
      <w:pPr>
        <w:spacing w:before="0" w:after="0" w:line="240" w:lineRule="auto"/>
        <w:ind w:firstLine="420" w:firstLineChars="200"/>
        <w:jc w:val="both"/>
      </w:pPr>
      <w:r>
        <w:rPr>
          <w:rFonts w:ascii="Times New Roman" w:hAnsi="Times New Roman" w:eastAsia="宋体"/>
          <w:b w:val="0"/>
          <w:sz w:val="21"/>
        </w:rPr>
        <w:t>绿色并购存在明显的零膨胀特征：均值0.2418，标准差0.5721，变异系数高达236.6%。内控质量得分则集中于2—3分区间，标准差0.5171，变异系数仅21.5%。两者对企业间真实差异的刻画能力都受限。</w:t>
      </w:r>
    </w:p>
    <w:p w14:paraId="7BE9CBA0">
      <w:pPr>
        <w:spacing w:before="0" w:after="0" w:line="240" w:lineRule="auto"/>
        <w:ind w:firstLine="420" w:firstLineChars="200"/>
        <w:jc w:val="both"/>
      </w:pPr>
      <w:r>
        <w:rPr>
          <w:rFonts w:ascii="Times New Roman" w:hAnsi="Times New Roman" w:eastAsia="宋体"/>
          <w:b w:val="0"/>
          <w:sz w:val="21"/>
        </w:rPr>
        <w:t>为此，稳健性检验中以总资产周转率替换管理效率代理，并报告剔除绿色创新维度后的环境绩效作为资源配置的替代口径，以检验传导路径结论对代理变量选择的敏感性。</w:t>
      </w:r>
    </w:p>
    <w:p w14:paraId="25C953BF">
      <w:pPr>
        <w:spacing w:before="0" w:after="0" w:line="240" w:lineRule="auto"/>
        <w:ind w:firstLine="420" w:firstLineChars="200"/>
        <w:jc w:val="both"/>
      </w:pPr>
      <w:r>
        <w:rPr>
          <w:rFonts w:ascii="Times New Roman" w:hAnsi="Times New Roman" w:eastAsia="宋体"/>
          <w:b w:val="0"/>
          <w:sz w:val="21"/>
        </w:rPr>
        <w:t>控制变量兼顾财务与治理两个维度，包括企业规模、资产负债率、总资产收益率、固定资产占比、营业收入增长率、无形资产占比、货币资金占比、经营现金流占比、审计费用与审计意见，以及省级数字经济政策词频与地方财政环保支出。</w:t>
      </w:r>
    </w:p>
    <w:p w14:paraId="03E28A9A">
      <w:pPr>
        <w:spacing w:before="160" w:after="80" w:line="240" w:lineRule="auto"/>
        <w:jc w:val="left"/>
      </w:pPr>
      <w:r>
        <w:rPr>
          <w:rFonts w:ascii="Times New Roman" w:hAnsi="Times New Roman" w:eastAsia="黑体"/>
          <w:b/>
          <w:sz w:val="21"/>
        </w:rPr>
        <w:t>4.4 方法可复现性说明</w:t>
      </w:r>
    </w:p>
    <w:p w14:paraId="7E2F25BE">
      <w:pPr>
        <w:spacing w:before="0" w:after="0" w:line="240" w:lineRule="auto"/>
        <w:ind w:firstLine="420" w:firstLineChars="200"/>
        <w:jc w:val="both"/>
      </w:pPr>
      <w:r>
        <w:rPr>
          <w:rFonts w:ascii="Times New Roman" w:hAnsi="Times New Roman" w:eastAsia="宋体"/>
          <w:b w:val="0"/>
          <w:sz w:val="21"/>
        </w:rPr>
        <w:t>原始数据为企业—年度层面的数据库记录，受授权约束无法公开共享。表1交代了样本筛选的每一步，表3给出全部变量的口径，依照这两张表足以复原本文样本。计算环境是 Python 3.10，用到 pandas 2.3.3、NumPy 2.2.6、SciPy 1.15.3 与 Matplotlib 3.10.9 四个库。双向固定效应以迭代去均值实现，迭代300次后收敛；标准误在企业层面聚类，以获得稳健推断。另有几项参数需要说明：连续变量两端各缩尾1%，空间权重矩阵先作行标准化，工具变量第一阶段F统计量为32.13。实证脚本与变量构造代码可向通讯作者索取。</w:t>
      </w:r>
    </w:p>
    <w:p w14:paraId="4C386582">
      <w:pPr>
        <w:spacing w:before="240" w:after="120" w:line="240" w:lineRule="auto"/>
        <w:jc w:val="left"/>
      </w:pPr>
      <w:r>
        <w:rPr>
          <w:rFonts w:ascii="Times New Roman" w:hAnsi="Times New Roman" w:eastAsia="黑体"/>
          <w:b/>
          <w:sz w:val="24"/>
        </w:rPr>
        <w:t>5 实证结果与分析</w:t>
      </w:r>
    </w:p>
    <w:p w14:paraId="707D4326">
      <w:pPr>
        <w:spacing w:before="160" w:after="80" w:line="240" w:lineRule="auto"/>
        <w:jc w:val="left"/>
      </w:pPr>
      <w:r>
        <w:rPr>
          <w:rFonts w:ascii="Times New Roman" w:hAnsi="Times New Roman" w:eastAsia="黑体"/>
          <w:b/>
          <w:sz w:val="21"/>
        </w:rPr>
        <w:t>5.1 描述性统计</w:t>
      </w:r>
    </w:p>
    <w:p w14:paraId="475CE610">
      <w:pPr>
        <w:spacing w:before="0" w:after="0" w:line="240" w:lineRule="auto"/>
        <w:ind w:firstLine="420" w:firstLineChars="200"/>
        <w:jc w:val="both"/>
      </w:pPr>
      <w:r>
        <w:rPr>
          <w:rFonts w:ascii="Times New Roman" w:hAnsi="Times New Roman" w:eastAsia="宋体"/>
          <w:b w:val="0"/>
          <w:sz w:val="21"/>
        </w:rPr>
        <w:t>表4报告主要变量的描述性统计。样本期2007—2024年，共11571个观测、1286家上市公司，覆盖31个省级地区。环境绩效综合指数均值为0，标准差0.5825，取值范围为-0.6218至2.5416。数智技术赋能指数标准差0.8221，说明企业间数智化水平差距不小。</w:t>
      </w:r>
    </w:p>
    <w:p w14:paraId="38722857">
      <w:pPr>
        <w:spacing w:before="120" w:after="20" w:line="240" w:lineRule="auto"/>
        <w:jc w:val="center"/>
      </w:pPr>
      <w:r>
        <w:rPr>
          <w:rFonts w:ascii="Times New Roman" w:hAnsi="Times New Roman" w:eastAsia="黑体"/>
          <w:b w:val="0"/>
          <w:sz w:val="18"/>
        </w:rPr>
        <w:t>表4 主要变量描述性统计（2007—2024年实证样本）</w:t>
      </w:r>
    </w:p>
    <w:p w14:paraId="58E9E3E4">
      <w:pPr>
        <w:spacing w:before="0" w:after="60" w:line="240" w:lineRule="auto"/>
        <w:jc w:val="center"/>
      </w:pPr>
      <w:r>
        <w:rPr>
          <w:rFonts w:ascii="Times New Roman" w:hAnsi="Times New Roman" w:eastAsia="宋体"/>
          <w:b w:val="0"/>
          <w:sz w:val="16"/>
        </w:rPr>
        <w:t>Table 4 Descriptive statistics of main variables (2007-2024)</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04"/>
        <w:gridCol w:w="1807"/>
        <w:gridCol w:w="1204"/>
        <w:gridCol w:w="1807"/>
        <w:gridCol w:w="1807"/>
        <w:gridCol w:w="1809"/>
      </w:tblGrid>
      <w:tr w14:paraId="0275181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Borders>
              <w:bottom w:val="single" w:color="auto" w:sz="8" w:space="0"/>
            </w:tcBorders>
          </w:tcPr>
          <w:p w14:paraId="21E2BECC">
            <w:pPr>
              <w:spacing w:before="0" w:after="0" w:line="240" w:lineRule="auto"/>
              <w:jc w:val="center"/>
            </w:pPr>
            <w:r>
              <w:rPr>
                <w:rFonts w:ascii="Times New Roman" w:hAnsi="Times New Roman" w:eastAsia="宋体"/>
                <w:b/>
                <w:sz w:val="15"/>
              </w:rPr>
              <w:t>变量</w:t>
            </w:r>
          </w:p>
        </w:tc>
        <w:tc>
          <w:tcPr>
            <w:tcW w:w="1807" w:type="dxa"/>
            <w:tcBorders>
              <w:bottom w:val="single" w:color="auto" w:sz="8" w:space="0"/>
            </w:tcBorders>
          </w:tcPr>
          <w:p w14:paraId="71BE7BDD">
            <w:pPr>
              <w:spacing w:before="0" w:after="0" w:line="240" w:lineRule="auto"/>
              <w:jc w:val="center"/>
            </w:pPr>
            <w:r>
              <w:rPr>
                <w:rFonts w:ascii="Times New Roman" w:hAnsi="Times New Roman" w:eastAsia="宋体"/>
                <w:b/>
                <w:sz w:val="15"/>
              </w:rPr>
              <w:t>观测值</w:t>
            </w:r>
          </w:p>
        </w:tc>
        <w:tc>
          <w:tcPr>
            <w:tcW w:w="1204" w:type="dxa"/>
            <w:tcBorders>
              <w:bottom w:val="single" w:color="auto" w:sz="8" w:space="0"/>
            </w:tcBorders>
          </w:tcPr>
          <w:p w14:paraId="504B06B9">
            <w:pPr>
              <w:spacing w:before="0" w:after="0" w:line="240" w:lineRule="auto"/>
              <w:jc w:val="center"/>
            </w:pPr>
            <w:r>
              <w:rPr>
                <w:rFonts w:ascii="Times New Roman" w:hAnsi="Times New Roman" w:eastAsia="宋体"/>
                <w:b/>
                <w:sz w:val="15"/>
              </w:rPr>
              <w:t>均值</w:t>
            </w:r>
          </w:p>
        </w:tc>
        <w:tc>
          <w:tcPr>
            <w:tcW w:w="1807" w:type="dxa"/>
            <w:tcBorders>
              <w:bottom w:val="single" w:color="auto" w:sz="8" w:space="0"/>
            </w:tcBorders>
          </w:tcPr>
          <w:p w14:paraId="5680D8F8">
            <w:pPr>
              <w:spacing w:before="0" w:after="0" w:line="240" w:lineRule="auto"/>
              <w:jc w:val="center"/>
            </w:pPr>
            <w:r>
              <w:rPr>
                <w:rFonts w:ascii="Times New Roman" w:hAnsi="Times New Roman" w:eastAsia="宋体"/>
                <w:b/>
                <w:sz w:val="15"/>
              </w:rPr>
              <w:t>标准差</w:t>
            </w:r>
          </w:p>
        </w:tc>
        <w:tc>
          <w:tcPr>
            <w:tcW w:w="1807" w:type="dxa"/>
            <w:tcBorders>
              <w:bottom w:val="single" w:color="auto" w:sz="8" w:space="0"/>
            </w:tcBorders>
          </w:tcPr>
          <w:p w14:paraId="1382F580">
            <w:pPr>
              <w:spacing w:before="0" w:after="0" w:line="240" w:lineRule="auto"/>
              <w:jc w:val="center"/>
            </w:pPr>
            <w:r>
              <w:rPr>
                <w:rFonts w:ascii="Times New Roman" w:hAnsi="Times New Roman" w:eastAsia="宋体"/>
                <w:b/>
                <w:sz w:val="15"/>
              </w:rPr>
              <w:t>最小值</w:t>
            </w:r>
          </w:p>
        </w:tc>
        <w:tc>
          <w:tcPr>
            <w:tcW w:w="1809" w:type="dxa"/>
            <w:tcBorders>
              <w:bottom w:val="single" w:color="auto" w:sz="8" w:space="0"/>
            </w:tcBorders>
          </w:tcPr>
          <w:p w14:paraId="3804EF4F">
            <w:pPr>
              <w:spacing w:before="0" w:after="0" w:line="240" w:lineRule="auto"/>
              <w:jc w:val="center"/>
            </w:pPr>
            <w:r>
              <w:rPr>
                <w:rFonts w:ascii="Times New Roman" w:hAnsi="Times New Roman" w:eastAsia="宋体"/>
                <w:b/>
                <w:sz w:val="15"/>
              </w:rPr>
              <w:t>最大值</w:t>
            </w:r>
          </w:p>
        </w:tc>
      </w:tr>
      <w:tr w14:paraId="4F2B0A9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72011F7B">
            <w:pPr>
              <w:spacing w:before="0" w:after="0" w:line="240" w:lineRule="auto"/>
              <w:jc w:val="center"/>
            </w:pPr>
            <w:r>
              <w:rPr>
                <w:rFonts w:ascii="Times New Roman" w:hAnsi="Times New Roman" w:eastAsia="宋体"/>
                <w:b w:val="0"/>
                <w:sz w:val="15"/>
              </w:rPr>
              <w:t>EP</w:t>
            </w:r>
          </w:p>
        </w:tc>
        <w:tc>
          <w:tcPr>
            <w:tcW w:w="1807" w:type="dxa"/>
          </w:tcPr>
          <w:p w14:paraId="208812F5">
            <w:pPr>
              <w:spacing w:before="0" w:after="0" w:line="240" w:lineRule="auto"/>
              <w:jc w:val="center"/>
            </w:pPr>
            <w:r>
              <w:rPr>
                <w:rFonts w:ascii="Times New Roman" w:hAnsi="Times New Roman" w:eastAsia="宋体"/>
                <w:b w:val="0"/>
                <w:sz w:val="15"/>
              </w:rPr>
              <w:t>11571</w:t>
            </w:r>
          </w:p>
        </w:tc>
        <w:tc>
          <w:tcPr>
            <w:tcW w:w="1204" w:type="dxa"/>
          </w:tcPr>
          <w:p w14:paraId="06122E3E">
            <w:pPr>
              <w:spacing w:before="0" w:after="0" w:line="240" w:lineRule="auto"/>
              <w:jc w:val="center"/>
            </w:pPr>
            <w:r>
              <w:rPr>
                <w:rFonts w:ascii="Times New Roman" w:hAnsi="Times New Roman" w:eastAsia="宋体"/>
                <w:b w:val="0"/>
                <w:sz w:val="15"/>
              </w:rPr>
              <w:t>0.0000</w:t>
            </w:r>
          </w:p>
        </w:tc>
        <w:tc>
          <w:tcPr>
            <w:tcW w:w="1807" w:type="dxa"/>
          </w:tcPr>
          <w:p w14:paraId="2DB1E064">
            <w:pPr>
              <w:spacing w:before="0" w:after="0" w:line="240" w:lineRule="auto"/>
              <w:jc w:val="center"/>
            </w:pPr>
            <w:r>
              <w:rPr>
                <w:rFonts w:ascii="Times New Roman" w:hAnsi="Times New Roman" w:eastAsia="宋体"/>
                <w:b w:val="0"/>
                <w:sz w:val="15"/>
              </w:rPr>
              <w:t>0.5825</w:t>
            </w:r>
          </w:p>
        </w:tc>
        <w:tc>
          <w:tcPr>
            <w:tcW w:w="1807" w:type="dxa"/>
          </w:tcPr>
          <w:p w14:paraId="55182A3C">
            <w:pPr>
              <w:spacing w:before="0" w:after="0" w:line="240" w:lineRule="auto"/>
              <w:jc w:val="center"/>
            </w:pPr>
            <w:r>
              <w:rPr>
                <w:rFonts w:ascii="Times New Roman" w:hAnsi="Times New Roman" w:eastAsia="宋体"/>
                <w:b w:val="0"/>
                <w:sz w:val="15"/>
              </w:rPr>
              <w:t>-0.6218</w:t>
            </w:r>
          </w:p>
        </w:tc>
        <w:tc>
          <w:tcPr>
            <w:tcW w:w="1809" w:type="dxa"/>
          </w:tcPr>
          <w:p w14:paraId="1C3F89C1">
            <w:pPr>
              <w:spacing w:before="0" w:after="0" w:line="240" w:lineRule="auto"/>
              <w:jc w:val="center"/>
            </w:pPr>
            <w:r>
              <w:rPr>
                <w:rFonts w:ascii="Times New Roman" w:hAnsi="Times New Roman" w:eastAsia="宋体"/>
                <w:b w:val="0"/>
                <w:sz w:val="15"/>
              </w:rPr>
              <w:t>2.5416</w:t>
            </w:r>
          </w:p>
        </w:tc>
      </w:tr>
      <w:tr w14:paraId="08B247D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5CB7E147">
            <w:pPr>
              <w:spacing w:before="0" w:after="0" w:line="240" w:lineRule="auto"/>
              <w:jc w:val="center"/>
            </w:pPr>
            <w:r>
              <w:rPr>
                <w:rFonts w:ascii="Times New Roman" w:hAnsi="Times New Roman" w:eastAsia="宋体"/>
                <w:b w:val="0"/>
                <w:sz w:val="15"/>
              </w:rPr>
              <w:t>Digit</w:t>
            </w:r>
          </w:p>
        </w:tc>
        <w:tc>
          <w:tcPr>
            <w:tcW w:w="1807" w:type="dxa"/>
          </w:tcPr>
          <w:p w14:paraId="35DDF5FE">
            <w:pPr>
              <w:spacing w:before="0" w:after="0" w:line="240" w:lineRule="auto"/>
              <w:jc w:val="center"/>
            </w:pPr>
            <w:r>
              <w:rPr>
                <w:rFonts w:ascii="Times New Roman" w:hAnsi="Times New Roman" w:eastAsia="宋体"/>
                <w:b w:val="0"/>
                <w:sz w:val="15"/>
              </w:rPr>
              <w:t>11571</w:t>
            </w:r>
          </w:p>
        </w:tc>
        <w:tc>
          <w:tcPr>
            <w:tcW w:w="1204" w:type="dxa"/>
          </w:tcPr>
          <w:p w14:paraId="4776F03F">
            <w:pPr>
              <w:spacing w:before="0" w:after="0" w:line="240" w:lineRule="auto"/>
              <w:jc w:val="center"/>
            </w:pPr>
            <w:r>
              <w:rPr>
                <w:rFonts w:ascii="Times New Roman" w:hAnsi="Times New Roman" w:eastAsia="宋体"/>
                <w:b w:val="0"/>
                <w:sz w:val="15"/>
              </w:rPr>
              <w:t>0.0000</w:t>
            </w:r>
          </w:p>
        </w:tc>
        <w:tc>
          <w:tcPr>
            <w:tcW w:w="1807" w:type="dxa"/>
          </w:tcPr>
          <w:p w14:paraId="6AEA5CEC">
            <w:pPr>
              <w:spacing w:before="0" w:after="0" w:line="240" w:lineRule="auto"/>
              <w:jc w:val="center"/>
            </w:pPr>
            <w:r>
              <w:rPr>
                <w:rFonts w:ascii="Times New Roman" w:hAnsi="Times New Roman" w:eastAsia="宋体"/>
                <w:b w:val="0"/>
                <w:sz w:val="15"/>
              </w:rPr>
              <w:t>0.8221</w:t>
            </w:r>
          </w:p>
        </w:tc>
        <w:tc>
          <w:tcPr>
            <w:tcW w:w="1807" w:type="dxa"/>
          </w:tcPr>
          <w:p w14:paraId="1F51305D">
            <w:pPr>
              <w:spacing w:before="0" w:after="0" w:line="240" w:lineRule="auto"/>
              <w:jc w:val="center"/>
            </w:pPr>
            <w:r>
              <w:rPr>
                <w:rFonts w:ascii="Times New Roman" w:hAnsi="Times New Roman" w:eastAsia="宋体"/>
                <w:b w:val="0"/>
                <w:sz w:val="15"/>
              </w:rPr>
              <w:t>-0.7564</w:t>
            </w:r>
          </w:p>
        </w:tc>
        <w:tc>
          <w:tcPr>
            <w:tcW w:w="1809" w:type="dxa"/>
          </w:tcPr>
          <w:p w14:paraId="0C7E41B8">
            <w:pPr>
              <w:spacing w:before="0" w:after="0" w:line="240" w:lineRule="auto"/>
              <w:jc w:val="center"/>
            </w:pPr>
            <w:r>
              <w:rPr>
                <w:rFonts w:ascii="Times New Roman" w:hAnsi="Times New Roman" w:eastAsia="宋体"/>
                <w:b w:val="0"/>
                <w:sz w:val="15"/>
              </w:rPr>
              <w:t>3.3696</w:t>
            </w:r>
          </w:p>
        </w:tc>
      </w:tr>
      <w:tr w14:paraId="47FCF1C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204" w:type="dxa"/>
          </w:tcPr>
          <w:p w14:paraId="1A85FBB6">
            <w:pPr>
              <w:spacing w:before="0" w:after="0" w:line="240" w:lineRule="auto"/>
              <w:jc w:val="center"/>
            </w:pPr>
            <w:r>
              <w:rPr>
                <w:rFonts w:ascii="Times New Roman" w:hAnsi="Times New Roman" w:eastAsia="宋体"/>
                <w:b w:val="0"/>
                <w:sz w:val="15"/>
              </w:rPr>
              <w:t>GreenTech</w:t>
            </w:r>
          </w:p>
        </w:tc>
        <w:tc>
          <w:tcPr>
            <w:tcW w:w="1807" w:type="dxa"/>
          </w:tcPr>
          <w:p w14:paraId="61739AAA">
            <w:pPr>
              <w:spacing w:before="0" w:after="0" w:line="240" w:lineRule="auto"/>
              <w:jc w:val="center"/>
            </w:pPr>
            <w:r>
              <w:rPr>
                <w:rFonts w:ascii="Times New Roman" w:hAnsi="Times New Roman" w:eastAsia="宋体"/>
                <w:b w:val="0"/>
                <w:sz w:val="15"/>
              </w:rPr>
              <w:t>11571</w:t>
            </w:r>
          </w:p>
        </w:tc>
        <w:tc>
          <w:tcPr>
            <w:tcW w:w="1204" w:type="dxa"/>
          </w:tcPr>
          <w:p w14:paraId="3703802A">
            <w:pPr>
              <w:spacing w:before="0" w:after="0" w:line="240" w:lineRule="auto"/>
              <w:jc w:val="center"/>
            </w:pPr>
            <w:r>
              <w:rPr>
                <w:rFonts w:ascii="Times New Roman" w:hAnsi="Times New Roman" w:eastAsia="宋体"/>
                <w:b w:val="0"/>
                <w:sz w:val="15"/>
              </w:rPr>
              <w:t>0.5615</w:t>
            </w:r>
          </w:p>
        </w:tc>
        <w:tc>
          <w:tcPr>
            <w:tcW w:w="1807" w:type="dxa"/>
          </w:tcPr>
          <w:p w14:paraId="2F2FAEB9">
            <w:pPr>
              <w:spacing w:before="0" w:after="0" w:line="240" w:lineRule="auto"/>
              <w:jc w:val="center"/>
            </w:pPr>
            <w:r>
              <w:rPr>
                <w:rFonts w:ascii="Times New Roman" w:hAnsi="Times New Roman" w:eastAsia="宋体"/>
                <w:b w:val="0"/>
                <w:sz w:val="15"/>
              </w:rPr>
              <w:t>0.9599</w:t>
            </w:r>
          </w:p>
        </w:tc>
        <w:tc>
          <w:tcPr>
            <w:tcW w:w="1807" w:type="dxa"/>
          </w:tcPr>
          <w:p w14:paraId="29A26C51">
            <w:pPr>
              <w:spacing w:before="0" w:after="0" w:line="240" w:lineRule="auto"/>
              <w:jc w:val="center"/>
            </w:pPr>
            <w:r>
              <w:rPr>
                <w:rFonts w:ascii="Times New Roman" w:hAnsi="Times New Roman" w:eastAsia="宋体"/>
                <w:b w:val="0"/>
                <w:sz w:val="15"/>
              </w:rPr>
              <w:t>0.0000</w:t>
            </w:r>
          </w:p>
        </w:tc>
        <w:tc>
          <w:tcPr>
            <w:tcW w:w="1809" w:type="dxa"/>
          </w:tcPr>
          <w:p w14:paraId="79D3B021">
            <w:pPr>
              <w:spacing w:before="0" w:after="0" w:line="240" w:lineRule="auto"/>
              <w:jc w:val="center"/>
            </w:pPr>
            <w:r>
              <w:rPr>
                <w:rFonts w:ascii="Times New Roman" w:hAnsi="Times New Roman" w:eastAsia="宋体"/>
                <w:b w:val="0"/>
                <w:sz w:val="15"/>
              </w:rPr>
              <w:t>6.2442</w:t>
            </w:r>
          </w:p>
        </w:tc>
      </w:tr>
      <w:tr w14:paraId="0A4C2AB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40987E0C">
            <w:pPr>
              <w:spacing w:before="0" w:after="0" w:line="240" w:lineRule="auto"/>
              <w:jc w:val="center"/>
            </w:pPr>
            <w:r>
              <w:rPr>
                <w:rFonts w:ascii="Times New Roman" w:hAnsi="Times New Roman" w:eastAsia="宋体"/>
                <w:b w:val="0"/>
                <w:sz w:val="15"/>
              </w:rPr>
              <w:t>IC</w:t>
            </w:r>
          </w:p>
        </w:tc>
        <w:tc>
          <w:tcPr>
            <w:tcW w:w="1807" w:type="dxa"/>
          </w:tcPr>
          <w:p w14:paraId="0630BBD1">
            <w:pPr>
              <w:spacing w:before="0" w:after="0" w:line="240" w:lineRule="auto"/>
              <w:jc w:val="center"/>
            </w:pPr>
            <w:r>
              <w:rPr>
                <w:rFonts w:ascii="Times New Roman" w:hAnsi="Times New Roman" w:eastAsia="宋体"/>
                <w:b w:val="0"/>
                <w:sz w:val="15"/>
              </w:rPr>
              <w:t>9982</w:t>
            </w:r>
          </w:p>
        </w:tc>
        <w:tc>
          <w:tcPr>
            <w:tcW w:w="1204" w:type="dxa"/>
          </w:tcPr>
          <w:p w14:paraId="7B3CF867">
            <w:pPr>
              <w:spacing w:before="0" w:after="0" w:line="240" w:lineRule="auto"/>
              <w:jc w:val="center"/>
            </w:pPr>
            <w:r>
              <w:rPr>
                <w:rFonts w:ascii="Times New Roman" w:hAnsi="Times New Roman" w:eastAsia="宋体"/>
                <w:b w:val="0"/>
                <w:sz w:val="15"/>
              </w:rPr>
              <w:t>2.4081</w:t>
            </w:r>
          </w:p>
        </w:tc>
        <w:tc>
          <w:tcPr>
            <w:tcW w:w="1807" w:type="dxa"/>
          </w:tcPr>
          <w:p w14:paraId="501F4C3A">
            <w:pPr>
              <w:spacing w:before="0" w:after="0" w:line="240" w:lineRule="auto"/>
              <w:jc w:val="center"/>
            </w:pPr>
            <w:r>
              <w:rPr>
                <w:rFonts w:ascii="Times New Roman" w:hAnsi="Times New Roman" w:eastAsia="宋体"/>
                <w:b w:val="0"/>
                <w:sz w:val="15"/>
              </w:rPr>
              <w:t>0.5171</w:t>
            </w:r>
          </w:p>
        </w:tc>
        <w:tc>
          <w:tcPr>
            <w:tcW w:w="1807" w:type="dxa"/>
          </w:tcPr>
          <w:p w14:paraId="2916AD0B">
            <w:pPr>
              <w:spacing w:before="0" w:after="0" w:line="240" w:lineRule="auto"/>
              <w:jc w:val="center"/>
            </w:pPr>
            <w:r>
              <w:rPr>
                <w:rFonts w:ascii="Times New Roman" w:hAnsi="Times New Roman" w:eastAsia="宋体"/>
                <w:b w:val="0"/>
                <w:sz w:val="15"/>
              </w:rPr>
              <w:t>1.0000</w:t>
            </w:r>
          </w:p>
        </w:tc>
        <w:tc>
          <w:tcPr>
            <w:tcW w:w="1809" w:type="dxa"/>
          </w:tcPr>
          <w:p w14:paraId="68D58B50">
            <w:pPr>
              <w:spacing w:before="0" w:after="0" w:line="240" w:lineRule="auto"/>
              <w:jc w:val="center"/>
            </w:pPr>
            <w:r>
              <w:rPr>
                <w:rFonts w:ascii="Times New Roman" w:hAnsi="Times New Roman" w:eastAsia="宋体"/>
                <w:b w:val="0"/>
                <w:sz w:val="15"/>
              </w:rPr>
              <w:t>3.0000</w:t>
            </w:r>
          </w:p>
        </w:tc>
      </w:tr>
      <w:tr w14:paraId="2377554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5201490B">
            <w:pPr>
              <w:spacing w:before="0" w:after="0" w:line="240" w:lineRule="auto"/>
              <w:jc w:val="center"/>
            </w:pPr>
            <w:r>
              <w:rPr>
                <w:rFonts w:ascii="Times New Roman" w:hAnsi="Times New Roman" w:eastAsia="宋体"/>
                <w:b w:val="0"/>
                <w:sz w:val="15"/>
              </w:rPr>
              <w:t>MA</w:t>
            </w:r>
          </w:p>
        </w:tc>
        <w:tc>
          <w:tcPr>
            <w:tcW w:w="1807" w:type="dxa"/>
          </w:tcPr>
          <w:p w14:paraId="40EB35C2">
            <w:pPr>
              <w:spacing w:before="0" w:after="0" w:line="240" w:lineRule="auto"/>
              <w:jc w:val="center"/>
            </w:pPr>
            <w:r>
              <w:rPr>
                <w:rFonts w:ascii="Times New Roman" w:hAnsi="Times New Roman" w:eastAsia="宋体"/>
                <w:b w:val="0"/>
                <w:sz w:val="15"/>
              </w:rPr>
              <w:t>11571</w:t>
            </w:r>
          </w:p>
        </w:tc>
        <w:tc>
          <w:tcPr>
            <w:tcW w:w="1204" w:type="dxa"/>
          </w:tcPr>
          <w:p w14:paraId="4ECC962B">
            <w:pPr>
              <w:spacing w:before="0" w:after="0" w:line="240" w:lineRule="auto"/>
              <w:jc w:val="center"/>
            </w:pPr>
            <w:r>
              <w:rPr>
                <w:rFonts w:ascii="Times New Roman" w:hAnsi="Times New Roman" w:eastAsia="宋体"/>
                <w:b w:val="0"/>
                <w:sz w:val="15"/>
              </w:rPr>
              <w:t>0.2418</w:t>
            </w:r>
          </w:p>
        </w:tc>
        <w:tc>
          <w:tcPr>
            <w:tcW w:w="1807" w:type="dxa"/>
          </w:tcPr>
          <w:p w14:paraId="5505039B">
            <w:pPr>
              <w:spacing w:before="0" w:after="0" w:line="240" w:lineRule="auto"/>
              <w:jc w:val="center"/>
            </w:pPr>
            <w:r>
              <w:rPr>
                <w:rFonts w:ascii="Times New Roman" w:hAnsi="Times New Roman" w:eastAsia="宋体"/>
                <w:b w:val="0"/>
                <w:sz w:val="15"/>
              </w:rPr>
              <w:t>0.5721</w:t>
            </w:r>
          </w:p>
        </w:tc>
        <w:tc>
          <w:tcPr>
            <w:tcW w:w="1807" w:type="dxa"/>
          </w:tcPr>
          <w:p w14:paraId="5EC4BC46">
            <w:pPr>
              <w:spacing w:before="0" w:after="0" w:line="240" w:lineRule="auto"/>
              <w:jc w:val="center"/>
            </w:pPr>
            <w:r>
              <w:rPr>
                <w:rFonts w:ascii="Times New Roman" w:hAnsi="Times New Roman" w:eastAsia="宋体"/>
                <w:b w:val="0"/>
                <w:sz w:val="15"/>
              </w:rPr>
              <w:t>0.0000</w:t>
            </w:r>
          </w:p>
        </w:tc>
        <w:tc>
          <w:tcPr>
            <w:tcW w:w="1809" w:type="dxa"/>
          </w:tcPr>
          <w:p w14:paraId="59C68B66">
            <w:pPr>
              <w:spacing w:before="0" w:after="0" w:line="240" w:lineRule="auto"/>
              <w:jc w:val="center"/>
            </w:pPr>
            <w:r>
              <w:rPr>
                <w:rFonts w:ascii="Times New Roman" w:hAnsi="Times New Roman" w:eastAsia="宋体"/>
                <w:b w:val="0"/>
                <w:sz w:val="15"/>
              </w:rPr>
              <w:t>5.2575</w:t>
            </w:r>
          </w:p>
        </w:tc>
      </w:tr>
      <w:tr w14:paraId="4A6A324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7FF35F10">
            <w:pPr>
              <w:spacing w:before="0" w:after="0" w:line="240" w:lineRule="auto"/>
              <w:jc w:val="center"/>
            </w:pPr>
            <w:r>
              <w:rPr>
                <w:rFonts w:ascii="Times New Roman" w:hAnsi="Times New Roman" w:eastAsia="宋体"/>
                <w:b w:val="0"/>
                <w:sz w:val="15"/>
              </w:rPr>
              <w:t>Size</w:t>
            </w:r>
          </w:p>
        </w:tc>
        <w:tc>
          <w:tcPr>
            <w:tcW w:w="1807" w:type="dxa"/>
          </w:tcPr>
          <w:p w14:paraId="75B7F62C">
            <w:pPr>
              <w:spacing w:before="0" w:after="0" w:line="240" w:lineRule="auto"/>
              <w:jc w:val="center"/>
            </w:pPr>
            <w:r>
              <w:rPr>
                <w:rFonts w:ascii="Times New Roman" w:hAnsi="Times New Roman" w:eastAsia="宋体"/>
                <w:b w:val="0"/>
                <w:sz w:val="15"/>
              </w:rPr>
              <w:t>11571</w:t>
            </w:r>
          </w:p>
        </w:tc>
        <w:tc>
          <w:tcPr>
            <w:tcW w:w="1204" w:type="dxa"/>
          </w:tcPr>
          <w:p w14:paraId="3216D101">
            <w:pPr>
              <w:spacing w:before="0" w:after="0" w:line="240" w:lineRule="auto"/>
              <w:jc w:val="center"/>
            </w:pPr>
            <w:r>
              <w:rPr>
                <w:rFonts w:ascii="Times New Roman" w:hAnsi="Times New Roman" w:eastAsia="宋体"/>
                <w:b w:val="0"/>
                <w:sz w:val="15"/>
              </w:rPr>
              <w:t>22.8194</w:t>
            </w:r>
          </w:p>
        </w:tc>
        <w:tc>
          <w:tcPr>
            <w:tcW w:w="1807" w:type="dxa"/>
          </w:tcPr>
          <w:p w14:paraId="6C0E5639">
            <w:pPr>
              <w:spacing w:before="0" w:after="0" w:line="240" w:lineRule="auto"/>
              <w:jc w:val="center"/>
            </w:pPr>
            <w:r>
              <w:rPr>
                <w:rFonts w:ascii="Times New Roman" w:hAnsi="Times New Roman" w:eastAsia="宋体"/>
                <w:b w:val="0"/>
                <w:sz w:val="15"/>
              </w:rPr>
              <w:t>1.4080</w:t>
            </w:r>
          </w:p>
        </w:tc>
        <w:tc>
          <w:tcPr>
            <w:tcW w:w="1807" w:type="dxa"/>
          </w:tcPr>
          <w:p w14:paraId="7A7C4163">
            <w:pPr>
              <w:spacing w:before="0" w:after="0" w:line="240" w:lineRule="auto"/>
              <w:jc w:val="center"/>
            </w:pPr>
            <w:r>
              <w:rPr>
                <w:rFonts w:ascii="Times New Roman" w:hAnsi="Times New Roman" w:eastAsia="宋体"/>
                <w:b w:val="0"/>
                <w:sz w:val="15"/>
              </w:rPr>
              <w:t>20.2513</w:t>
            </w:r>
          </w:p>
        </w:tc>
        <w:tc>
          <w:tcPr>
            <w:tcW w:w="1809" w:type="dxa"/>
          </w:tcPr>
          <w:p w14:paraId="6DF98988">
            <w:pPr>
              <w:spacing w:before="0" w:after="0" w:line="240" w:lineRule="auto"/>
              <w:jc w:val="center"/>
            </w:pPr>
            <w:r>
              <w:rPr>
                <w:rFonts w:ascii="Times New Roman" w:hAnsi="Times New Roman" w:eastAsia="宋体"/>
                <w:b w:val="0"/>
                <w:sz w:val="15"/>
              </w:rPr>
              <w:t>26.9026</w:t>
            </w:r>
          </w:p>
        </w:tc>
      </w:tr>
      <w:tr w14:paraId="3FA10F8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204" w:type="dxa"/>
          </w:tcPr>
          <w:p w14:paraId="617DA856">
            <w:pPr>
              <w:spacing w:before="0" w:after="0" w:line="240" w:lineRule="auto"/>
              <w:jc w:val="center"/>
            </w:pPr>
            <w:r>
              <w:rPr>
                <w:rFonts w:ascii="Times New Roman" w:hAnsi="Times New Roman" w:eastAsia="宋体"/>
                <w:b w:val="0"/>
                <w:sz w:val="15"/>
              </w:rPr>
              <w:t>Lev</w:t>
            </w:r>
          </w:p>
        </w:tc>
        <w:tc>
          <w:tcPr>
            <w:tcW w:w="1807" w:type="dxa"/>
          </w:tcPr>
          <w:p w14:paraId="1E43814E">
            <w:pPr>
              <w:spacing w:before="0" w:after="0" w:line="240" w:lineRule="auto"/>
              <w:jc w:val="center"/>
            </w:pPr>
            <w:r>
              <w:rPr>
                <w:rFonts w:ascii="Times New Roman" w:hAnsi="Times New Roman" w:eastAsia="宋体"/>
                <w:b w:val="0"/>
                <w:sz w:val="15"/>
              </w:rPr>
              <w:t>11571</w:t>
            </w:r>
          </w:p>
        </w:tc>
        <w:tc>
          <w:tcPr>
            <w:tcW w:w="1204" w:type="dxa"/>
          </w:tcPr>
          <w:p w14:paraId="512AA68D">
            <w:pPr>
              <w:spacing w:before="0" w:after="0" w:line="240" w:lineRule="auto"/>
              <w:jc w:val="center"/>
            </w:pPr>
            <w:r>
              <w:rPr>
                <w:rFonts w:ascii="Times New Roman" w:hAnsi="Times New Roman" w:eastAsia="宋体"/>
                <w:b w:val="0"/>
                <w:sz w:val="15"/>
              </w:rPr>
              <w:t>0.4813</w:t>
            </w:r>
          </w:p>
        </w:tc>
        <w:tc>
          <w:tcPr>
            <w:tcW w:w="1807" w:type="dxa"/>
          </w:tcPr>
          <w:p w14:paraId="7627316B">
            <w:pPr>
              <w:spacing w:before="0" w:after="0" w:line="240" w:lineRule="auto"/>
              <w:jc w:val="center"/>
            </w:pPr>
            <w:r>
              <w:rPr>
                <w:rFonts w:ascii="Times New Roman" w:hAnsi="Times New Roman" w:eastAsia="宋体"/>
                <w:b w:val="0"/>
                <w:sz w:val="15"/>
              </w:rPr>
              <w:t>0.1992</w:t>
            </w:r>
          </w:p>
        </w:tc>
        <w:tc>
          <w:tcPr>
            <w:tcW w:w="1807" w:type="dxa"/>
          </w:tcPr>
          <w:p w14:paraId="1A55069B">
            <w:pPr>
              <w:spacing w:before="0" w:after="0" w:line="240" w:lineRule="auto"/>
              <w:jc w:val="center"/>
            </w:pPr>
            <w:r>
              <w:rPr>
                <w:rFonts w:ascii="Times New Roman" w:hAnsi="Times New Roman" w:eastAsia="宋体"/>
                <w:b w:val="0"/>
                <w:sz w:val="15"/>
              </w:rPr>
              <w:t>0.0719</w:t>
            </w:r>
          </w:p>
        </w:tc>
        <w:tc>
          <w:tcPr>
            <w:tcW w:w="1809" w:type="dxa"/>
          </w:tcPr>
          <w:p w14:paraId="15967653">
            <w:pPr>
              <w:spacing w:before="0" w:after="0" w:line="240" w:lineRule="auto"/>
              <w:jc w:val="center"/>
            </w:pPr>
            <w:r>
              <w:rPr>
                <w:rFonts w:ascii="Times New Roman" w:hAnsi="Times New Roman" w:eastAsia="宋体"/>
                <w:b w:val="0"/>
                <w:sz w:val="15"/>
              </w:rPr>
              <w:t>0.9360</w:t>
            </w:r>
          </w:p>
        </w:tc>
      </w:tr>
      <w:tr w14:paraId="71784D6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78467CC0">
            <w:pPr>
              <w:spacing w:before="0" w:after="0" w:line="240" w:lineRule="auto"/>
              <w:jc w:val="center"/>
            </w:pPr>
            <w:r>
              <w:rPr>
                <w:rFonts w:ascii="Times New Roman" w:hAnsi="Times New Roman" w:eastAsia="宋体"/>
                <w:b w:val="0"/>
                <w:sz w:val="15"/>
              </w:rPr>
              <w:t>ROA</w:t>
            </w:r>
          </w:p>
        </w:tc>
        <w:tc>
          <w:tcPr>
            <w:tcW w:w="1807" w:type="dxa"/>
          </w:tcPr>
          <w:p w14:paraId="3D773966">
            <w:pPr>
              <w:spacing w:before="0" w:after="0" w:line="240" w:lineRule="auto"/>
              <w:jc w:val="center"/>
            </w:pPr>
            <w:r>
              <w:rPr>
                <w:rFonts w:ascii="Times New Roman" w:hAnsi="Times New Roman" w:eastAsia="宋体"/>
                <w:b w:val="0"/>
                <w:sz w:val="15"/>
              </w:rPr>
              <w:t>11571</w:t>
            </w:r>
          </w:p>
        </w:tc>
        <w:tc>
          <w:tcPr>
            <w:tcW w:w="1204" w:type="dxa"/>
          </w:tcPr>
          <w:p w14:paraId="455A01AF">
            <w:pPr>
              <w:spacing w:before="0" w:after="0" w:line="240" w:lineRule="auto"/>
              <w:jc w:val="center"/>
            </w:pPr>
            <w:r>
              <w:rPr>
                <w:rFonts w:ascii="Times New Roman" w:hAnsi="Times New Roman" w:eastAsia="宋体"/>
                <w:b w:val="0"/>
                <w:sz w:val="15"/>
              </w:rPr>
              <w:t>0.0376</w:t>
            </w:r>
          </w:p>
        </w:tc>
        <w:tc>
          <w:tcPr>
            <w:tcW w:w="1807" w:type="dxa"/>
          </w:tcPr>
          <w:p w14:paraId="194E9F01">
            <w:pPr>
              <w:spacing w:before="0" w:after="0" w:line="240" w:lineRule="auto"/>
              <w:jc w:val="center"/>
            </w:pPr>
            <w:r>
              <w:rPr>
                <w:rFonts w:ascii="Times New Roman" w:hAnsi="Times New Roman" w:eastAsia="宋体"/>
                <w:b w:val="0"/>
                <w:sz w:val="15"/>
              </w:rPr>
              <w:t>0.0594</w:t>
            </w:r>
          </w:p>
        </w:tc>
        <w:tc>
          <w:tcPr>
            <w:tcW w:w="1807" w:type="dxa"/>
          </w:tcPr>
          <w:p w14:paraId="1DB7CBDB">
            <w:pPr>
              <w:spacing w:before="0" w:after="0" w:line="240" w:lineRule="auto"/>
              <w:jc w:val="center"/>
            </w:pPr>
            <w:r>
              <w:rPr>
                <w:rFonts w:ascii="Times New Roman" w:hAnsi="Times New Roman" w:eastAsia="宋体"/>
                <w:b w:val="0"/>
                <w:sz w:val="15"/>
              </w:rPr>
              <w:t>-0.2167</w:t>
            </w:r>
          </w:p>
        </w:tc>
        <w:tc>
          <w:tcPr>
            <w:tcW w:w="1809" w:type="dxa"/>
          </w:tcPr>
          <w:p w14:paraId="461E075C">
            <w:pPr>
              <w:spacing w:before="0" w:after="0" w:line="240" w:lineRule="auto"/>
              <w:jc w:val="center"/>
            </w:pPr>
            <w:r>
              <w:rPr>
                <w:rFonts w:ascii="Times New Roman" w:hAnsi="Times New Roman" w:eastAsia="宋体"/>
                <w:b w:val="0"/>
                <w:sz w:val="15"/>
              </w:rPr>
              <w:t>0.2096</w:t>
            </w:r>
          </w:p>
        </w:tc>
      </w:tr>
      <w:tr w14:paraId="6E767C6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0C4C1B0A">
            <w:pPr>
              <w:spacing w:before="0" w:after="0" w:line="240" w:lineRule="auto"/>
              <w:jc w:val="center"/>
            </w:pPr>
            <w:r>
              <w:rPr>
                <w:rFonts w:ascii="Times New Roman" w:hAnsi="Times New Roman" w:eastAsia="宋体"/>
                <w:b w:val="0"/>
                <w:sz w:val="15"/>
              </w:rPr>
              <w:t>FAsset</w:t>
            </w:r>
          </w:p>
        </w:tc>
        <w:tc>
          <w:tcPr>
            <w:tcW w:w="1807" w:type="dxa"/>
          </w:tcPr>
          <w:p w14:paraId="44B135F5">
            <w:pPr>
              <w:spacing w:before="0" w:after="0" w:line="240" w:lineRule="auto"/>
              <w:jc w:val="center"/>
            </w:pPr>
            <w:r>
              <w:rPr>
                <w:rFonts w:ascii="Times New Roman" w:hAnsi="Times New Roman" w:eastAsia="宋体"/>
                <w:b w:val="0"/>
                <w:sz w:val="15"/>
              </w:rPr>
              <w:t>11571</w:t>
            </w:r>
          </w:p>
        </w:tc>
        <w:tc>
          <w:tcPr>
            <w:tcW w:w="1204" w:type="dxa"/>
          </w:tcPr>
          <w:p w14:paraId="327909B8">
            <w:pPr>
              <w:spacing w:before="0" w:after="0" w:line="240" w:lineRule="auto"/>
              <w:jc w:val="center"/>
            </w:pPr>
            <w:r>
              <w:rPr>
                <w:rFonts w:ascii="Times New Roman" w:hAnsi="Times New Roman" w:eastAsia="宋体"/>
                <w:b w:val="0"/>
                <w:sz w:val="15"/>
              </w:rPr>
              <w:t>0.2297</w:t>
            </w:r>
          </w:p>
        </w:tc>
        <w:tc>
          <w:tcPr>
            <w:tcW w:w="1807" w:type="dxa"/>
          </w:tcPr>
          <w:p w14:paraId="452D81E4">
            <w:pPr>
              <w:spacing w:before="0" w:after="0" w:line="240" w:lineRule="auto"/>
              <w:jc w:val="center"/>
            </w:pPr>
            <w:r>
              <w:rPr>
                <w:rFonts w:ascii="Times New Roman" w:hAnsi="Times New Roman" w:eastAsia="宋体"/>
                <w:b w:val="0"/>
                <w:sz w:val="15"/>
              </w:rPr>
              <w:t>0.1636</w:t>
            </w:r>
          </w:p>
        </w:tc>
        <w:tc>
          <w:tcPr>
            <w:tcW w:w="1807" w:type="dxa"/>
          </w:tcPr>
          <w:p w14:paraId="2F7F8F6E">
            <w:pPr>
              <w:spacing w:before="0" w:after="0" w:line="240" w:lineRule="auto"/>
              <w:jc w:val="center"/>
            </w:pPr>
            <w:r>
              <w:rPr>
                <w:rFonts w:ascii="Times New Roman" w:hAnsi="Times New Roman" w:eastAsia="宋体"/>
                <w:b w:val="0"/>
                <w:sz w:val="15"/>
              </w:rPr>
              <w:t>0.0037</w:t>
            </w:r>
          </w:p>
        </w:tc>
        <w:tc>
          <w:tcPr>
            <w:tcW w:w="1809" w:type="dxa"/>
          </w:tcPr>
          <w:p w14:paraId="21C47095">
            <w:pPr>
              <w:spacing w:before="0" w:after="0" w:line="240" w:lineRule="auto"/>
              <w:jc w:val="center"/>
            </w:pPr>
            <w:r>
              <w:rPr>
                <w:rFonts w:ascii="Times New Roman" w:hAnsi="Times New Roman" w:eastAsia="宋体"/>
                <w:b w:val="0"/>
                <w:sz w:val="15"/>
              </w:rPr>
              <w:t>0.6882</w:t>
            </w:r>
          </w:p>
        </w:tc>
      </w:tr>
      <w:tr w14:paraId="6ABC761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62AA8964">
            <w:pPr>
              <w:spacing w:before="0" w:after="0" w:line="240" w:lineRule="auto"/>
              <w:jc w:val="center"/>
            </w:pPr>
            <w:r>
              <w:rPr>
                <w:rFonts w:ascii="Times New Roman" w:hAnsi="Times New Roman" w:eastAsia="宋体"/>
                <w:b w:val="0"/>
                <w:sz w:val="15"/>
              </w:rPr>
              <w:t>Growth</w:t>
            </w:r>
          </w:p>
        </w:tc>
        <w:tc>
          <w:tcPr>
            <w:tcW w:w="1807" w:type="dxa"/>
          </w:tcPr>
          <w:p w14:paraId="7108AF24">
            <w:pPr>
              <w:spacing w:before="0" w:after="0" w:line="240" w:lineRule="auto"/>
              <w:jc w:val="center"/>
            </w:pPr>
            <w:r>
              <w:rPr>
                <w:rFonts w:ascii="Times New Roman" w:hAnsi="Times New Roman" w:eastAsia="宋体"/>
                <w:b w:val="0"/>
                <w:sz w:val="15"/>
              </w:rPr>
              <w:t>11571</w:t>
            </w:r>
          </w:p>
        </w:tc>
        <w:tc>
          <w:tcPr>
            <w:tcW w:w="1204" w:type="dxa"/>
          </w:tcPr>
          <w:p w14:paraId="08A71422">
            <w:pPr>
              <w:spacing w:before="0" w:after="0" w:line="240" w:lineRule="auto"/>
              <w:jc w:val="center"/>
            </w:pPr>
            <w:r>
              <w:rPr>
                <w:rFonts w:ascii="Times New Roman" w:hAnsi="Times New Roman" w:eastAsia="宋体"/>
                <w:b w:val="0"/>
                <w:sz w:val="15"/>
              </w:rPr>
              <w:t>0.1471</w:t>
            </w:r>
          </w:p>
        </w:tc>
        <w:tc>
          <w:tcPr>
            <w:tcW w:w="1807" w:type="dxa"/>
          </w:tcPr>
          <w:p w14:paraId="40697E82">
            <w:pPr>
              <w:spacing w:before="0" w:after="0" w:line="240" w:lineRule="auto"/>
              <w:jc w:val="center"/>
            </w:pPr>
            <w:r>
              <w:rPr>
                <w:rFonts w:ascii="Times New Roman" w:hAnsi="Times New Roman" w:eastAsia="宋体"/>
                <w:b w:val="0"/>
                <w:sz w:val="15"/>
              </w:rPr>
              <w:t>0.3173</w:t>
            </w:r>
          </w:p>
        </w:tc>
        <w:tc>
          <w:tcPr>
            <w:tcW w:w="1807" w:type="dxa"/>
          </w:tcPr>
          <w:p w14:paraId="29123133">
            <w:pPr>
              <w:spacing w:before="0" w:after="0" w:line="240" w:lineRule="auto"/>
              <w:jc w:val="center"/>
            </w:pPr>
            <w:r>
              <w:rPr>
                <w:rFonts w:ascii="Times New Roman" w:hAnsi="Times New Roman" w:eastAsia="宋体"/>
                <w:b w:val="0"/>
                <w:sz w:val="15"/>
              </w:rPr>
              <w:t>-0.4983</w:t>
            </w:r>
          </w:p>
        </w:tc>
        <w:tc>
          <w:tcPr>
            <w:tcW w:w="1809" w:type="dxa"/>
          </w:tcPr>
          <w:p w14:paraId="2CCEA752">
            <w:pPr>
              <w:spacing w:before="0" w:after="0" w:line="240" w:lineRule="auto"/>
              <w:jc w:val="center"/>
            </w:pPr>
            <w:r>
              <w:rPr>
                <w:rFonts w:ascii="Times New Roman" w:hAnsi="Times New Roman" w:eastAsia="宋体"/>
                <w:b w:val="0"/>
                <w:sz w:val="15"/>
              </w:rPr>
              <w:t>1.6976</w:t>
            </w:r>
          </w:p>
        </w:tc>
      </w:tr>
      <w:tr w14:paraId="2D8A178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204" w:type="dxa"/>
          </w:tcPr>
          <w:p w14:paraId="296BA7E0">
            <w:pPr>
              <w:spacing w:before="0" w:after="0" w:line="240" w:lineRule="auto"/>
              <w:jc w:val="center"/>
            </w:pPr>
            <w:r>
              <w:rPr>
                <w:rFonts w:ascii="Times New Roman" w:hAnsi="Times New Roman" w:eastAsia="宋体"/>
                <w:b w:val="0"/>
                <w:sz w:val="15"/>
              </w:rPr>
              <w:t>IntAsset</w:t>
            </w:r>
          </w:p>
        </w:tc>
        <w:tc>
          <w:tcPr>
            <w:tcW w:w="1807" w:type="dxa"/>
          </w:tcPr>
          <w:p w14:paraId="2A9D2F2C">
            <w:pPr>
              <w:spacing w:before="0" w:after="0" w:line="240" w:lineRule="auto"/>
              <w:jc w:val="center"/>
            </w:pPr>
            <w:r>
              <w:rPr>
                <w:rFonts w:ascii="Times New Roman" w:hAnsi="Times New Roman" w:eastAsia="宋体"/>
                <w:b w:val="0"/>
                <w:sz w:val="15"/>
              </w:rPr>
              <w:t>11571</w:t>
            </w:r>
          </w:p>
        </w:tc>
        <w:tc>
          <w:tcPr>
            <w:tcW w:w="1204" w:type="dxa"/>
          </w:tcPr>
          <w:p w14:paraId="2E2BB4EC">
            <w:pPr>
              <w:spacing w:before="0" w:after="0" w:line="240" w:lineRule="auto"/>
              <w:jc w:val="center"/>
            </w:pPr>
            <w:r>
              <w:rPr>
                <w:rFonts w:ascii="Times New Roman" w:hAnsi="Times New Roman" w:eastAsia="宋体"/>
                <w:b w:val="0"/>
                <w:sz w:val="15"/>
              </w:rPr>
              <w:t>0.0414</w:t>
            </w:r>
          </w:p>
        </w:tc>
        <w:tc>
          <w:tcPr>
            <w:tcW w:w="1807" w:type="dxa"/>
          </w:tcPr>
          <w:p w14:paraId="1995BC19">
            <w:pPr>
              <w:spacing w:before="0" w:after="0" w:line="240" w:lineRule="auto"/>
              <w:jc w:val="center"/>
            </w:pPr>
            <w:r>
              <w:rPr>
                <w:rFonts w:ascii="Times New Roman" w:hAnsi="Times New Roman" w:eastAsia="宋体"/>
                <w:b w:val="0"/>
                <w:sz w:val="15"/>
              </w:rPr>
              <w:t>0.0389</w:t>
            </w:r>
          </w:p>
        </w:tc>
        <w:tc>
          <w:tcPr>
            <w:tcW w:w="1807" w:type="dxa"/>
          </w:tcPr>
          <w:p w14:paraId="6A10FB58">
            <w:pPr>
              <w:spacing w:before="0" w:after="0" w:line="240" w:lineRule="auto"/>
              <w:jc w:val="center"/>
            </w:pPr>
            <w:r>
              <w:rPr>
                <w:rFonts w:ascii="Times New Roman" w:hAnsi="Times New Roman" w:eastAsia="宋体"/>
                <w:b w:val="0"/>
                <w:sz w:val="15"/>
              </w:rPr>
              <w:t>0.0003</w:t>
            </w:r>
          </w:p>
        </w:tc>
        <w:tc>
          <w:tcPr>
            <w:tcW w:w="1809" w:type="dxa"/>
          </w:tcPr>
          <w:p w14:paraId="4398FEE9">
            <w:pPr>
              <w:spacing w:before="0" w:after="0" w:line="240" w:lineRule="auto"/>
              <w:jc w:val="center"/>
            </w:pPr>
            <w:r>
              <w:rPr>
                <w:rFonts w:ascii="Times New Roman" w:hAnsi="Times New Roman" w:eastAsia="宋体"/>
                <w:b w:val="0"/>
                <w:sz w:val="15"/>
              </w:rPr>
              <w:t>0.2326</w:t>
            </w:r>
          </w:p>
        </w:tc>
      </w:tr>
      <w:tr w14:paraId="0F88853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1580013D">
            <w:pPr>
              <w:spacing w:before="0" w:after="0" w:line="240" w:lineRule="auto"/>
              <w:jc w:val="center"/>
            </w:pPr>
            <w:r>
              <w:rPr>
                <w:rFonts w:ascii="Times New Roman" w:hAnsi="Times New Roman" w:eastAsia="宋体"/>
                <w:b w:val="0"/>
                <w:sz w:val="15"/>
              </w:rPr>
              <w:t>Cash</w:t>
            </w:r>
          </w:p>
        </w:tc>
        <w:tc>
          <w:tcPr>
            <w:tcW w:w="1807" w:type="dxa"/>
          </w:tcPr>
          <w:p w14:paraId="64B05693">
            <w:pPr>
              <w:spacing w:before="0" w:after="0" w:line="240" w:lineRule="auto"/>
              <w:jc w:val="center"/>
            </w:pPr>
            <w:r>
              <w:rPr>
                <w:rFonts w:ascii="Times New Roman" w:hAnsi="Times New Roman" w:eastAsia="宋体"/>
                <w:b w:val="0"/>
                <w:sz w:val="15"/>
              </w:rPr>
              <w:t>11571</w:t>
            </w:r>
          </w:p>
        </w:tc>
        <w:tc>
          <w:tcPr>
            <w:tcW w:w="1204" w:type="dxa"/>
          </w:tcPr>
          <w:p w14:paraId="133F2B12">
            <w:pPr>
              <w:spacing w:before="0" w:after="0" w:line="240" w:lineRule="auto"/>
              <w:jc w:val="center"/>
            </w:pPr>
            <w:r>
              <w:rPr>
                <w:rFonts w:ascii="Times New Roman" w:hAnsi="Times New Roman" w:eastAsia="宋体"/>
                <w:b w:val="0"/>
                <w:sz w:val="15"/>
              </w:rPr>
              <w:t>0.1729</w:t>
            </w:r>
          </w:p>
        </w:tc>
        <w:tc>
          <w:tcPr>
            <w:tcW w:w="1807" w:type="dxa"/>
          </w:tcPr>
          <w:p w14:paraId="59E1D831">
            <w:pPr>
              <w:spacing w:before="0" w:after="0" w:line="240" w:lineRule="auto"/>
              <w:jc w:val="center"/>
            </w:pPr>
            <w:r>
              <w:rPr>
                <w:rFonts w:ascii="Times New Roman" w:hAnsi="Times New Roman" w:eastAsia="宋体"/>
                <w:b w:val="0"/>
                <w:sz w:val="15"/>
              </w:rPr>
              <w:t>0.1127</w:t>
            </w:r>
          </w:p>
        </w:tc>
        <w:tc>
          <w:tcPr>
            <w:tcW w:w="1807" w:type="dxa"/>
          </w:tcPr>
          <w:p w14:paraId="2C813B21">
            <w:pPr>
              <w:spacing w:before="0" w:after="0" w:line="240" w:lineRule="auto"/>
              <w:jc w:val="center"/>
            </w:pPr>
            <w:r>
              <w:rPr>
                <w:rFonts w:ascii="Times New Roman" w:hAnsi="Times New Roman" w:eastAsia="宋体"/>
                <w:b w:val="0"/>
                <w:sz w:val="15"/>
              </w:rPr>
              <w:t>0.0197</w:t>
            </w:r>
          </w:p>
        </w:tc>
        <w:tc>
          <w:tcPr>
            <w:tcW w:w="1809" w:type="dxa"/>
          </w:tcPr>
          <w:p w14:paraId="09D7246F">
            <w:pPr>
              <w:spacing w:before="0" w:after="0" w:line="240" w:lineRule="auto"/>
              <w:jc w:val="center"/>
            </w:pPr>
            <w:r>
              <w:rPr>
                <w:rFonts w:ascii="Times New Roman" w:hAnsi="Times New Roman" w:eastAsia="宋体"/>
                <w:b w:val="0"/>
                <w:sz w:val="15"/>
              </w:rPr>
              <w:t>0.5668</w:t>
            </w:r>
          </w:p>
        </w:tc>
      </w:tr>
      <w:tr w14:paraId="6A2D490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6B711222">
            <w:pPr>
              <w:spacing w:before="0" w:after="0" w:line="240" w:lineRule="auto"/>
              <w:jc w:val="center"/>
            </w:pPr>
            <w:r>
              <w:rPr>
                <w:rFonts w:ascii="Times New Roman" w:hAnsi="Times New Roman" w:eastAsia="宋体"/>
                <w:b w:val="0"/>
                <w:sz w:val="15"/>
              </w:rPr>
              <w:t>OCF</w:t>
            </w:r>
          </w:p>
        </w:tc>
        <w:tc>
          <w:tcPr>
            <w:tcW w:w="1807" w:type="dxa"/>
          </w:tcPr>
          <w:p w14:paraId="04FE716C">
            <w:pPr>
              <w:spacing w:before="0" w:after="0" w:line="240" w:lineRule="auto"/>
              <w:jc w:val="center"/>
            </w:pPr>
            <w:r>
              <w:rPr>
                <w:rFonts w:ascii="Times New Roman" w:hAnsi="Times New Roman" w:eastAsia="宋体"/>
                <w:b w:val="0"/>
                <w:sz w:val="15"/>
              </w:rPr>
              <w:t>11571</w:t>
            </w:r>
          </w:p>
        </w:tc>
        <w:tc>
          <w:tcPr>
            <w:tcW w:w="1204" w:type="dxa"/>
          </w:tcPr>
          <w:p w14:paraId="3C146D8A">
            <w:pPr>
              <w:spacing w:before="0" w:after="0" w:line="240" w:lineRule="auto"/>
              <w:jc w:val="center"/>
            </w:pPr>
            <w:r>
              <w:rPr>
                <w:rFonts w:ascii="Times New Roman" w:hAnsi="Times New Roman" w:eastAsia="宋体"/>
                <w:b w:val="0"/>
                <w:sz w:val="15"/>
              </w:rPr>
              <w:t>0.0524</w:t>
            </w:r>
          </w:p>
        </w:tc>
        <w:tc>
          <w:tcPr>
            <w:tcW w:w="1807" w:type="dxa"/>
          </w:tcPr>
          <w:p w14:paraId="2773834C">
            <w:pPr>
              <w:spacing w:before="0" w:after="0" w:line="240" w:lineRule="auto"/>
              <w:jc w:val="center"/>
            </w:pPr>
            <w:r>
              <w:rPr>
                <w:rFonts w:ascii="Times New Roman" w:hAnsi="Times New Roman" w:eastAsia="宋体"/>
                <w:b w:val="0"/>
                <w:sz w:val="15"/>
              </w:rPr>
              <w:t>0.0657</w:t>
            </w:r>
          </w:p>
        </w:tc>
        <w:tc>
          <w:tcPr>
            <w:tcW w:w="1807" w:type="dxa"/>
          </w:tcPr>
          <w:p w14:paraId="0C57059C">
            <w:pPr>
              <w:spacing w:before="0" w:after="0" w:line="240" w:lineRule="auto"/>
              <w:jc w:val="center"/>
            </w:pPr>
            <w:r>
              <w:rPr>
                <w:rFonts w:ascii="Times New Roman" w:hAnsi="Times New Roman" w:eastAsia="宋体"/>
                <w:b w:val="0"/>
                <w:sz w:val="15"/>
              </w:rPr>
              <w:t>-0.1345</w:t>
            </w:r>
          </w:p>
        </w:tc>
        <w:tc>
          <w:tcPr>
            <w:tcW w:w="1809" w:type="dxa"/>
          </w:tcPr>
          <w:p w14:paraId="05DF260E">
            <w:pPr>
              <w:spacing w:before="0" w:after="0" w:line="240" w:lineRule="auto"/>
              <w:jc w:val="center"/>
            </w:pPr>
            <w:r>
              <w:rPr>
                <w:rFonts w:ascii="Times New Roman" w:hAnsi="Times New Roman" w:eastAsia="宋体"/>
                <w:b w:val="0"/>
                <w:sz w:val="15"/>
              </w:rPr>
              <w:t>0.2462</w:t>
            </w:r>
          </w:p>
        </w:tc>
      </w:tr>
      <w:tr w14:paraId="4E75224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57299539">
            <w:pPr>
              <w:spacing w:before="0" w:after="0" w:line="240" w:lineRule="auto"/>
              <w:jc w:val="center"/>
            </w:pPr>
            <w:r>
              <w:rPr>
                <w:rFonts w:ascii="Times New Roman" w:hAnsi="Times New Roman" w:eastAsia="宋体"/>
                <w:b w:val="0"/>
                <w:sz w:val="15"/>
              </w:rPr>
              <w:t>AuditFee</w:t>
            </w:r>
          </w:p>
        </w:tc>
        <w:tc>
          <w:tcPr>
            <w:tcW w:w="1807" w:type="dxa"/>
          </w:tcPr>
          <w:p w14:paraId="0E5BF09F">
            <w:pPr>
              <w:spacing w:before="0" w:after="0" w:line="240" w:lineRule="auto"/>
              <w:jc w:val="center"/>
            </w:pPr>
            <w:r>
              <w:rPr>
                <w:rFonts w:ascii="Times New Roman" w:hAnsi="Times New Roman" w:eastAsia="宋体"/>
                <w:b w:val="0"/>
                <w:sz w:val="15"/>
              </w:rPr>
              <w:t>11571</w:t>
            </w:r>
          </w:p>
        </w:tc>
        <w:tc>
          <w:tcPr>
            <w:tcW w:w="1204" w:type="dxa"/>
          </w:tcPr>
          <w:p w14:paraId="48F1C556">
            <w:pPr>
              <w:spacing w:before="0" w:after="0" w:line="240" w:lineRule="auto"/>
              <w:jc w:val="center"/>
            </w:pPr>
            <w:r>
              <w:rPr>
                <w:rFonts w:ascii="Times New Roman" w:hAnsi="Times New Roman" w:eastAsia="宋体"/>
                <w:b w:val="0"/>
                <w:sz w:val="15"/>
              </w:rPr>
              <w:t>13.9398</w:t>
            </w:r>
          </w:p>
        </w:tc>
        <w:tc>
          <w:tcPr>
            <w:tcW w:w="1807" w:type="dxa"/>
          </w:tcPr>
          <w:p w14:paraId="340C8C29">
            <w:pPr>
              <w:spacing w:before="0" w:after="0" w:line="240" w:lineRule="auto"/>
              <w:jc w:val="center"/>
            </w:pPr>
            <w:r>
              <w:rPr>
                <w:rFonts w:ascii="Times New Roman" w:hAnsi="Times New Roman" w:eastAsia="宋体"/>
                <w:b w:val="0"/>
                <w:sz w:val="15"/>
              </w:rPr>
              <w:t>0.7745</w:t>
            </w:r>
          </w:p>
        </w:tc>
        <w:tc>
          <w:tcPr>
            <w:tcW w:w="1807" w:type="dxa"/>
          </w:tcPr>
          <w:p w14:paraId="6CD879E2">
            <w:pPr>
              <w:spacing w:before="0" w:after="0" w:line="240" w:lineRule="auto"/>
              <w:jc w:val="center"/>
            </w:pPr>
            <w:r>
              <w:rPr>
                <w:rFonts w:ascii="Times New Roman" w:hAnsi="Times New Roman" w:eastAsia="宋体"/>
                <w:b w:val="0"/>
                <w:sz w:val="15"/>
              </w:rPr>
              <w:t>12.5425</w:t>
            </w:r>
          </w:p>
        </w:tc>
        <w:tc>
          <w:tcPr>
            <w:tcW w:w="1809" w:type="dxa"/>
          </w:tcPr>
          <w:p w14:paraId="569A8B25">
            <w:pPr>
              <w:spacing w:before="0" w:after="0" w:line="240" w:lineRule="auto"/>
              <w:jc w:val="center"/>
            </w:pPr>
            <w:r>
              <w:rPr>
                <w:rFonts w:ascii="Times New Roman" w:hAnsi="Times New Roman" w:eastAsia="宋体"/>
                <w:b w:val="0"/>
                <w:sz w:val="15"/>
              </w:rPr>
              <w:t>16.6164</w:t>
            </w:r>
          </w:p>
        </w:tc>
      </w:tr>
      <w:tr w14:paraId="46BB4C7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204" w:type="dxa"/>
          </w:tcPr>
          <w:p w14:paraId="5EBEADC4">
            <w:pPr>
              <w:spacing w:before="0" w:after="0" w:line="240" w:lineRule="auto"/>
              <w:jc w:val="center"/>
            </w:pPr>
            <w:r>
              <w:rPr>
                <w:rFonts w:ascii="Times New Roman" w:hAnsi="Times New Roman" w:eastAsia="宋体"/>
                <w:b w:val="0"/>
                <w:sz w:val="15"/>
              </w:rPr>
              <w:t>Audit</w:t>
            </w:r>
          </w:p>
        </w:tc>
        <w:tc>
          <w:tcPr>
            <w:tcW w:w="1807" w:type="dxa"/>
          </w:tcPr>
          <w:p w14:paraId="376BA5BC">
            <w:pPr>
              <w:spacing w:before="0" w:after="0" w:line="240" w:lineRule="auto"/>
              <w:jc w:val="center"/>
            </w:pPr>
            <w:r>
              <w:rPr>
                <w:rFonts w:ascii="Times New Roman" w:hAnsi="Times New Roman" w:eastAsia="宋体"/>
                <w:b w:val="0"/>
                <w:sz w:val="15"/>
              </w:rPr>
              <w:t>11571</w:t>
            </w:r>
          </w:p>
        </w:tc>
        <w:tc>
          <w:tcPr>
            <w:tcW w:w="1204" w:type="dxa"/>
          </w:tcPr>
          <w:p w14:paraId="5D51A51C">
            <w:pPr>
              <w:spacing w:before="0" w:after="0" w:line="240" w:lineRule="auto"/>
              <w:jc w:val="center"/>
            </w:pPr>
            <w:r>
              <w:rPr>
                <w:rFonts w:ascii="Times New Roman" w:hAnsi="Times New Roman" w:eastAsia="宋体"/>
                <w:b w:val="0"/>
                <w:sz w:val="15"/>
              </w:rPr>
              <w:t>0.9779</w:t>
            </w:r>
          </w:p>
        </w:tc>
        <w:tc>
          <w:tcPr>
            <w:tcW w:w="1807" w:type="dxa"/>
          </w:tcPr>
          <w:p w14:paraId="54CFC18B">
            <w:pPr>
              <w:spacing w:before="0" w:after="0" w:line="240" w:lineRule="auto"/>
              <w:jc w:val="center"/>
            </w:pPr>
            <w:r>
              <w:rPr>
                <w:rFonts w:ascii="Times New Roman" w:hAnsi="Times New Roman" w:eastAsia="宋体"/>
                <w:b w:val="0"/>
                <w:sz w:val="15"/>
              </w:rPr>
              <w:t>0.1471</w:t>
            </w:r>
          </w:p>
        </w:tc>
        <w:tc>
          <w:tcPr>
            <w:tcW w:w="1807" w:type="dxa"/>
          </w:tcPr>
          <w:p w14:paraId="3D490F58">
            <w:pPr>
              <w:spacing w:before="0" w:after="0" w:line="240" w:lineRule="auto"/>
              <w:jc w:val="center"/>
            </w:pPr>
            <w:r>
              <w:rPr>
                <w:rFonts w:ascii="Times New Roman" w:hAnsi="Times New Roman" w:eastAsia="宋体"/>
                <w:b w:val="0"/>
                <w:sz w:val="15"/>
              </w:rPr>
              <w:t>0.0000</w:t>
            </w:r>
          </w:p>
        </w:tc>
        <w:tc>
          <w:tcPr>
            <w:tcW w:w="1809" w:type="dxa"/>
          </w:tcPr>
          <w:p w14:paraId="10F20F94">
            <w:pPr>
              <w:spacing w:before="0" w:after="0" w:line="240" w:lineRule="auto"/>
              <w:jc w:val="center"/>
            </w:pPr>
            <w:r>
              <w:rPr>
                <w:rFonts w:ascii="Times New Roman" w:hAnsi="Times New Roman" w:eastAsia="宋体"/>
                <w:b w:val="0"/>
                <w:sz w:val="15"/>
              </w:rPr>
              <w:t>1.0000</w:t>
            </w:r>
          </w:p>
        </w:tc>
      </w:tr>
      <w:tr w14:paraId="6654C27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6BD4C01C">
            <w:pPr>
              <w:spacing w:before="0" w:after="0" w:line="240" w:lineRule="auto"/>
              <w:jc w:val="center"/>
            </w:pPr>
            <w:r>
              <w:rPr>
                <w:rFonts w:ascii="Times New Roman" w:hAnsi="Times New Roman" w:eastAsia="宋体"/>
                <w:b w:val="0"/>
                <w:sz w:val="15"/>
              </w:rPr>
              <w:t>Policy</w:t>
            </w:r>
          </w:p>
        </w:tc>
        <w:tc>
          <w:tcPr>
            <w:tcW w:w="1807" w:type="dxa"/>
          </w:tcPr>
          <w:p w14:paraId="6E57F5D2">
            <w:pPr>
              <w:spacing w:before="0" w:after="0" w:line="240" w:lineRule="auto"/>
              <w:jc w:val="center"/>
            </w:pPr>
            <w:r>
              <w:rPr>
                <w:rFonts w:ascii="Times New Roman" w:hAnsi="Times New Roman" w:eastAsia="宋体"/>
                <w:b w:val="0"/>
                <w:sz w:val="15"/>
              </w:rPr>
              <w:t>11571</w:t>
            </w:r>
          </w:p>
        </w:tc>
        <w:tc>
          <w:tcPr>
            <w:tcW w:w="1204" w:type="dxa"/>
          </w:tcPr>
          <w:p w14:paraId="565CACB6">
            <w:pPr>
              <w:spacing w:before="0" w:after="0" w:line="240" w:lineRule="auto"/>
              <w:jc w:val="center"/>
            </w:pPr>
            <w:r>
              <w:rPr>
                <w:rFonts w:ascii="Times New Roman" w:hAnsi="Times New Roman" w:eastAsia="宋体"/>
                <w:b w:val="0"/>
                <w:sz w:val="15"/>
              </w:rPr>
              <w:t>4.0246</w:t>
            </w:r>
          </w:p>
        </w:tc>
        <w:tc>
          <w:tcPr>
            <w:tcW w:w="1807" w:type="dxa"/>
          </w:tcPr>
          <w:p w14:paraId="60900F6F">
            <w:pPr>
              <w:spacing w:before="0" w:after="0" w:line="240" w:lineRule="auto"/>
              <w:jc w:val="center"/>
            </w:pPr>
            <w:r>
              <w:rPr>
                <w:rFonts w:ascii="Times New Roman" w:hAnsi="Times New Roman" w:eastAsia="宋体"/>
                <w:b w:val="0"/>
                <w:sz w:val="15"/>
              </w:rPr>
              <w:t>0.5607</w:t>
            </w:r>
          </w:p>
        </w:tc>
        <w:tc>
          <w:tcPr>
            <w:tcW w:w="1807" w:type="dxa"/>
          </w:tcPr>
          <w:p w14:paraId="6D32576F">
            <w:pPr>
              <w:spacing w:before="0" w:after="0" w:line="240" w:lineRule="auto"/>
              <w:jc w:val="center"/>
            </w:pPr>
            <w:r>
              <w:rPr>
                <w:rFonts w:ascii="Times New Roman" w:hAnsi="Times New Roman" w:eastAsia="宋体"/>
                <w:b w:val="0"/>
                <w:sz w:val="15"/>
              </w:rPr>
              <w:t>2.3979</w:t>
            </w:r>
          </w:p>
        </w:tc>
        <w:tc>
          <w:tcPr>
            <w:tcW w:w="1809" w:type="dxa"/>
          </w:tcPr>
          <w:p w14:paraId="1E4C4A42">
            <w:pPr>
              <w:spacing w:before="0" w:after="0" w:line="240" w:lineRule="auto"/>
              <w:jc w:val="center"/>
            </w:pPr>
            <w:r>
              <w:rPr>
                <w:rFonts w:ascii="Times New Roman" w:hAnsi="Times New Roman" w:eastAsia="宋体"/>
                <w:b w:val="0"/>
                <w:sz w:val="15"/>
              </w:rPr>
              <w:t>5.0370</w:t>
            </w:r>
          </w:p>
        </w:tc>
      </w:tr>
      <w:tr w14:paraId="3A8F7CD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04" w:type="dxa"/>
          </w:tcPr>
          <w:p w14:paraId="4E507477">
            <w:pPr>
              <w:spacing w:before="0" w:after="0" w:line="240" w:lineRule="auto"/>
              <w:jc w:val="center"/>
            </w:pPr>
            <w:r>
              <w:rPr>
                <w:rFonts w:ascii="Times New Roman" w:hAnsi="Times New Roman" w:eastAsia="宋体"/>
                <w:b w:val="0"/>
                <w:sz w:val="15"/>
              </w:rPr>
              <w:t>EnvExp</w:t>
            </w:r>
          </w:p>
        </w:tc>
        <w:tc>
          <w:tcPr>
            <w:tcW w:w="1807" w:type="dxa"/>
          </w:tcPr>
          <w:p w14:paraId="1D5A53A9">
            <w:pPr>
              <w:spacing w:before="0" w:after="0" w:line="240" w:lineRule="auto"/>
              <w:jc w:val="center"/>
            </w:pPr>
            <w:r>
              <w:rPr>
                <w:rFonts w:ascii="Times New Roman" w:hAnsi="Times New Roman" w:eastAsia="宋体"/>
                <w:b w:val="0"/>
                <w:sz w:val="15"/>
              </w:rPr>
              <w:t>11571</w:t>
            </w:r>
          </w:p>
        </w:tc>
        <w:tc>
          <w:tcPr>
            <w:tcW w:w="1204" w:type="dxa"/>
          </w:tcPr>
          <w:p w14:paraId="3ADF2E4C">
            <w:pPr>
              <w:spacing w:before="0" w:after="0" w:line="240" w:lineRule="auto"/>
              <w:jc w:val="center"/>
            </w:pPr>
            <w:r>
              <w:rPr>
                <w:rFonts w:ascii="Times New Roman" w:hAnsi="Times New Roman" w:eastAsia="宋体"/>
                <w:b w:val="0"/>
                <w:sz w:val="15"/>
              </w:rPr>
              <w:t>219.8694</w:t>
            </w:r>
          </w:p>
        </w:tc>
        <w:tc>
          <w:tcPr>
            <w:tcW w:w="1807" w:type="dxa"/>
          </w:tcPr>
          <w:p w14:paraId="1DDD3A13">
            <w:pPr>
              <w:spacing w:before="0" w:after="0" w:line="240" w:lineRule="auto"/>
              <w:jc w:val="center"/>
            </w:pPr>
            <w:r>
              <w:rPr>
                <w:rFonts w:ascii="Times New Roman" w:hAnsi="Times New Roman" w:eastAsia="宋体"/>
                <w:b w:val="0"/>
                <w:sz w:val="15"/>
              </w:rPr>
              <w:t>130.8717</w:t>
            </w:r>
          </w:p>
        </w:tc>
        <w:tc>
          <w:tcPr>
            <w:tcW w:w="1807" w:type="dxa"/>
          </w:tcPr>
          <w:p w14:paraId="6765F051">
            <w:pPr>
              <w:spacing w:before="0" w:after="0" w:line="240" w:lineRule="auto"/>
              <w:jc w:val="center"/>
            </w:pPr>
            <w:r>
              <w:rPr>
                <w:rFonts w:ascii="Times New Roman" w:hAnsi="Times New Roman" w:eastAsia="宋体"/>
                <w:b w:val="0"/>
                <w:sz w:val="15"/>
              </w:rPr>
              <w:t>26.7100</w:t>
            </w:r>
          </w:p>
        </w:tc>
        <w:tc>
          <w:tcPr>
            <w:tcW w:w="1809" w:type="dxa"/>
          </w:tcPr>
          <w:p w14:paraId="3620DDE5">
            <w:pPr>
              <w:spacing w:before="0" w:after="0" w:line="240" w:lineRule="auto"/>
              <w:jc w:val="center"/>
            </w:pPr>
            <w:r>
              <w:rPr>
                <w:rFonts w:ascii="Times New Roman" w:hAnsi="Times New Roman" w:eastAsia="宋体"/>
                <w:b w:val="0"/>
                <w:sz w:val="15"/>
              </w:rPr>
              <w:t>747.4400</w:t>
            </w:r>
          </w:p>
        </w:tc>
      </w:tr>
    </w:tbl>
    <w:p w14:paraId="4AF61189">
      <w:pPr>
        <w:spacing w:before="40" w:after="120" w:line="240" w:lineRule="auto"/>
        <w:ind w:firstLine="180" w:firstLineChars="100"/>
        <w:jc w:val="left"/>
      </w:pPr>
      <w:r>
        <w:rPr>
          <w:rFonts w:ascii="Times New Roman" w:hAnsi="Times New Roman" w:eastAsia="宋体"/>
          <w:b w:val="0"/>
          <w:sz w:val="18"/>
        </w:rPr>
        <w:t>注：EP与Digit为标准化合成指数；IC的样本期为2010—2024年；MA在2012年前无对应事件记录，按缺失处理，机制检验中相应限定样本期；连续变量按两端1%缩尾。</w:t>
      </w:r>
    </w:p>
    <w:p w14:paraId="6BA8FDC0">
      <w:pPr>
        <w:spacing w:before="0" w:after="0" w:line="240" w:lineRule="auto"/>
        <w:ind w:firstLine="420" w:firstLineChars="200"/>
        <w:jc w:val="both"/>
      </w:pPr>
      <w:r>
        <w:rPr>
          <w:rFonts w:ascii="Times New Roman" w:hAnsi="Times New Roman" w:eastAsia="宋体"/>
          <w:b w:val="0"/>
          <w:sz w:val="21"/>
        </w:rPr>
        <w:t>需要说明的是，EP与Digit均为标准化合成指数，其系数应理解为指数标准差的变化引起被解释变量指数标准差的相对变动，而非水平值的绝对变化。</w:t>
      </w:r>
    </w:p>
    <w:p w14:paraId="14147B03">
      <w:pPr>
        <w:spacing w:before="0" w:after="0" w:line="240" w:lineRule="auto"/>
        <w:ind w:firstLine="420" w:firstLineChars="200"/>
        <w:jc w:val="both"/>
      </w:pPr>
      <w:r>
        <w:rPr>
          <w:rFonts w:ascii="Times New Roman" w:hAnsi="Times New Roman" w:eastAsia="宋体"/>
          <w:b w:val="0"/>
          <w:sz w:val="21"/>
        </w:rPr>
        <w:t>本文在稳健性检验中以绿色专利申请量、绿色专利获得量等原始量纲变量替换综合指数重新估计，以验证结论不依赖标准化的处理方式。</w:t>
      </w:r>
    </w:p>
    <w:p w14:paraId="4687475F">
      <w:pPr>
        <w:spacing w:before="0" w:after="0" w:line="240" w:lineRule="auto"/>
        <w:ind w:firstLine="420" w:firstLineChars="200"/>
        <w:jc w:val="both"/>
      </w:pPr>
      <w:r>
        <w:rPr>
          <w:rFonts w:ascii="Times New Roman" w:hAnsi="Times New Roman" w:eastAsia="宋体"/>
          <w:b w:val="0"/>
          <w:sz w:val="21"/>
        </w:rPr>
        <w:t>分组统计揭示了一处值得注意的错位。</w:t>
      </w:r>
    </w:p>
    <w:p w14:paraId="620747D3">
      <w:pPr>
        <w:spacing w:before="0" w:after="0" w:line="240" w:lineRule="auto"/>
        <w:ind w:firstLine="420" w:firstLineChars="200"/>
        <w:jc w:val="both"/>
      </w:pPr>
      <w:r>
        <w:rPr>
          <w:rFonts w:ascii="Times New Roman" w:hAnsi="Times New Roman" w:eastAsia="宋体"/>
          <w:b w:val="0"/>
          <w:sz w:val="21"/>
        </w:rPr>
        <w:t>重污染行业的数智赋能均值仅为-0.4208，明显低于非重污染行业的0.2563。但其环境绩效均值0.0718反而更高，后者为-0.0437。</w:t>
      </w:r>
    </w:p>
    <w:p w14:paraId="6284EA30">
      <w:pPr>
        <w:spacing w:before="0" w:after="0" w:line="240" w:lineRule="auto"/>
        <w:ind w:firstLine="420" w:firstLineChars="200"/>
        <w:jc w:val="both"/>
      </w:pPr>
      <w:r>
        <w:rPr>
          <w:rFonts w:ascii="Times New Roman" w:hAnsi="Times New Roman" w:eastAsia="宋体"/>
          <w:b w:val="0"/>
          <w:sz w:val="21"/>
        </w:rPr>
        <w:t>这说明重污染行业的绿色基础与数智化进程并不同步。</w:t>
      </w:r>
    </w:p>
    <w:p w14:paraId="5A288D69">
      <w:pPr>
        <w:spacing w:before="0" w:after="0" w:line="240" w:lineRule="auto"/>
        <w:ind w:firstLine="420" w:firstLineChars="200"/>
        <w:jc w:val="both"/>
      </w:pPr>
      <w:r>
        <w:rPr>
          <w:rFonts w:ascii="Times New Roman" w:hAnsi="Times New Roman" w:eastAsia="宋体"/>
          <w:b w:val="0"/>
          <w:sz w:val="21"/>
        </w:rPr>
        <w:t>区域层面出现反向梯度。东部数智化均值0.0726，中部与西部分别为-0.1629和-0.1630。环境绩效的排序恰好相反，由西向东递减，依次是0.0612、0.0111与-0.0139。这一错位为后文的异质性检验提供了线索。</w:t>
      </w:r>
    </w:p>
    <w:p w14:paraId="2266DA63">
      <w:pPr>
        <w:spacing w:before="0" w:after="0" w:line="240" w:lineRule="auto"/>
        <w:ind w:firstLine="420" w:firstLineChars="200"/>
        <w:jc w:val="both"/>
      </w:pPr>
      <w:r>
        <w:rPr>
          <w:rFonts w:ascii="Times New Roman" w:hAnsi="Times New Roman" w:eastAsia="宋体"/>
          <w:b w:val="0"/>
          <w:sz w:val="21"/>
        </w:rPr>
        <w:t>表5列示了实证样本核心数据的年度演变。数字化关键词词频企业均值由2007年的0.59个升至2024年的14.36个，绿色专利申请量由384件增至2022年的8368件，碳信息披露词频企业均值在2020年后快速上升。需要说明的是，2024年绿色专利申请量（4671件）受专利公开时滞影响仅为2023年的50.6%，属数据不完整，本文在稳健性检验中剔除该年度重新估计。</w:t>
      </w:r>
    </w:p>
    <w:p w14:paraId="585E3F74">
      <w:pPr>
        <w:spacing w:before="120" w:after="20" w:line="240" w:lineRule="auto"/>
        <w:jc w:val="center"/>
      </w:pPr>
      <w:r>
        <w:rPr>
          <w:rFonts w:ascii="Times New Roman" w:hAnsi="Times New Roman" w:eastAsia="黑体"/>
          <w:b w:val="0"/>
          <w:sz w:val="18"/>
        </w:rPr>
        <w:t>表5 实证样本核心数据年度演变（部分年份）</w:t>
      </w:r>
    </w:p>
    <w:p w14:paraId="1BA0A77F">
      <w:pPr>
        <w:spacing w:before="0" w:after="60" w:line="240" w:lineRule="auto"/>
        <w:jc w:val="center"/>
      </w:pPr>
      <w:r>
        <w:rPr>
          <w:rFonts w:ascii="Times New Roman" w:hAnsi="Times New Roman" w:eastAsia="宋体"/>
          <w:b w:val="0"/>
          <w:sz w:val="16"/>
        </w:rPr>
        <w:t>Table 5 Annual evolution of core data (selected years)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600"/>
        <w:gridCol w:w="838"/>
        <w:gridCol w:w="2095"/>
        <w:gridCol w:w="1396"/>
        <w:gridCol w:w="1396"/>
        <w:gridCol w:w="1676"/>
        <w:gridCol w:w="1637"/>
      </w:tblGrid>
      <w:tr w14:paraId="2ABC450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Borders>
              <w:bottom w:val="single" w:color="auto" w:sz="8" w:space="0"/>
            </w:tcBorders>
          </w:tcPr>
          <w:p w14:paraId="46B44191">
            <w:pPr>
              <w:spacing w:before="0" w:after="0" w:line="240" w:lineRule="auto"/>
              <w:jc w:val="center"/>
            </w:pPr>
            <w:r>
              <w:rPr>
                <w:rFonts w:ascii="Times New Roman" w:hAnsi="Times New Roman" w:eastAsia="宋体"/>
                <w:b/>
                <w:sz w:val="15"/>
              </w:rPr>
              <w:t>年份</w:t>
            </w:r>
          </w:p>
        </w:tc>
        <w:tc>
          <w:tcPr>
            <w:tcW w:w="838" w:type="dxa"/>
            <w:tcBorders>
              <w:bottom w:val="single" w:color="auto" w:sz="8" w:space="0"/>
            </w:tcBorders>
          </w:tcPr>
          <w:p w14:paraId="39C7C92C">
            <w:pPr>
              <w:spacing w:before="0" w:after="0" w:line="240" w:lineRule="auto"/>
              <w:jc w:val="center"/>
            </w:pPr>
            <w:r>
              <w:rPr>
                <w:rFonts w:ascii="Times New Roman" w:hAnsi="Times New Roman" w:eastAsia="宋体"/>
                <w:b/>
                <w:sz w:val="15"/>
              </w:rPr>
              <w:t>企业数（家）</w:t>
            </w:r>
          </w:p>
        </w:tc>
        <w:tc>
          <w:tcPr>
            <w:tcW w:w="2095" w:type="dxa"/>
            <w:tcBorders>
              <w:bottom w:val="single" w:color="auto" w:sz="8" w:space="0"/>
            </w:tcBorders>
          </w:tcPr>
          <w:p w14:paraId="2CC2E553">
            <w:pPr>
              <w:spacing w:before="0" w:after="0" w:line="240" w:lineRule="auto"/>
              <w:jc w:val="center"/>
            </w:pPr>
            <w:r>
              <w:rPr>
                <w:rFonts w:ascii="Times New Roman" w:hAnsi="Times New Roman" w:eastAsia="宋体"/>
                <w:b/>
                <w:sz w:val="15"/>
              </w:rPr>
              <w:t>数字化关键词词频企业均值（个）</w:t>
            </w:r>
          </w:p>
        </w:tc>
        <w:tc>
          <w:tcPr>
            <w:tcW w:w="1396" w:type="dxa"/>
            <w:tcBorders>
              <w:bottom w:val="single" w:color="auto" w:sz="8" w:space="0"/>
            </w:tcBorders>
          </w:tcPr>
          <w:p w14:paraId="4E021DFD">
            <w:pPr>
              <w:spacing w:before="0" w:after="0" w:line="240" w:lineRule="auto"/>
              <w:jc w:val="center"/>
            </w:pPr>
            <w:r>
              <w:rPr>
                <w:rFonts w:ascii="Times New Roman" w:hAnsi="Times New Roman" w:eastAsia="宋体"/>
                <w:b/>
                <w:sz w:val="15"/>
              </w:rPr>
              <w:t>绿色专利申请量（件）</w:t>
            </w:r>
          </w:p>
        </w:tc>
        <w:tc>
          <w:tcPr>
            <w:tcW w:w="1396" w:type="dxa"/>
            <w:tcBorders>
              <w:bottom w:val="single" w:color="auto" w:sz="8" w:space="0"/>
            </w:tcBorders>
          </w:tcPr>
          <w:p w14:paraId="71B3466F">
            <w:pPr>
              <w:spacing w:before="0" w:after="0" w:line="240" w:lineRule="auto"/>
              <w:jc w:val="center"/>
            </w:pPr>
            <w:r>
              <w:rPr>
                <w:rFonts w:ascii="Times New Roman" w:hAnsi="Times New Roman" w:eastAsia="宋体"/>
                <w:b/>
                <w:sz w:val="15"/>
              </w:rPr>
              <w:t>数据要素指数企业均值</w:t>
            </w:r>
          </w:p>
        </w:tc>
        <w:tc>
          <w:tcPr>
            <w:tcW w:w="1676" w:type="dxa"/>
            <w:tcBorders>
              <w:bottom w:val="single" w:color="auto" w:sz="8" w:space="0"/>
            </w:tcBorders>
          </w:tcPr>
          <w:p w14:paraId="5F12E322">
            <w:pPr>
              <w:spacing w:before="0" w:after="0" w:line="240" w:lineRule="auto"/>
              <w:jc w:val="center"/>
            </w:pPr>
            <w:r>
              <w:rPr>
                <w:rFonts w:ascii="Times New Roman" w:hAnsi="Times New Roman" w:eastAsia="宋体"/>
                <w:b/>
                <w:sz w:val="15"/>
              </w:rPr>
              <w:t>数字化无形资产占比（%）</w:t>
            </w:r>
          </w:p>
        </w:tc>
        <w:tc>
          <w:tcPr>
            <w:tcW w:w="1637" w:type="dxa"/>
            <w:tcBorders>
              <w:bottom w:val="single" w:color="auto" w:sz="8" w:space="0"/>
            </w:tcBorders>
          </w:tcPr>
          <w:p w14:paraId="7D48862A">
            <w:pPr>
              <w:spacing w:before="0" w:after="0" w:line="240" w:lineRule="auto"/>
              <w:jc w:val="center"/>
            </w:pPr>
            <w:r>
              <w:rPr>
                <w:rFonts w:ascii="Times New Roman" w:hAnsi="Times New Roman" w:eastAsia="宋体"/>
                <w:b/>
                <w:sz w:val="15"/>
              </w:rPr>
              <w:t>碳信息披露词频企业均值（次）</w:t>
            </w:r>
          </w:p>
        </w:tc>
      </w:tr>
      <w:tr w14:paraId="22887C1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Pr>
          <w:p w14:paraId="0C3E1D34">
            <w:pPr>
              <w:spacing w:before="0" w:after="0" w:line="240" w:lineRule="auto"/>
              <w:jc w:val="center"/>
            </w:pPr>
            <w:r>
              <w:rPr>
                <w:rFonts w:ascii="Times New Roman" w:hAnsi="Times New Roman" w:eastAsia="宋体"/>
                <w:b w:val="0"/>
                <w:sz w:val="15"/>
              </w:rPr>
              <w:t>2007</w:t>
            </w:r>
          </w:p>
        </w:tc>
        <w:tc>
          <w:tcPr>
            <w:tcW w:w="838" w:type="dxa"/>
          </w:tcPr>
          <w:p w14:paraId="1C8E78FE">
            <w:pPr>
              <w:spacing w:before="0" w:after="0" w:line="240" w:lineRule="auto"/>
              <w:jc w:val="center"/>
            </w:pPr>
            <w:r>
              <w:rPr>
                <w:rFonts w:ascii="Times New Roman" w:hAnsi="Times New Roman" w:eastAsia="宋体"/>
                <w:b w:val="0"/>
                <w:sz w:val="15"/>
              </w:rPr>
              <w:t>195</w:t>
            </w:r>
          </w:p>
        </w:tc>
        <w:tc>
          <w:tcPr>
            <w:tcW w:w="2095" w:type="dxa"/>
          </w:tcPr>
          <w:p w14:paraId="5B0F8B94">
            <w:pPr>
              <w:spacing w:before="0" w:after="0" w:line="240" w:lineRule="auto"/>
              <w:jc w:val="center"/>
            </w:pPr>
            <w:r>
              <w:rPr>
                <w:rFonts w:ascii="Times New Roman" w:hAnsi="Times New Roman" w:eastAsia="宋体"/>
                <w:b w:val="0"/>
                <w:sz w:val="15"/>
              </w:rPr>
              <w:t>0.59</w:t>
            </w:r>
          </w:p>
        </w:tc>
        <w:tc>
          <w:tcPr>
            <w:tcW w:w="1396" w:type="dxa"/>
          </w:tcPr>
          <w:p w14:paraId="52AC9F6D">
            <w:pPr>
              <w:spacing w:before="0" w:after="0" w:line="240" w:lineRule="auto"/>
              <w:jc w:val="center"/>
            </w:pPr>
            <w:r>
              <w:rPr>
                <w:rFonts w:ascii="Times New Roman" w:hAnsi="Times New Roman" w:eastAsia="宋体"/>
                <w:b w:val="0"/>
                <w:sz w:val="15"/>
              </w:rPr>
              <w:t>384</w:t>
            </w:r>
          </w:p>
        </w:tc>
        <w:tc>
          <w:tcPr>
            <w:tcW w:w="1396" w:type="dxa"/>
          </w:tcPr>
          <w:p w14:paraId="13FE4F6D">
            <w:pPr>
              <w:spacing w:before="0" w:after="0" w:line="240" w:lineRule="auto"/>
              <w:jc w:val="center"/>
            </w:pPr>
            <w:r>
              <w:rPr>
                <w:rFonts w:ascii="Times New Roman" w:hAnsi="Times New Roman" w:eastAsia="宋体"/>
                <w:b w:val="0"/>
                <w:sz w:val="15"/>
              </w:rPr>
              <w:t>—</w:t>
            </w:r>
          </w:p>
        </w:tc>
        <w:tc>
          <w:tcPr>
            <w:tcW w:w="1676" w:type="dxa"/>
          </w:tcPr>
          <w:p w14:paraId="349CEF23">
            <w:pPr>
              <w:spacing w:before="0" w:after="0" w:line="240" w:lineRule="auto"/>
              <w:jc w:val="center"/>
            </w:pPr>
            <w:r>
              <w:rPr>
                <w:rFonts w:ascii="Times New Roman" w:hAnsi="Times New Roman" w:eastAsia="宋体"/>
                <w:b w:val="0"/>
                <w:sz w:val="15"/>
              </w:rPr>
              <w:t>10.47</w:t>
            </w:r>
          </w:p>
        </w:tc>
        <w:tc>
          <w:tcPr>
            <w:tcW w:w="1637" w:type="dxa"/>
          </w:tcPr>
          <w:p w14:paraId="0193E4CD">
            <w:pPr>
              <w:spacing w:before="0" w:after="0" w:line="240" w:lineRule="auto"/>
              <w:jc w:val="center"/>
            </w:pPr>
            <w:r>
              <w:rPr>
                <w:rFonts w:ascii="Times New Roman" w:hAnsi="Times New Roman" w:eastAsia="宋体"/>
                <w:b w:val="0"/>
                <w:sz w:val="15"/>
              </w:rPr>
              <w:t>0.30</w:t>
            </w:r>
          </w:p>
        </w:tc>
      </w:tr>
      <w:tr w14:paraId="6D58CE7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Pr>
          <w:p w14:paraId="0D2DF943">
            <w:pPr>
              <w:spacing w:before="0" w:after="0" w:line="240" w:lineRule="auto"/>
              <w:jc w:val="center"/>
            </w:pPr>
            <w:r>
              <w:rPr>
                <w:rFonts w:ascii="Times New Roman" w:hAnsi="Times New Roman" w:eastAsia="宋体"/>
                <w:b w:val="0"/>
                <w:sz w:val="15"/>
              </w:rPr>
              <w:t>2010</w:t>
            </w:r>
          </w:p>
        </w:tc>
        <w:tc>
          <w:tcPr>
            <w:tcW w:w="838" w:type="dxa"/>
          </w:tcPr>
          <w:p w14:paraId="05712E99">
            <w:pPr>
              <w:spacing w:before="0" w:after="0" w:line="240" w:lineRule="auto"/>
              <w:jc w:val="center"/>
            </w:pPr>
            <w:r>
              <w:rPr>
                <w:rFonts w:ascii="Times New Roman" w:hAnsi="Times New Roman" w:eastAsia="宋体"/>
                <w:b w:val="0"/>
                <w:sz w:val="15"/>
              </w:rPr>
              <w:t>333</w:t>
            </w:r>
          </w:p>
        </w:tc>
        <w:tc>
          <w:tcPr>
            <w:tcW w:w="2095" w:type="dxa"/>
          </w:tcPr>
          <w:p w14:paraId="2F305109">
            <w:pPr>
              <w:spacing w:before="0" w:after="0" w:line="240" w:lineRule="auto"/>
              <w:jc w:val="center"/>
            </w:pPr>
            <w:r>
              <w:rPr>
                <w:rFonts w:ascii="Times New Roman" w:hAnsi="Times New Roman" w:eastAsia="宋体"/>
                <w:b w:val="0"/>
                <w:sz w:val="15"/>
              </w:rPr>
              <w:t>2.29</w:t>
            </w:r>
          </w:p>
        </w:tc>
        <w:tc>
          <w:tcPr>
            <w:tcW w:w="1396" w:type="dxa"/>
          </w:tcPr>
          <w:p w14:paraId="454185F5">
            <w:pPr>
              <w:spacing w:before="0" w:after="0" w:line="240" w:lineRule="auto"/>
              <w:jc w:val="center"/>
            </w:pPr>
            <w:r>
              <w:rPr>
                <w:rFonts w:ascii="Times New Roman" w:hAnsi="Times New Roman" w:eastAsia="宋体"/>
                <w:b w:val="0"/>
                <w:sz w:val="15"/>
              </w:rPr>
              <w:t>655</w:t>
            </w:r>
          </w:p>
        </w:tc>
        <w:tc>
          <w:tcPr>
            <w:tcW w:w="1396" w:type="dxa"/>
          </w:tcPr>
          <w:p w14:paraId="1B9E0599">
            <w:pPr>
              <w:spacing w:before="0" w:after="0" w:line="240" w:lineRule="auto"/>
              <w:jc w:val="center"/>
            </w:pPr>
            <w:r>
              <w:rPr>
                <w:rFonts w:ascii="Times New Roman" w:hAnsi="Times New Roman" w:eastAsia="宋体"/>
                <w:b w:val="0"/>
                <w:sz w:val="15"/>
              </w:rPr>
              <w:t>—</w:t>
            </w:r>
          </w:p>
        </w:tc>
        <w:tc>
          <w:tcPr>
            <w:tcW w:w="1676" w:type="dxa"/>
          </w:tcPr>
          <w:p w14:paraId="537F394A">
            <w:pPr>
              <w:spacing w:before="0" w:after="0" w:line="240" w:lineRule="auto"/>
              <w:jc w:val="center"/>
            </w:pPr>
            <w:r>
              <w:rPr>
                <w:rFonts w:ascii="Times New Roman" w:hAnsi="Times New Roman" w:eastAsia="宋体"/>
                <w:b w:val="0"/>
                <w:sz w:val="15"/>
              </w:rPr>
              <w:t>9.77</w:t>
            </w:r>
          </w:p>
        </w:tc>
        <w:tc>
          <w:tcPr>
            <w:tcW w:w="1637" w:type="dxa"/>
          </w:tcPr>
          <w:p w14:paraId="6DF1C71E">
            <w:pPr>
              <w:spacing w:before="0" w:after="0" w:line="240" w:lineRule="auto"/>
              <w:jc w:val="center"/>
            </w:pPr>
            <w:r>
              <w:rPr>
                <w:rFonts w:ascii="Times New Roman" w:hAnsi="Times New Roman" w:eastAsia="宋体"/>
                <w:b w:val="0"/>
                <w:sz w:val="15"/>
              </w:rPr>
              <w:t>0.71</w:t>
            </w:r>
          </w:p>
        </w:tc>
      </w:tr>
      <w:tr w14:paraId="5C223EB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600" w:type="dxa"/>
          </w:tcPr>
          <w:p w14:paraId="2CC23593">
            <w:pPr>
              <w:spacing w:before="0" w:after="0" w:line="240" w:lineRule="auto"/>
              <w:jc w:val="center"/>
            </w:pPr>
            <w:r>
              <w:rPr>
                <w:rFonts w:ascii="Times New Roman" w:hAnsi="Times New Roman" w:eastAsia="宋体"/>
                <w:b w:val="0"/>
                <w:sz w:val="15"/>
              </w:rPr>
              <w:t>2013</w:t>
            </w:r>
          </w:p>
        </w:tc>
        <w:tc>
          <w:tcPr>
            <w:tcW w:w="838" w:type="dxa"/>
          </w:tcPr>
          <w:p w14:paraId="1E0FF08A">
            <w:pPr>
              <w:spacing w:before="0" w:after="0" w:line="240" w:lineRule="auto"/>
              <w:jc w:val="center"/>
            </w:pPr>
            <w:r>
              <w:rPr>
                <w:rFonts w:ascii="Times New Roman" w:hAnsi="Times New Roman" w:eastAsia="宋体"/>
                <w:b w:val="0"/>
                <w:sz w:val="15"/>
              </w:rPr>
              <w:t>599</w:t>
            </w:r>
          </w:p>
        </w:tc>
        <w:tc>
          <w:tcPr>
            <w:tcW w:w="2095" w:type="dxa"/>
          </w:tcPr>
          <w:p w14:paraId="56ED0C65">
            <w:pPr>
              <w:spacing w:before="0" w:after="0" w:line="240" w:lineRule="auto"/>
              <w:jc w:val="center"/>
            </w:pPr>
            <w:r>
              <w:rPr>
                <w:rFonts w:ascii="Times New Roman" w:hAnsi="Times New Roman" w:eastAsia="宋体"/>
                <w:b w:val="0"/>
                <w:sz w:val="15"/>
              </w:rPr>
              <w:t>4.40</w:t>
            </w:r>
          </w:p>
        </w:tc>
        <w:tc>
          <w:tcPr>
            <w:tcW w:w="1396" w:type="dxa"/>
          </w:tcPr>
          <w:p w14:paraId="46CC13F5">
            <w:pPr>
              <w:spacing w:before="0" w:after="0" w:line="240" w:lineRule="auto"/>
              <w:jc w:val="center"/>
            </w:pPr>
            <w:r>
              <w:rPr>
                <w:rFonts w:ascii="Times New Roman" w:hAnsi="Times New Roman" w:eastAsia="宋体"/>
                <w:b w:val="0"/>
                <w:sz w:val="15"/>
              </w:rPr>
              <w:t>1589</w:t>
            </w:r>
          </w:p>
        </w:tc>
        <w:tc>
          <w:tcPr>
            <w:tcW w:w="1396" w:type="dxa"/>
          </w:tcPr>
          <w:p w14:paraId="7CD1FAAA">
            <w:pPr>
              <w:spacing w:before="0" w:after="0" w:line="240" w:lineRule="auto"/>
              <w:jc w:val="center"/>
            </w:pPr>
            <w:r>
              <w:rPr>
                <w:rFonts w:ascii="Times New Roman" w:hAnsi="Times New Roman" w:eastAsia="宋体"/>
                <w:b w:val="0"/>
                <w:sz w:val="15"/>
              </w:rPr>
              <w:t>34069.79</w:t>
            </w:r>
          </w:p>
        </w:tc>
        <w:tc>
          <w:tcPr>
            <w:tcW w:w="1676" w:type="dxa"/>
          </w:tcPr>
          <w:p w14:paraId="1FB778BF">
            <w:pPr>
              <w:spacing w:before="0" w:after="0" w:line="240" w:lineRule="auto"/>
              <w:jc w:val="center"/>
            </w:pPr>
            <w:r>
              <w:rPr>
                <w:rFonts w:ascii="Times New Roman" w:hAnsi="Times New Roman" w:eastAsia="宋体"/>
                <w:b w:val="0"/>
                <w:sz w:val="15"/>
              </w:rPr>
              <w:t>8.24</w:t>
            </w:r>
          </w:p>
        </w:tc>
        <w:tc>
          <w:tcPr>
            <w:tcW w:w="1637" w:type="dxa"/>
          </w:tcPr>
          <w:p w14:paraId="7AC8B6DD">
            <w:pPr>
              <w:spacing w:before="0" w:after="0" w:line="240" w:lineRule="auto"/>
              <w:jc w:val="center"/>
            </w:pPr>
            <w:r>
              <w:rPr>
                <w:rFonts w:ascii="Times New Roman" w:hAnsi="Times New Roman" w:eastAsia="宋体"/>
                <w:b w:val="0"/>
                <w:sz w:val="15"/>
              </w:rPr>
              <w:t>0.80</w:t>
            </w:r>
          </w:p>
        </w:tc>
      </w:tr>
      <w:tr w14:paraId="765AD83D">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Pr>
          <w:p w14:paraId="7589C44B">
            <w:pPr>
              <w:spacing w:before="0" w:after="0" w:line="240" w:lineRule="auto"/>
              <w:jc w:val="center"/>
            </w:pPr>
            <w:r>
              <w:rPr>
                <w:rFonts w:ascii="Times New Roman" w:hAnsi="Times New Roman" w:eastAsia="宋体"/>
                <w:b w:val="0"/>
                <w:sz w:val="15"/>
              </w:rPr>
              <w:t>2016</w:t>
            </w:r>
          </w:p>
        </w:tc>
        <w:tc>
          <w:tcPr>
            <w:tcW w:w="838" w:type="dxa"/>
          </w:tcPr>
          <w:p w14:paraId="7F044617">
            <w:pPr>
              <w:spacing w:before="0" w:after="0" w:line="240" w:lineRule="auto"/>
              <w:jc w:val="center"/>
            </w:pPr>
            <w:r>
              <w:rPr>
                <w:rFonts w:ascii="Times New Roman" w:hAnsi="Times New Roman" w:eastAsia="宋体"/>
                <w:b w:val="0"/>
                <w:sz w:val="15"/>
              </w:rPr>
              <w:t>634</w:t>
            </w:r>
          </w:p>
        </w:tc>
        <w:tc>
          <w:tcPr>
            <w:tcW w:w="2095" w:type="dxa"/>
          </w:tcPr>
          <w:p w14:paraId="51636096">
            <w:pPr>
              <w:spacing w:before="0" w:after="0" w:line="240" w:lineRule="auto"/>
              <w:jc w:val="center"/>
            </w:pPr>
            <w:r>
              <w:rPr>
                <w:rFonts w:ascii="Times New Roman" w:hAnsi="Times New Roman" w:eastAsia="宋体"/>
                <w:b w:val="0"/>
                <w:sz w:val="15"/>
              </w:rPr>
              <w:t>10.21</w:t>
            </w:r>
          </w:p>
        </w:tc>
        <w:tc>
          <w:tcPr>
            <w:tcW w:w="1396" w:type="dxa"/>
          </w:tcPr>
          <w:p w14:paraId="26006333">
            <w:pPr>
              <w:spacing w:before="0" w:after="0" w:line="240" w:lineRule="auto"/>
              <w:jc w:val="center"/>
            </w:pPr>
            <w:r>
              <w:rPr>
                <w:rFonts w:ascii="Times New Roman" w:hAnsi="Times New Roman" w:eastAsia="宋体"/>
                <w:b w:val="0"/>
                <w:sz w:val="15"/>
              </w:rPr>
              <w:t>2655</w:t>
            </w:r>
          </w:p>
        </w:tc>
        <w:tc>
          <w:tcPr>
            <w:tcW w:w="1396" w:type="dxa"/>
          </w:tcPr>
          <w:p w14:paraId="6BD5838A">
            <w:pPr>
              <w:spacing w:before="0" w:after="0" w:line="240" w:lineRule="auto"/>
              <w:jc w:val="center"/>
            </w:pPr>
            <w:r>
              <w:rPr>
                <w:rFonts w:ascii="Times New Roman" w:hAnsi="Times New Roman" w:eastAsia="宋体"/>
                <w:b w:val="0"/>
                <w:sz w:val="15"/>
              </w:rPr>
              <w:t>39975.88</w:t>
            </w:r>
          </w:p>
        </w:tc>
        <w:tc>
          <w:tcPr>
            <w:tcW w:w="1676" w:type="dxa"/>
          </w:tcPr>
          <w:p w14:paraId="7B454790">
            <w:pPr>
              <w:spacing w:before="0" w:after="0" w:line="240" w:lineRule="auto"/>
              <w:jc w:val="center"/>
            </w:pPr>
            <w:r>
              <w:rPr>
                <w:rFonts w:ascii="Times New Roman" w:hAnsi="Times New Roman" w:eastAsia="宋体"/>
                <w:b w:val="0"/>
                <w:sz w:val="15"/>
              </w:rPr>
              <w:t>9.37</w:t>
            </w:r>
          </w:p>
        </w:tc>
        <w:tc>
          <w:tcPr>
            <w:tcW w:w="1637" w:type="dxa"/>
          </w:tcPr>
          <w:p w14:paraId="1C6154D9">
            <w:pPr>
              <w:spacing w:before="0" w:after="0" w:line="240" w:lineRule="auto"/>
              <w:jc w:val="center"/>
            </w:pPr>
            <w:r>
              <w:rPr>
                <w:rFonts w:ascii="Times New Roman" w:hAnsi="Times New Roman" w:eastAsia="宋体"/>
                <w:b w:val="0"/>
                <w:sz w:val="15"/>
              </w:rPr>
              <w:t>0.85</w:t>
            </w:r>
          </w:p>
        </w:tc>
      </w:tr>
      <w:tr w14:paraId="698F7E1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Pr>
          <w:p w14:paraId="72CFEEDB">
            <w:pPr>
              <w:spacing w:before="0" w:after="0" w:line="240" w:lineRule="auto"/>
              <w:jc w:val="center"/>
            </w:pPr>
            <w:r>
              <w:rPr>
                <w:rFonts w:ascii="Times New Roman" w:hAnsi="Times New Roman" w:eastAsia="宋体"/>
                <w:b w:val="0"/>
                <w:sz w:val="15"/>
              </w:rPr>
              <w:t>2019</w:t>
            </w:r>
          </w:p>
        </w:tc>
        <w:tc>
          <w:tcPr>
            <w:tcW w:w="838" w:type="dxa"/>
          </w:tcPr>
          <w:p w14:paraId="2A149686">
            <w:pPr>
              <w:spacing w:before="0" w:after="0" w:line="240" w:lineRule="auto"/>
              <w:jc w:val="center"/>
            </w:pPr>
            <w:r>
              <w:rPr>
                <w:rFonts w:ascii="Times New Roman" w:hAnsi="Times New Roman" w:eastAsia="宋体"/>
                <w:b w:val="0"/>
                <w:sz w:val="15"/>
              </w:rPr>
              <w:t>838</w:t>
            </w:r>
          </w:p>
        </w:tc>
        <w:tc>
          <w:tcPr>
            <w:tcW w:w="2095" w:type="dxa"/>
          </w:tcPr>
          <w:p w14:paraId="1D710D75">
            <w:pPr>
              <w:spacing w:before="0" w:after="0" w:line="240" w:lineRule="auto"/>
              <w:jc w:val="center"/>
            </w:pPr>
            <w:r>
              <w:rPr>
                <w:rFonts w:ascii="Times New Roman" w:hAnsi="Times New Roman" w:eastAsia="宋体"/>
                <w:b w:val="0"/>
                <w:sz w:val="15"/>
              </w:rPr>
              <w:t>14.04</w:t>
            </w:r>
          </w:p>
        </w:tc>
        <w:tc>
          <w:tcPr>
            <w:tcW w:w="1396" w:type="dxa"/>
          </w:tcPr>
          <w:p w14:paraId="7AA2BFA6">
            <w:pPr>
              <w:spacing w:before="0" w:after="0" w:line="240" w:lineRule="auto"/>
              <w:jc w:val="center"/>
            </w:pPr>
            <w:r>
              <w:rPr>
                <w:rFonts w:ascii="Times New Roman" w:hAnsi="Times New Roman" w:eastAsia="宋体"/>
                <w:b w:val="0"/>
                <w:sz w:val="15"/>
              </w:rPr>
              <w:t>4674</w:t>
            </w:r>
          </w:p>
        </w:tc>
        <w:tc>
          <w:tcPr>
            <w:tcW w:w="1396" w:type="dxa"/>
          </w:tcPr>
          <w:p w14:paraId="2E330381">
            <w:pPr>
              <w:spacing w:before="0" w:after="0" w:line="240" w:lineRule="auto"/>
              <w:jc w:val="center"/>
            </w:pPr>
            <w:r>
              <w:rPr>
                <w:rFonts w:ascii="Times New Roman" w:hAnsi="Times New Roman" w:eastAsia="宋体"/>
                <w:b w:val="0"/>
                <w:sz w:val="15"/>
              </w:rPr>
              <w:t>54233.62</w:t>
            </w:r>
          </w:p>
        </w:tc>
        <w:tc>
          <w:tcPr>
            <w:tcW w:w="1676" w:type="dxa"/>
          </w:tcPr>
          <w:p w14:paraId="6028324C">
            <w:pPr>
              <w:spacing w:before="0" w:after="0" w:line="240" w:lineRule="auto"/>
              <w:jc w:val="center"/>
            </w:pPr>
            <w:r>
              <w:rPr>
                <w:rFonts w:ascii="Times New Roman" w:hAnsi="Times New Roman" w:eastAsia="宋体"/>
                <w:b w:val="0"/>
                <w:sz w:val="15"/>
              </w:rPr>
              <w:t>11.67</w:t>
            </w:r>
          </w:p>
        </w:tc>
        <w:tc>
          <w:tcPr>
            <w:tcW w:w="1637" w:type="dxa"/>
          </w:tcPr>
          <w:p w14:paraId="74F2304E">
            <w:pPr>
              <w:spacing w:before="0" w:after="0" w:line="240" w:lineRule="auto"/>
              <w:jc w:val="center"/>
            </w:pPr>
            <w:r>
              <w:rPr>
                <w:rFonts w:ascii="Times New Roman" w:hAnsi="Times New Roman" w:eastAsia="宋体"/>
                <w:b w:val="0"/>
                <w:sz w:val="15"/>
              </w:rPr>
              <w:t>0.98</w:t>
            </w:r>
          </w:p>
        </w:tc>
      </w:tr>
      <w:tr w14:paraId="28EDD50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Pr>
          <w:p w14:paraId="3233AD35">
            <w:pPr>
              <w:spacing w:before="0" w:after="0" w:line="240" w:lineRule="auto"/>
              <w:jc w:val="center"/>
            </w:pPr>
            <w:r>
              <w:rPr>
                <w:rFonts w:ascii="Times New Roman" w:hAnsi="Times New Roman" w:eastAsia="宋体"/>
                <w:b w:val="0"/>
                <w:sz w:val="15"/>
              </w:rPr>
              <w:t>2020</w:t>
            </w:r>
          </w:p>
        </w:tc>
        <w:tc>
          <w:tcPr>
            <w:tcW w:w="838" w:type="dxa"/>
          </w:tcPr>
          <w:p w14:paraId="6F899B93">
            <w:pPr>
              <w:spacing w:before="0" w:after="0" w:line="240" w:lineRule="auto"/>
              <w:jc w:val="center"/>
            </w:pPr>
            <w:r>
              <w:rPr>
                <w:rFonts w:ascii="Times New Roman" w:hAnsi="Times New Roman" w:eastAsia="宋体"/>
                <w:b w:val="0"/>
                <w:sz w:val="15"/>
              </w:rPr>
              <w:t>885</w:t>
            </w:r>
          </w:p>
        </w:tc>
        <w:tc>
          <w:tcPr>
            <w:tcW w:w="2095" w:type="dxa"/>
          </w:tcPr>
          <w:p w14:paraId="20787967">
            <w:pPr>
              <w:spacing w:before="0" w:after="0" w:line="240" w:lineRule="auto"/>
              <w:jc w:val="center"/>
            </w:pPr>
            <w:r>
              <w:rPr>
                <w:rFonts w:ascii="Times New Roman" w:hAnsi="Times New Roman" w:eastAsia="宋体"/>
                <w:b w:val="0"/>
                <w:sz w:val="15"/>
              </w:rPr>
              <w:t>14.38</w:t>
            </w:r>
          </w:p>
        </w:tc>
        <w:tc>
          <w:tcPr>
            <w:tcW w:w="1396" w:type="dxa"/>
          </w:tcPr>
          <w:p w14:paraId="21105D35">
            <w:pPr>
              <w:spacing w:before="0" w:after="0" w:line="240" w:lineRule="auto"/>
              <w:jc w:val="center"/>
            </w:pPr>
            <w:r>
              <w:rPr>
                <w:rFonts w:ascii="Times New Roman" w:hAnsi="Times New Roman" w:eastAsia="宋体"/>
                <w:b w:val="0"/>
                <w:sz w:val="15"/>
              </w:rPr>
              <w:t>5773</w:t>
            </w:r>
          </w:p>
        </w:tc>
        <w:tc>
          <w:tcPr>
            <w:tcW w:w="1396" w:type="dxa"/>
          </w:tcPr>
          <w:p w14:paraId="53DE1924">
            <w:pPr>
              <w:spacing w:before="0" w:after="0" w:line="240" w:lineRule="auto"/>
              <w:jc w:val="center"/>
            </w:pPr>
            <w:r>
              <w:rPr>
                <w:rFonts w:ascii="Times New Roman" w:hAnsi="Times New Roman" w:eastAsia="宋体"/>
                <w:b w:val="0"/>
                <w:sz w:val="15"/>
              </w:rPr>
              <w:t>55390.50</w:t>
            </w:r>
          </w:p>
        </w:tc>
        <w:tc>
          <w:tcPr>
            <w:tcW w:w="1676" w:type="dxa"/>
          </w:tcPr>
          <w:p w14:paraId="51363C60">
            <w:pPr>
              <w:spacing w:before="0" w:after="0" w:line="240" w:lineRule="auto"/>
              <w:jc w:val="center"/>
            </w:pPr>
            <w:r>
              <w:rPr>
                <w:rFonts w:ascii="Times New Roman" w:hAnsi="Times New Roman" w:eastAsia="宋体"/>
                <w:b w:val="0"/>
                <w:sz w:val="15"/>
              </w:rPr>
              <w:t>11.96</w:t>
            </w:r>
          </w:p>
        </w:tc>
        <w:tc>
          <w:tcPr>
            <w:tcW w:w="1637" w:type="dxa"/>
          </w:tcPr>
          <w:p w14:paraId="64FEA9E8">
            <w:pPr>
              <w:spacing w:before="0" w:after="0" w:line="240" w:lineRule="auto"/>
              <w:jc w:val="center"/>
            </w:pPr>
            <w:r>
              <w:rPr>
                <w:rFonts w:ascii="Times New Roman" w:hAnsi="Times New Roman" w:eastAsia="宋体"/>
                <w:b w:val="0"/>
                <w:sz w:val="15"/>
              </w:rPr>
              <w:t>2.97</w:t>
            </w:r>
          </w:p>
        </w:tc>
      </w:tr>
      <w:tr w14:paraId="696B649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600" w:type="dxa"/>
          </w:tcPr>
          <w:p w14:paraId="0623CF87">
            <w:pPr>
              <w:spacing w:before="0" w:after="0" w:line="240" w:lineRule="auto"/>
              <w:jc w:val="center"/>
            </w:pPr>
            <w:r>
              <w:rPr>
                <w:rFonts w:ascii="Times New Roman" w:hAnsi="Times New Roman" w:eastAsia="宋体"/>
                <w:b w:val="0"/>
                <w:sz w:val="15"/>
              </w:rPr>
              <w:t>2022</w:t>
            </w:r>
          </w:p>
        </w:tc>
        <w:tc>
          <w:tcPr>
            <w:tcW w:w="838" w:type="dxa"/>
          </w:tcPr>
          <w:p w14:paraId="58EF8322">
            <w:pPr>
              <w:spacing w:before="0" w:after="0" w:line="240" w:lineRule="auto"/>
              <w:jc w:val="center"/>
            </w:pPr>
            <w:r>
              <w:rPr>
                <w:rFonts w:ascii="Times New Roman" w:hAnsi="Times New Roman" w:eastAsia="宋体"/>
                <w:b w:val="0"/>
                <w:sz w:val="15"/>
              </w:rPr>
              <w:t>1045</w:t>
            </w:r>
          </w:p>
        </w:tc>
        <w:tc>
          <w:tcPr>
            <w:tcW w:w="2095" w:type="dxa"/>
          </w:tcPr>
          <w:p w14:paraId="0CFC8EE4">
            <w:pPr>
              <w:spacing w:before="0" w:after="0" w:line="240" w:lineRule="auto"/>
              <w:jc w:val="center"/>
            </w:pPr>
            <w:r>
              <w:rPr>
                <w:rFonts w:ascii="Times New Roman" w:hAnsi="Times New Roman" w:eastAsia="宋体"/>
                <w:b w:val="0"/>
                <w:sz w:val="15"/>
              </w:rPr>
              <w:t>13.23</w:t>
            </w:r>
          </w:p>
        </w:tc>
        <w:tc>
          <w:tcPr>
            <w:tcW w:w="1396" w:type="dxa"/>
          </w:tcPr>
          <w:p w14:paraId="5B92A0FC">
            <w:pPr>
              <w:spacing w:before="0" w:after="0" w:line="240" w:lineRule="auto"/>
              <w:jc w:val="center"/>
            </w:pPr>
            <w:r>
              <w:rPr>
                <w:rFonts w:ascii="Times New Roman" w:hAnsi="Times New Roman" w:eastAsia="宋体"/>
                <w:b w:val="0"/>
                <w:sz w:val="15"/>
              </w:rPr>
              <w:t>8368</w:t>
            </w:r>
          </w:p>
        </w:tc>
        <w:tc>
          <w:tcPr>
            <w:tcW w:w="1396" w:type="dxa"/>
          </w:tcPr>
          <w:p w14:paraId="76D017F1">
            <w:pPr>
              <w:spacing w:before="0" w:after="0" w:line="240" w:lineRule="auto"/>
              <w:jc w:val="center"/>
            </w:pPr>
            <w:r>
              <w:rPr>
                <w:rFonts w:ascii="Times New Roman" w:hAnsi="Times New Roman" w:eastAsia="宋体"/>
                <w:b w:val="0"/>
                <w:sz w:val="15"/>
              </w:rPr>
              <w:t>58036.96</w:t>
            </w:r>
          </w:p>
        </w:tc>
        <w:tc>
          <w:tcPr>
            <w:tcW w:w="1676" w:type="dxa"/>
          </w:tcPr>
          <w:p w14:paraId="72E09623">
            <w:pPr>
              <w:spacing w:before="0" w:after="0" w:line="240" w:lineRule="auto"/>
              <w:jc w:val="center"/>
            </w:pPr>
            <w:r>
              <w:rPr>
                <w:rFonts w:ascii="Times New Roman" w:hAnsi="Times New Roman" w:eastAsia="宋体"/>
                <w:b w:val="0"/>
                <w:sz w:val="15"/>
              </w:rPr>
              <w:t>11.93</w:t>
            </w:r>
          </w:p>
        </w:tc>
        <w:tc>
          <w:tcPr>
            <w:tcW w:w="1637" w:type="dxa"/>
          </w:tcPr>
          <w:p w14:paraId="05DF9FD2">
            <w:pPr>
              <w:spacing w:before="0" w:after="0" w:line="240" w:lineRule="auto"/>
              <w:jc w:val="center"/>
            </w:pPr>
            <w:r>
              <w:rPr>
                <w:rFonts w:ascii="Times New Roman" w:hAnsi="Times New Roman" w:eastAsia="宋体"/>
                <w:b w:val="0"/>
                <w:sz w:val="15"/>
              </w:rPr>
              <w:t>12.08</w:t>
            </w:r>
          </w:p>
        </w:tc>
      </w:tr>
      <w:tr w14:paraId="2C2B6BE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00" w:type="dxa"/>
          </w:tcPr>
          <w:p w14:paraId="6329A3DB">
            <w:pPr>
              <w:spacing w:before="0" w:after="0" w:line="240" w:lineRule="auto"/>
              <w:jc w:val="center"/>
            </w:pPr>
            <w:r>
              <w:rPr>
                <w:rFonts w:ascii="Times New Roman" w:hAnsi="Times New Roman" w:eastAsia="宋体"/>
                <w:b w:val="0"/>
                <w:sz w:val="15"/>
              </w:rPr>
              <w:t>2024</w:t>
            </w:r>
          </w:p>
        </w:tc>
        <w:tc>
          <w:tcPr>
            <w:tcW w:w="838" w:type="dxa"/>
          </w:tcPr>
          <w:p w14:paraId="1FEA405A">
            <w:pPr>
              <w:spacing w:before="0" w:after="0" w:line="240" w:lineRule="auto"/>
              <w:jc w:val="center"/>
            </w:pPr>
            <w:r>
              <w:rPr>
                <w:rFonts w:ascii="Times New Roman" w:hAnsi="Times New Roman" w:eastAsia="宋体"/>
                <w:b w:val="0"/>
                <w:sz w:val="15"/>
              </w:rPr>
              <w:t>1161</w:t>
            </w:r>
          </w:p>
        </w:tc>
        <w:tc>
          <w:tcPr>
            <w:tcW w:w="2095" w:type="dxa"/>
          </w:tcPr>
          <w:p w14:paraId="43C0D203">
            <w:pPr>
              <w:spacing w:before="0" w:after="0" w:line="240" w:lineRule="auto"/>
              <w:jc w:val="center"/>
            </w:pPr>
            <w:r>
              <w:rPr>
                <w:rFonts w:ascii="Times New Roman" w:hAnsi="Times New Roman" w:eastAsia="宋体"/>
                <w:b w:val="0"/>
                <w:sz w:val="15"/>
              </w:rPr>
              <w:t>14.36</w:t>
            </w:r>
          </w:p>
        </w:tc>
        <w:tc>
          <w:tcPr>
            <w:tcW w:w="1396" w:type="dxa"/>
          </w:tcPr>
          <w:p w14:paraId="35601BF9">
            <w:pPr>
              <w:spacing w:before="0" w:after="0" w:line="240" w:lineRule="auto"/>
              <w:jc w:val="center"/>
            </w:pPr>
            <w:r>
              <w:rPr>
                <w:rFonts w:ascii="Times New Roman" w:hAnsi="Times New Roman" w:eastAsia="宋体"/>
                <w:b w:val="0"/>
                <w:sz w:val="15"/>
              </w:rPr>
              <w:t>4671</w:t>
            </w:r>
          </w:p>
        </w:tc>
        <w:tc>
          <w:tcPr>
            <w:tcW w:w="1396" w:type="dxa"/>
          </w:tcPr>
          <w:p w14:paraId="354A97AC">
            <w:pPr>
              <w:spacing w:before="0" w:after="0" w:line="240" w:lineRule="auto"/>
              <w:jc w:val="center"/>
            </w:pPr>
            <w:r>
              <w:rPr>
                <w:rFonts w:ascii="Times New Roman" w:hAnsi="Times New Roman" w:eastAsia="宋体"/>
                <w:b w:val="0"/>
                <w:sz w:val="15"/>
              </w:rPr>
              <w:t>62497.15</w:t>
            </w:r>
          </w:p>
        </w:tc>
        <w:tc>
          <w:tcPr>
            <w:tcW w:w="1676" w:type="dxa"/>
          </w:tcPr>
          <w:p w14:paraId="6FED1375">
            <w:pPr>
              <w:spacing w:before="0" w:after="0" w:line="240" w:lineRule="auto"/>
              <w:jc w:val="center"/>
            </w:pPr>
            <w:r>
              <w:rPr>
                <w:rFonts w:ascii="Times New Roman" w:hAnsi="Times New Roman" w:eastAsia="宋体"/>
                <w:b w:val="0"/>
                <w:sz w:val="15"/>
              </w:rPr>
              <w:t>12.37</w:t>
            </w:r>
          </w:p>
        </w:tc>
        <w:tc>
          <w:tcPr>
            <w:tcW w:w="1637" w:type="dxa"/>
          </w:tcPr>
          <w:p w14:paraId="1655ECFC">
            <w:pPr>
              <w:spacing w:before="0" w:after="0" w:line="240" w:lineRule="auto"/>
              <w:jc w:val="center"/>
            </w:pPr>
            <w:r>
              <w:rPr>
                <w:rFonts w:ascii="Times New Roman" w:hAnsi="Times New Roman" w:eastAsia="宋体"/>
                <w:b w:val="0"/>
                <w:sz w:val="15"/>
              </w:rPr>
              <w:t>13.42</w:t>
            </w:r>
          </w:p>
        </w:tc>
      </w:tr>
    </w:tbl>
    <w:p w14:paraId="0C2097FE">
      <w:pPr>
        <w:spacing w:before="40" w:after="120" w:line="240" w:lineRule="auto"/>
        <w:ind w:firstLine="180" w:firstLineChars="100"/>
        <w:jc w:val="left"/>
      </w:pPr>
      <w:r>
        <w:rPr>
          <w:rFonts w:ascii="Times New Roman" w:hAnsi="Times New Roman" w:eastAsia="宋体"/>
          <w:b w:val="0"/>
          <w:sz w:val="18"/>
        </w:rPr>
        <w:t>注：碳信息披露词频与数据要素指数均为企业均值口径；数据要素指数自2013年起可得；2024年绿色专利申请量受公开时滞影响，为2023年的50.6%。</w:t>
      </w:r>
    </w:p>
    <w:p w14:paraId="6291AC42">
      <w:pPr>
        <w:spacing w:before="0" w:after="0" w:line="240" w:lineRule="auto"/>
        <w:ind w:firstLine="420" w:firstLineChars="200"/>
        <w:jc w:val="both"/>
      </w:pPr>
      <w:r>
        <w:rPr>
          <w:rFonts w:ascii="Times New Roman" w:hAnsi="Times New Roman" w:eastAsia="宋体"/>
          <w:b w:val="0"/>
          <w:sz w:val="21"/>
        </w:rPr>
        <w:t>图2、图3与图4分别呈现企业数智化投入、碳信息披露与全国环境污染治理投资的年度变化趋势，其数据来源为全国环境污染治理投资情况。</w:t>
      </w:r>
    </w:p>
    <w:p w14:paraId="55C8E0DA">
      <w:pPr>
        <w:spacing w:before="120" w:after="40"/>
        <w:jc w:val="center"/>
      </w:pPr>
      <w:r>
        <w:drawing>
          <wp:inline distT="0" distB="0" distL="114300" distR="114300">
            <wp:extent cx="5759450" cy="2604770"/>
            <wp:effectExtent l="0" t="0" r="1270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2605172"/>
                    </a:xfrm>
                    <a:prstGeom prst="rect">
                      <a:avLst/>
                    </a:prstGeom>
                  </pic:spPr>
                </pic:pic>
              </a:graphicData>
            </a:graphic>
          </wp:inline>
        </w:drawing>
      </w:r>
    </w:p>
    <w:p w14:paraId="090128EB">
      <w:pPr>
        <w:spacing w:before="120" w:after="20" w:line="240" w:lineRule="auto"/>
        <w:jc w:val="center"/>
      </w:pPr>
      <w:r>
        <w:rPr>
          <w:rFonts w:ascii="Times New Roman" w:hAnsi="Times New Roman" w:eastAsia="黑体"/>
          <w:b w:val="0"/>
          <w:sz w:val="18"/>
        </w:rPr>
        <w:t>图2 企业数智化投入的年度演变（2007—2024年，数据来源：AKRD企业数字化转型词频库、无形资产数字化）</w:t>
      </w:r>
    </w:p>
    <w:p w14:paraId="7DE40707">
      <w:pPr>
        <w:spacing w:before="0" w:after="60" w:line="240" w:lineRule="auto"/>
        <w:jc w:val="center"/>
      </w:pPr>
      <w:r>
        <w:rPr>
          <w:rFonts w:ascii="Times New Roman" w:hAnsi="Times New Roman" w:eastAsia="宋体"/>
          <w:b w:val="0"/>
          <w:sz w:val="16"/>
        </w:rPr>
        <w:t>Fig.2 Annual evolution of corporate digital investment (2007-2024)</w:t>
      </w:r>
    </w:p>
    <w:p w14:paraId="524B90B6">
      <w:pPr>
        <w:spacing w:before="120" w:after="40"/>
        <w:jc w:val="center"/>
      </w:pPr>
      <w:r>
        <w:drawing>
          <wp:inline distT="0" distB="0" distL="114300" distR="114300">
            <wp:extent cx="5759450" cy="2540000"/>
            <wp:effectExtent l="0" t="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000" cy="2540124"/>
                    </a:xfrm>
                    <a:prstGeom prst="rect">
                      <a:avLst/>
                    </a:prstGeom>
                  </pic:spPr>
                </pic:pic>
              </a:graphicData>
            </a:graphic>
          </wp:inline>
        </w:drawing>
      </w:r>
    </w:p>
    <w:p w14:paraId="5C07009A">
      <w:pPr>
        <w:spacing w:before="120" w:after="20" w:line="240" w:lineRule="auto"/>
        <w:jc w:val="center"/>
      </w:pPr>
      <w:r>
        <w:rPr>
          <w:rFonts w:ascii="Times New Roman" w:hAnsi="Times New Roman" w:eastAsia="黑体"/>
          <w:b w:val="0"/>
          <w:sz w:val="18"/>
        </w:rPr>
        <w:t>图3 上市公司年报碳信息披露词频（2007—2024年，数据来源：年报碳信息披露词频表）</w:t>
      </w:r>
    </w:p>
    <w:p w14:paraId="1FE97E12">
      <w:pPr>
        <w:spacing w:before="0" w:after="60" w:line="240" w:lineRule="auto"/>
        <w:jc w:val="center"/>
      </w:pPr>
      <w:r>
        <w:rPr>
          <w:rFonts w:ascii="Times New Roman" w:hAnsi="Times New Roman" w:eastAsia="宋体"/>
          <w:b w:val="0"/>
          <w:sz w:val="16"/>
        </w:rPr>
        <w:t>Fig.3 Carbon disclosure word frequency in annual reports of listed firms (2007-2024)</w:t>
      </w:r>
    </w:p>
    <w:p w14:paraId="3E033B0C">
      <w:pPr>
        <w:spacing w:before="120" w:after="40"/>
        <w:jc w:val="center"/>
      </w:pPr>
      <w:r>
        <w:drawing>
          <wp:inline distT="0" distB="0" distL="114300" distR="114300">
            <wp:extent cx="5759450" cy="2540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000" cy="2540124"/>
                    </a:xfrm>
                    <a:prstGeom prst="rect">
                      <a:avLst/>
                    </a:prstGeom>
                  </pic:spPr>
                </pic:pic>
              </a:graphicData>
            </a:graphic>
          </wp:inline>
        </w:drawing>
      </w:r>
    </w:p>
    <w:p w14:paraId="1D7540C3">
      <w:pPr>
        <w:spacing w:before="120" w:after="20" w:line="240" w:lineRule="auto"/>
        <w:jc w:val="center"/>
      </w:pPr>
      <w:r>
        <w:rPr>
          <w:rFonts w:ascii="Times New Roman" w:hAnsi="Times New Roman" w:eastAsia="黑体"/>
          <w:b w:val="0"/>
          <w:sz w:val="18"/>
        </w:rPr>
        <w:t>图4 全国环境污染治理投资（2007—2024年，数据来源：全国环境污染治理投资情况）</w:t>
      </w:r>
    </w:p>
    <w:p w14:paraId="04622FF6">
      <w:pPr>
        <w:spacing w:before="0" w:after="60" w:line="240" w:lineRule="auto"/>
        <w:jc w:val="center"/>
      </w:pPr>
      <w:r>
        <w:rPr>
          <w:rFonts w:ascii="Times New Roman" w:hAnsi="Times New Roman" w:eastAsia="宋体"/>
          <w:b w:val="0"/>
          <w:sz w:val="16"/>
        </w:rPr>
        <w:t>Fig.4 National investment in environmental pollution control (2007-2024)</w:t>
      </w:r>
    </w:p>
    <w:p w14:paraId="476DF05B">
      <w:pPr>
        <w:spacing w:before="160" w:after="80" w:line="240" w:lineRule="auto"/>
        <w:jc w:val="left"/>
      </w:pPr>
      <w:r>
        <w:rPr>
          <w:rFonts w:ascii="Times New Roman" w:hAnsi="Times New Roman" w:eastAsia="黑体"/>
          <w:b/>
          <w:sz w:val="21"/>
        </w:rPr>
        <w:t>5.2 相关性分析</w:t>
      </w:r>
    </w:p>
    <w:p w14:paraId="65061F44">
      <w:pPr>
        <w:spacing w:before="0" w:after="0" w:line="240" w:lineRule="auto"/>
        <w:ind w:firstLine="420" w:firstLineChars="200"/>
        <w:jc w:val="both"/>
      </w:pPr>
      <w:r>
        <w:rPr>
          <w:rFonts w:ascii="Times New Roman" w:hAnsi="Times New Roman" w:eastAsia="宋体"/>
          <w:b w:val="0"/>
          <w:sz w:val="21"/>
        </w:rPr>
        <w:t>未控制任何因素时，数智赋能与环境绩效的混合样本相关系数为-0.076。绿色技术创新、企业规模与环境绩效的相关系数则为0.589和0.313，均显著为正。混合相关系数为负并不代表数智技术损害环境绩效，而是企业个体异质性混淆所致。控制个体与时间固定效应后，Digit的系数转为正，见后文基准回归。</w:t>
      </w:r>
    </w:p>
    <w:p w14:paraId="0C6E51FD">
      <w:pPr>
        <w:spacing w:before="0" w:after="0" w:line="240" w:lineRule="auto"/>
        <w:ind w:firstLine="420" w:firstLineChars="200"/>
        <w:jc w:val="both"/>
      </w:pPr>
      <w:r>
        <w:rPr>
          <w:rFonts w:ascii="Times New Roman" w:hAnsi="Times New Roman" w:eastAsia="宋体"/>
          <w:b w:val="0"/>
          <w:sz w:val="21"/>
        </w:rPr>
        <w:t>各主要变量之间的Pearson相关系数如表6所示。</w:t>
      </w:r>
    </w:p>
    <w:p w14:paraId="566B99E9">
      <w:pPr>
        <w:spacing w:before="120" w:after="20" w:line="240" w:lineRule="auto"/>
        <w:jc w:val="center"/>
      </w:pPr>
      <w:r>
        <w:rPr>
          <w:rFonts w:ascii="Times New Roman" w:hAnsi="Times New Roman" w:eastAsia="黑体"/>
          <w:b w:val="0"/>
          <w:sz w:val="18"/>
        </w:rPr>
        <w:t>表6 Pearson相关系数矩阵</w:t>
      </w:r>
    </w:p>
    <w:p w14:paraId="07C252CC">
      <w:pPr>
        <w:spacing w:before="0" w:after="60" w:line="240" w:lineRule="auto"/>
        <w:jc w:val="center"/>
      </w:pPr>
      <w:r>
        <w:rPr>
          <w:rFonts w:ascii="Times New Roman" w:hAnsi="Times New Roman" w:eastAsia="宋体"/>
          <w:b w:val="0"/>
          <w:sz w:val="16"/>
        </w:rPr>
        <w:t>Table 6 Pearson correlation matrix</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69"/>
        <w:gridCol w:w="805"/>
        <w:gridCol w:w="845"/>
        <w:gridCol w:w="1152"/>
        <w:gridCol w:w="757"/>
        <w:gridCol w:w="744"/>
        <w:gridCol w:w="784"/>
        <w:gridCol w:w="818"/>
        <w:gridCol w:w="872"/>
        <w:gridCol w:w="785"/>
        <w:gridCol w:w="1007"/>
      </w:tblGrid>
      <w:tr w14:paraId="1D5DEC9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67" w:hRule="atLeast"/>
          <w:jc w:val="center"/>
        </w:trPr>
        <w:tc>
          <w:tcPr>
            <w:tcW w:w="1069" w:type="dxa"/>
            <w:tcBorders>
              <w:bottom w:val="single" w:color="auto" w:sz="8" w:space="0"/>
            </w:tcBorders>
          </w:tcPr>
          <w:p w14:paraId="2809E6E9">
            <w:pPr>
              <w:spacing w:before="0" w:after="0" w:line="240" w:lineRule="auto"/>
              <w:jc w:val="center"/>
            </w:pPr>
            <w:r>
              <w:rPr>
                <w:rFonts w:ascii="Times New Roman" w:hAnsi="Times New Roman" w:eastAsia="宋体"/>
                <w:b/>
                <w:sz w:val="15"/>
              </w:rPr>
              <w:t>变量</w:t>
            </w:r>
          </w:p>
        </w:tc>
        <w:tc>
          <w:tcPr>
            <w:tcW w:w="805" w:type="dxa"/>
            <w:tcBorders>
              <w:bottom w:val="single" w:color="auto" w:sz="8" w:space="0"/>
            </w:tcBorders>
          </w:tcPr>
          <w:p w14:paraId="71B86663">
            <w:pPr>
              <w:spacing w:before="0" w:after="0" w:line="240" w:lineRule="auto"/>
              <w:jc w:val="center"/>
            </w:pPr>
            <w:r>
              <w:rPr>
                <w:rFonts w:ascii="Times New Roman" w:hAnsi="Times New Roman" w:eastAsia="宋体"/>
                <w:b/>
                <w:sz w:val="15"/>
              </w:rPr>
              <w:t>EP</w:t>
            </w:r>
          </w:p>
        </w:tc>
        <w:tc>
          <w:tcPr>
            <w:tcW w:w="845" w:type="dxa"/>
            <w:tcBorders>
              <w:bottom w:val="single" w:color="auto" w:sz="8" w:space="0"/>
            </w:tcBorders>
          </w:tcPr>
          <w:p w14:paraId="090E37AB">
            <w:pPr>
              <w:spacing w:before="0" w:after="0" w:line="240" w:lineRule="auto"/>
              <w:jc w:val="center"/>
            </w:pPr>
            <w:r>
              <w:rPr>
                <w:rFonts w:ascii="Times New Roman" w:hAnsi="Times New Roman" w:eastAsia="宋体"/>
                <w:b/>
                <w:sz w:val="15"/>
              </w:rPr>
              <w:t>Digit</w:t>
            </w:r>
          </w:p>
        </w:tc>
        <w:tc>
          <w:tcPr>
            <w:tcW w:w="1152" w:type="dxa"/>
            <w:tcBorders>
              <w:bottom w:val="single" w:color="auto" w:sz="8" w:space="0"/>
            </w:tcBorders>
          </w:tcPr>
          <w:p w14:paraId="4BB755F7">
            <w:pPr>
              <w:spacing w:before="0" w:after="0" w:line="240" w:lineRule="auto"/>
              <w:jc w:val="center"/>
            </w:pPr>
            <w:r>
              <w:rPr>
                <w:rFonts w:ascii="Times New Roman" w:hAnsi="Times New Roman" w:eastAsia="宋体"/>
                <w:b/>
                <w:sz w:val="15"/>
              </w:rPr>
              <w:t>GreenTech</w:t>
            </w:r>
          </w:p>
        </w:tc>
        <w:tc>
          <w:tcPr>
            <w:tcW w:w="757" w:type="dxa"/>
            <w:tcBorders>
              <w:bottom w:val="single" w:color="auto" w:sz="8" w:space="0"/>
            </w:tcBorders>
          </w:tcPr>
          <w:p w14:paraId="1FBDC9D4">
            <w:pPr>
              <w:spacing w:before="0" w:after="0" w:line="240" w:lineRule="auto"/>
              <w:jc w:val="center"/>
            </w:pPr>
            <w:r>
              <w:rPr>
                <w:rFonts w:ascii="Times New Roman" w:hAnsi="Times New Roman" w:eastAsia="宋体"/>
                <w:b/>
                <w:sz w:val="15"/>
              </w:rPr>
              <w:t>Size</w:t>
            </w:r>
          </w:p>
        </w:tc>
        <w:tc>
          <w:tcPr>
            <w:tcW w:w="744" w:type="dxa"/>
            <w:tcBorders>
              <w:bottom w:val="single" w:color="auto" w:sz="8" w:space="0"/>
            </w:tcBorders>
          </w:tcPr>
          <w:p w14:paraId="20C47B13">
            <w:pPr>
              <w:spacing w:before="0" w:after="0" w:line="240" w:lineRule="auto"/>
              <w:jc w:val="center"/>
            </w:pPr>
            <w:r>
              <w:rPr>
                <w:rFonts w:ascii="Times New Roman" w:hAnsi="Times New Roman" w:eastAsia="宋体"/>
                <w:b/>
                <w:sz w:val="15"/>
              </w:rPr>
              <w:t>Lev</w:t>
            </w:r>
          </w:p>
        </w:tc>
        <w:tc>
          <w:tcPr>
            <w:tcW w:w="784" w:type="dxa"/>
            <w:tcBorders>
              <w:bottom w:val="single" w:color="auto" w:sz="8" w:space="0"/>
            </w:tcBorders>
          </w:tcPr>
          <w:p w14:paraId="20785EDF">
            <w:pPr>
              <w:spacing w:before="0" w:after="0" w:line="240" w:lineRule="auto"/>
              <w:jc w:val="center"/>
            </w:pPr>
            <w:r>
              <w:rPr>
                <w:rFonts w:ascii="Times New Roman" w:hAnsi="Times New Roman" w:eastAsia="宋体"/>
                <w:b/>
                <w:sz w:val="15"/>
              </w:rPr>
              <w:t>ROA</w:t>
            </w:r>
          </w:p>
        </w:tc>
        <w:tc>
          <w:tcPr>
            <w:tcW w:w="818" w:type="dxa"/>
            <w:tcBorders>
              <w:bottom w:val="single" w:color="auto" w:sz="8" w:space="0"/>
            </w:tcBorders>
          </w:tcPr>
          <w:p w14:paraId="379E4925">
            <w:pPr>
              <w:spacing w:before="0" w:after="0" w:line="240" w:lineRule="auto"/>
              <w:jc w:val="center"/>
            </w:pPr>
            <w:r>
              <w:rPr>
                <w:rFonts w:ascii="Times New Roman" w:hAnsi="Times New Roman" w:eastAsia="宋体"/>
                <w:b/>
                <w:sz w:val="15"/>
              </w:rPr>
              <w:t>FAsset</w:t>
            </w:r>
          </w:p>
        </w:tc>
        <w:tc>
          <w:tcPr>
            <w:tcW w:w="872" w:type="dxa"/>
            <w:tcBorders>
              <w:bottom w:val="single" w:color="auto" w:sz="8" w:space="0"/>
            </w:tcBorders>
          </w:tcPr>
          <w:p w14:paraId="3B98C07E">
            <w:pPr>
              <w:spacing w:before="0" w:after="0" w:line="240" w:lineRule="auto"/>
              <w:jc w:val="center"/>
            </w:pPr>
            <w:r>
              <w:rPr>
                <w:rFonts w:ascii="Times New Roman" w:hAnsi="Times New Roman" w:eastAsia="宋体"/>
                <w:b/>
                <w:sz w:val="15"/>
              </w:rPr>
              <w:t>Growth</w:t>
            </w:r>
          </w:p>
        </w:tc>
        <w:tc>
          <w:tcPr>
            <w:tcW w:w="785" w:type="dxa"/>
            <w:tcBorders>
              <w:bottom w:val="single" w:color="auto" w:sz="8" w:space="0"/>
            </w:tcBorders>
          </w:tcPr>
          <w:p w14:paraId="0D415BF9">
            <w:pPr>
              <w:spacing w:before="0" w:after="0" w:line="240" w:lineRule="auto"/>
              <w:jc w:val="center"/>
            </w:pPr>
            <w:r>
              <w:rPr>
                <w:rFonts w:ascii="Times New Roman" w:hAnsi="Times New Roman" w:eastAsia="宋体"/>
                <w:b/>
                <w:sz w:val="15"/>
              </w:rPr>
              <w:t>Cash</w:t>
            </w:r>
          </w:p>
        </w:tc>
        <w:tc>
          <w:tcPr>
            <w:tcW w:w="1007" w:type="dxa"/>
            <w:tcBorders>
              <w:bottom w:val="single" w:color="auto" w:sz="8" w:space="0"/>
            </w:tcBorders>
          </w:tcPr>
          <w:p w14:paraId="125C7EAE">
            <w:pPr>
              <w:spacing w:before="0" w:after="0" w:line="240" w:lineRule="auto"/>
              <w:jc w:val="center"/>
            </w:pPr>
            <w:r>
              <w:rPr>
                <w:rFonts w:ascii="Times New Roman" w:hAnsi="Times New Roman" w:eastAsia="宋体"/>
                <w:b/>
                <w:sz w:val="15"/>
              </w:rPr>
              <w:t>AuditFee</w:t>
            </w:r>
          </w:p>
        </w:tc>
      </w:tr>
      <w:tr w14:paraId="2A1B2B0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6D2FE398">
            <w:pPr>
              <w:spacing w:before="0" w:after="0" w:line="240" w:lineRule="auto"/>
              <w:jc w:val="center"/>
            </w:pPr>
            <w:r>
              <w:rPr>
                <w:rFonts w:ascii="Times New Roman" w:hAnsi="Times New Roman" w:eastAsia="宋体"/>
                <w:b w:val="0"/>
                <w:sz w:val="15"/>
              </w:rPr>
              <w:t>EP</w:t>
            </w:r>
          </w:p>
        </w:tc>
        <w:tc>
          <w:tcPr>
            <w:tcW w:w="805" w:type="dxa"/>
          </w:tcPr>
          <w:p w14:paraId="7BFFE5C4">
            <w:pPr>
              <w:spacing w:before="0" w:after="0" w:line="240" w:lineRule="auto"/>
              <w:jc w:val="center"/>
            </w:pPr>
            <w:r>
              <w:rPr>
                <w:rFonts w:ascii="Times New Roman" w:hAnsi="Times New Roman" w:eastAsia="宋体"/>
                <w:b w:val="0"/>
                <w:sz w:val="15"/>
              </w:rPr>
              <w:t>1.000</w:t>
            </w:r>
          </w:p>
        </w:tc>
        <w:tc>
          <w:tcPr>
            <w:tcW w:w="845" w:type="dxa"/>
          </w:tcPr>
          <w:p w14:paraId="4A3CF789">
            <w:pPr>
              <w:spacing w:before="0" w:after="0" w:line="240" w:lineRule="auto"/>
              <w:jc w:val="center"/>
            </w:pPr>
            <w:r>
              <w:rPr>
                <w:rFonts w:ascii="Times New Roman" w:hAnsi="Times New Roman" w:eastAsia="宋体"/>
                <w:b w:val="0"/>
                <w:sz w:val="15"/>
              </w:rPr>
              <w:t>-0.076</w:t>
            </w:r>
          </w:p>
        </w:tc>
        <w:tc>
          <w:tcPr>
            <w:tcW w:w="1152" w:type="dxa"/>
          </w:tcPr>
          <w:p w14:paraId="34F2F4EE">
            <w:pPr>
              <w:spacing w:before="0" w:after="0" w:line="240" w:lineRule="auto"/>
              <w:jc w:val="center"/>
            </w:pPr>
            <w:r>
              <w:rPr>
                <w:rFonts w:ascii="Times New Roman" w:hAnsi="Times New Roman" w:eastAsia="宋体"/>
                <w:b w:val="0"/>
                <w:sz w:val="15"/>
              </w:rPr>
              <w:t>0.589</w:t>
            </w:r>
          </w:p>
        </w:tc>
        <w:tc>
          <w:tcPr>
            <w:tcW w:w="757" w:type="dxa"/>
          </w:tcPr>
          <w:p w14:paraId="7B4A5586">
            <w:pPr>
              <w:spacing w:before="0" w:after="0" w:line="240" w:lineRule="auto"/>
              <w:jc w:val="center"/>
            </w:pPr>
            <w:r>
              <w:rPr>
                <w:rFonts w:ascii="Times New Roman" w:hAnsi="Times New Roman" w:eastAsia="宋体"/>
                <w:b w:val="0"/>
                <w:sz w:val="15"/>
              </w:rPr>
              <w:t>0.313</w:t>
            </w:r>
          </w:p>
        </w:tc>
        <w:tc>
          <w:tcPr>
            <w:tcW w:w="744" w:type="dxa"/>
          </w:tcPr>
          <w:p w14:paraId="0BEA790D">
            <w:pPr>
              <w:spacing w:before="0" w:after="0" w:line="240" w:lineRule="auto"/>
              <w:jc w:val="center"/>
            </w:pPr>
            <w:r>
              <w:rPr>
                <w:rFonts w:ascii="Times New Roman" w:hAnsi="Times New Roman" w:eastAsia="宋体"/>
                <w:b w:val="0"/>
                <w:sz w:val="15"/>
              </w:rPr>
              <w:t>0.135</w:t>
            </w:r>
          </w:p>
        </w:tc>
        <w:tc>
          <w:tcPr>
            <w:tcW w:w="784" w:type="dxa"/>
          </w:tcPr>
          <w:p w14:paraId="307C7FF9">
            <w:pPr>
              <w:spacing w:before="0" w:after="0" w:line="240" w:lineRule="auto"/>
              <w:jc w:val="center"/>
            </w:pPr>
            <w:r>
              <w:rPr>
                <w:rFonts w:ascii="Times New Roman" w:hAnsi="Times New Roman" w:eastAsia="宋体"/>
                <w:b w:val="0"/>
                <w:sz w:val="15"/>
              </w:rPr>
              <w:t>-0.014</w:t>
            </w:r>
          </w:p>
        </w:tc>
        <w:tc>
          <w:tcPr>
            <w:tcW w:w="818" w:type="dxa"/>
          </w:tcPr>
          <w:p w14:paraId="5CC1BE41">
            <w:pPr>
              <w:spacing w:before="0" w:after="0" w:line="240" w:lineRule="auto"/>
              <w:jc w:val="center"/>
            </w:pPr>
            <w:r>
              <w:rPr>
                <w:rFonts w:ascii="Times New Roman" w:hAnsi="Times New Roman" w:eastAsia="宋体"/>
                <w:b w:val="0"/>
                <w:sz w:val="15"/>
              </w:rPr>
              <w:t>0.131</w:t>
            </w:r>
          </w:p>
        </w:tc>
        <w:tc>
          <w:tcPr>
            <w:tcW w:w="872" w:type="dxa"/>
          </w:tcPr>
          <w:p w14:paraId="53D415DE">
            <w:pPr>
              <w:spacing w:before="0" w:after="0" w:line="240" w:lineRule="auto"/>
              <w:jc w:val="center"/>
            </w:pPr>
            <w:r>
              <w:rPr>
                <w:rFonts w:ascii="Times New Roman" w:hAnsi="Times New Roman" w:eastAsia="宋体"/>
                <w:b w:val="0"/>
                <w:sz w:val="15"/>
              </w:rPr>
              <w:t>-0.030</w:t>
            </w:r>
          </w:p>
        </w:tc>
        <w:tc>
          <w:tcPr>
            <w:tcW w:w="785" w:type="dxa"/>
          </w:tcPr>
          <w:p w14:paraId="0C970572">
            <w:pPr>
              <w:spacing w:before="0" w:after="0" w:line="240" w:lineRule="auto"/>
              <w:jc w:val="center"/>
            </w:pPr>
            <w:r>
              <w:rPr>
                <w:rFonts w:ascii="Times New Roman" w:hAnsi="Times New Roman" w:eastAsia="宋体"/>
                <w:b w:val="0"/>
                <w:sz w:val="15"/>
              </w:rPr>
              <w:t>-0.090</w:t>
            </w:r>
          </w:p>
        </w:tc>
        <w:tc>
          <w:tcPr>
            <w:tcW w:w="1007" w:type="dxa"/>
          </w:tcPr>
          <w:p w14:paraId="08AF42CE">
            <w:pPr>
              <w:spacing w:before="0" w:after="0" w:line="240" w:lineRule="auto"/>
              <w:jc w:val="center"/>
            </w:pPr>
            <w:r>
              <w:rPr>
                <w:rFonts w:ascii="Times New Roman" w:hAnsi="Times New Roman" w:eastAsia="宋体"/>
                <w:b w:val="0"/>
                <w:sz w:val="15"/>
              </w:rPr>
              <w:t>0.191</w:t>
            </w:r>
          </w:p>
        </w:tc>
      </w:tr>
      <w:tr w14:paraId="5F7BAD0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1220EEEE">
            <w:pPr>
              <w:spacing w:before="0" w:after="0" w:line="240" w:lineRule="auto"/>
              <w:jc w:val="center"/>
            </w:pPr>
            <w:r>
              <w:rPr>
                <w:rFonts w:ascii="Times New Roman" w:hAnsi="Times New Roman" w:eastAsia="宋体"/>
                <w:b w:val="0"/>
                <w:sz w:val="15"/>
              </w:rPr>
              <w:t>Digit</w:t>
            </w:r>
          </w:p>
        </w:tc>
        <w:tc>
          <w:tcPr>
            <w:tcW w:w="805" w:type="dxa"/>
          </w:tcPr>
          <w:p w14:paraId="66146EF5">
            <w:pPr>
              <w:spacing w:before="0" w:after="0" w:line="240" w:lineRule="auto"/>
              <w:jc w:val="center"/>
            </w:pPr>
            <w:r>
              <w:rPr>
                <w:rFonts w:ascii="Times New Roman" w:hAnsi="Times New Roman" w:eastAsia="宋体"/>
                <w:b w:val="0"/>
                <w:sz w:val="15"/>
              </w:rPr>
              <w:t>-0.076</w:t>
            </w:r>
          </w:p>
        </w:tc>
        <w:tc>
          <w:tcPr>
            <w:tcW w:w="845" w:type="dxa"/>
          </w:tcPr>
          <w:p w14:paraId="2DC1EEA9">
            <w:pPr>
              <w:spacing w:before="0" w:after="0" w:line="240" w:lineRule="auto"/>
              <w:jc w:val="center"/>
            </w:pPr>
            <w:r>
              <w:rPr>
                <w:rFonts w:ascii="Times New Roman" w:hAnsi="Times New Roman" w:eastAsia="宋体"/>
                <w:b w:val="0"/>
                <w:sz w:val="15"/>
              </w:rPr>
              <w:t>1.000</w:t>
            </w:r>
          </w:p>
        </w:tc>
        <w:tc>
          <w:tcPr>
            <w:tcW w:w="1152" w:type="dxa"/>
          </w:tcPr>
          <w:p w14:paraId="6F6FD430">
            <w:pPr>
              <w:spacing w:before="0" w:after="0" w:line="240" w:lineRule="auto"/>
              <w:jc w:val="center"/>
            </w:pPr>
            <w:r>
              <w:rPr>
                <w:rFonts w:ascii="Times New Roman" w:hAnsi="Times New Roman" w:eastAsia="宋体"/>
                <w:b w:val="0"/>
                <w:sz w:val="15"/>
              </w:rPr>
              <w:t>0.071</w:t>
            </w:r>
          </w:p>
        </w:tc>
        <w:tc>
          <w:tcPr>
            <w:tcW w:w="757" w:type="dxa"/>
          </w:tcPr>
          <w:p w14:paraId="5D40EF94">
            <w:pPr>
              <w:spacing w:before="0" w:after="0" w:line="240" w:lineRule="auto"/>
              <w:jc w:val="center"/>
            </w:pPr>
            <w:r>
              <w:rPr>
                <w:rFonts w:ascii="Times New Roman" w:hAnsi="Times New Roman" w:eastAsia="宋体"/>
                <w:b w:val="0"/>
                <w:sz w:val="15"/>
              </w:rPr>
              <w:t>-0.035</w:t>
            </w:r>
          </w:p>
        </w:tc>
        <w:tc>
          <w:tcPr>
            <w:tcW w:w="744" w:type="dxa"/>
          </w:tcPr>
          <w:p w14:paraId="4DE5A44A">
            <w:pPr>
              <w:spacing w:before="0" w:after="0" w:line="240" w:lineRule="auto"/>
              <w:jc w:val="center"/>
            </w:pPr>
            <w:r>
              <w:rPr>
                <w:rFonts w:ascii="Times New Roman" w:hAnsi="Times New Roman" w:eastAsia="宋体"/>
                <w:b w:val="0"/>
                <w:sz w:val="15"/>
              </w:rPr>
              <w:t>-0.052</w:t>
            </w:r>
          </w:p>
        </w:tc>
        <w:tc>
          <w:tcPr>
            <w:tcW w:w="784" w:type="dxa"/>
          </w:tcPr>
          <w:p w14:paraId="74D0D374">
            <w:pPr>
              <w:spacing w:before="0" w:after="0" w:line="240" w:lineRule="auto"/>
              <w:jc w:val="center"/>
            </w:pPr>
            <w:r>
              <w:rPr>
                <w:rFonts w:ascii="Times New Roman" w:hAnsi="Times New Roman" w:eastAsia="宋体"/>
                <w:b w:val="0"/>
                <w:sz w:val="15"/>
              </w:rPr>
              <w:t>-0.069</w:t>
            </w:r>
          </w:p>
        </w:tc>
        <w:tc>
          <w:tcPr>
            <w:tcW w:w="818" w:type="dxa"/>
          </w:tcPr>
          <w:p w14:paraId="1B866E8B">
            <w:pPr>
              <w:spacing w:before="0" w:after="0" w:line="240" w:lineRule="auto"/>
              <w:jc w:val="center"/>
            </w:pPr>
            <w:r>
              <w:rPr>
                <w:rFonts w:ascii="Times New Roman" w:hAnsi="Times New Roman" w:eastAsia="宋体"/>
                <w:b w:val="0"/>
                <w:sz w:val="15"/>
              </w:rPr>
              <w:t>-0.340</w:t>
            </w:r>
          </w:p>
        </w:tc>
        <w:tc>
          <w:tcPr>
            <w:tcW w:w="872" w:type="dxa"/>
          </w:tcPr>
          <w:p w14:paraId="4988A274">
            <w:pPr>
              <w:spacing w:before="0" w:after="0" w:line="240" w:lineRule="auto"/>
              <w:jc w:val="center"/>
            </w:pPr>
            <w:r>
              <w:rPr>
                <w:rFonts w:ascii="Times New Roman" w:hAnsi="Times New Roman" w:eastAsia="宋体"/>
                <w:b w:val="0"/>
                <w:sz w:val="15"/>
              </w:rPr>
              <w:t>-0.021</w:t>
            </w:r>
          </w:p>
        </w:tc>
        <w:tc>
          <w:tcPr>
            <w:tcW w:w="785" w:type="dxa"/>
          </w:tcPr>
          <w:p w14:paraId="1A34F933">
            <w:pPr>
              <w:spacing w:before="0" w:after="0" w:line="240" w:lineRule="auto"/>
              <w:jc w:val="center"/>
            </w:pPr>
            <w:r>
              <w:rPr>
                <w:rFonts w:ascii="Times New Roman" w:hAnsi="Times New Roman" w:eastAsia="宋体"/>
                <w:b w:val="0"/>
                <w:sz w:val="15"/>
              </w:rPr>
              <w:t>0.172</w:t>
            </w:r>
          </w:p>
        </w:tc>
        <w:tc>
          <w:tcPr>
            <w:tcW w:w="1007" w:type="dxa"/>
          </w:tcPr>
          <w:p w14:paraId="02749CC6">
            <w:pPr>
              <w:spacing w:before="0" w:after="0" w:line="240" w:lineRule="auto"/>
              <w:jc w:val="center"/>
            </w:pPr>
            <w:r>
              <w:rPr>
                <w:rFonts w:ascii="Times New Roman" w:hAnsi="Times New Roman" w:eastAsia="宋体"/>
                <w:b w:val="0"/>
                <w:sz w:val="15"/>
              </w:rPr>
              <w:t>0.081</w:t>
            </w:r>
          </w:p>
        </w:tc>
      </w:tr>
      <w:tr w14:paraId="26AD03F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70E4523E">
            <w:pPr>
              <w:spacing w:before="0" w:after="0" w:line="240" w:lineRule="auto"/>
              <w:jc w:val="center"/>
            </w:pPr>
            <w:r>
              <w:rPr>
                <w:rFonts w:ascii="Times New Roman" w:hAnsi="Times New Roman" w:eastAsia="宋体"/>
                <w:b w:val="0"/>
                <w:sz w:val="15"/>
              </w:rPr>
              <w:t>GreenTech</w:t>
            </w:r>
          </w:p>
        </w:tc>
        <w:tc>
          <w:tcPr>
            <w:tcW w:w="805" w:type="dxa"/>
          </w:tcPr>
          <w:p w14:paraId="25E9A079">
            <w:pPr>
              <w:spacing w:before="0" w:after="0" w:line="240" w:lineRule="auto"/>
              <w:jc w:val="center"/>
            </w:pPr>
            <w:r>
              <w:rPr>
                <w:rFonts w:ascii="Times New Roman" w:hAnsi="Times New Roman" w:eastAsia="宋体"/>
                <w:b w:val="0"/>
                <w:sz w:val="15"/>
              </w:rPr>
              <w:t>0.589</w:t>
            </w:r>
          </w:p>
        </w:tc>
        <w:tc>
          <w:tcPr>
            <w:tcW w:w="845" w:type="dxa"/>
          </w:tcPr>
          <w:p w14:paraId="77AA25D0">
            <w:pPr>
              <w:spacing w:before="0" w:after="0" w:line="240" w:lineRule="auto"/>
              <w:jc w:val="center"/>
            </w:pPr>
            <w:r>
              <w:rPr>
                <w:rFonts w:ascii="Times New Roman" w:hAnsi="Times New Roman" w:eastAsia="宋体"/>
                <w:b w:val="0"/>
                <w:sz w:val="15"/>
              </w:rPr>
              <w:t>0.071</w:t>
            </w:r>
          </w:p>
        </w:tc>
        <w:tc>
          <w:tcPr>
            <w:tcW w:w="1152" w:type="dxa"/>
          </w:tcPr>
          <w:p w14:paraId="3627F777">
            <w:pPr>
              <w:spacing w:before="0" w:after="0" w:line="240" w:lineRule="auto"/>
              <w:jc w:val="center"/>
            </w:pPr>
            <w:r>
              <w:rPr>
                <w:rFonts w:ascii="Times New Roman" w:hAnsi="Times New Roman" w:eastAsia="宋体"/>
                <w:b w:val="0"/>
                <w:sz w:val="15"/>
              </w:rPr>
              <w:t>1.000</w:t>
            </w:r>
          </w:p>
        </w:tc>
        <w:tc>
          <w:tcPr>
            <w:tcW w:w="757" w:type="dxa"/>
          </w:tcPr>
          <w:p w14:paraId="167991FA">
            <w:pPr>
              <w:spacing w:before="0" w:after="0" w:line="240" w:lineRule="auto"/>
              <w:jc w:val="center"/>
            </w:pPr>
            <w:r>
              <w:rPr>
                <w:rFonts w:ascii="Times New Roman" w:hAnsi="Times New Roman" w:eastAsia="宋体"/>
                <w:b w:val="0"/>
                <w:sz w:val="15"/>
              </w:rPr>
              <w:t>0.272</w:t>
            </w:r>
          </w:p>
        </w:tc>
        <w:tc>
          <w:tcPr>
            <w:tcW w:w="744" w:type="dxa"/>
          </w:tcPr>
          <w:p w14:paraId="2A45D3E5">
            <w:pPr>
              <w:spacing w:before="0" w:after="0" w:line="240" w:lineRule="auto"/>
              <w:jc w:val="center"/>
            </w:pPr>
            <w:r>
              <w:rPr>
                <w:rFonts w:ascii="Times New Roman" w:hAnsi="Times New Roman" w:eastAsia="宋体"/>
                <w:b w:val="0"/>
                <w:sz w:val="15"/>
              </w:rPr>
              <w:t>0.094</w:t>
            </w:r>
          </w:p>
        </w:tc>
        <w:tc>
          <w:tcPr>
            <w:tcW w:w="784" w:type="dxa"/>
          </w:tcPr>
          <w:p w14:paraId="30D3678E">
            <w:pPr>
              <w:spacing w:before="0" w:after="0" w:line="240" w:lineRule="auto"/>
              <w:jc w:val="center"/>
            </w:pPr>
            <w:r>
              <w:rPr>
                <w:rFonts w:ascii="Times New Roman" w:hAnsi="Times New Roman" w:eastAsia="宋体"/>
                <w:b w:val="0"/>
                <w:sz w:val="15"/>
              </w:rPr>
              <w:t>-0.005</w:t>
            </w:r>
          </w:p>
        </w:tc>
        <w:tc>
          <w:tcPr>
            <w:tcW w:w="818" w:type="dxa"/>
          </w:tcPr>
          <w:p w14:paraId="3FC8EAE9">
            <w:pPr>
              <w:spacing w:before="0" w:after="0" w:line="240" w:lineRule="auto"/>
              <w:jc w:val="center"/>
            </w:pPr>
            <w:r>
              <w:rPr>
                <w:rFonts w:ascii="Times New Roman" w:hAnsi="Times New Roman" w:eastAsia="宋体"/>
                <w:b w:val="0"/>
                <w:sz w:val="15"/>
              </w:rPr>
              <w:t>-0.062</w:t>
            </w:r>
          </w:p>
        </w:tc>
        <w:tc>
          <w:tcPr>
            <w:tcW w:w="872" w:type="dxa"/>
          </w:tcPr>
          <w:p w14:paraId="0F6D78D3">
            <w:pPr>
              <w:spacing w:before="0" w:after="0" w:line="240" w:lineRule="auto"/>
              <w:jc w:val="center"/>
            </w:pPr>
            <w:r>
              <w:rPr>
                <w:rFonts w:ascii="Times New Roman" w:hAnsi="Times New Roman" w:eastAsia="宋体"/>
                <w:b w:val="0"/>
                <w:sz w:val="15"/>
              </w:rPr>
              <w:t>-0.016</w:t>
            </w:r>
          </w:p>
        </w:tc>
        <w:tc>
          <w:tcPr>
            <w:tcW w:w="785" w:type="dxa"/>
          </w:tcPr>
          <w:p w14:paraId="49D026D3">
            <w:pPr>
              <w:spacing w:before="0" w:after="0" w:line="240" w:lineRule="auto"/>
              <w:jc w:val="center"/>
            </w:pPr>
            <w:r>
              <w:rPr>
                <w:rFonts w:ascii="Times New Roman" w:hAnsi="Times New Roman" w:eastAsia="宋体"/>
                <w:b w:val="0"/>
                <w:sz w:val="15"/>
              </w:rPr>
              <w:t>0.007</w:t>
            </w:r>
          </w:p>
        </w:tc>
        <w:tc>
          <w:tcPr>
            <w:tcW w:w="1007" w:type="dxa"/>
          </w:tcPr>
          <w:p w14:paraId="1F3FC9F6">
            <w:pPr>
              <w:spacing w:before="0" w:after="0" w:line="240" w:lineRule="auto"/>
              <w:jc w:val="center"/>
            </w:pPr>
            <w:r>
              <w:rPr>
                <w:rFonts w:ascii="Times New Roman" w:hAnsi="Times New Roman" w:eastAsia="宋体"/>
                <w:b w:val="0"/>
                <w:sz w:val="15"/>
              </w:rPr>
              <w:t>0.199</w:t>
            </w:r>
          </w:p>
        </w:tc>
      </w:tr>
      <w:tr w14:paraId="68653F5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15F3CFC0">
            <w:pPr>
              <w:spacing w:before="0" w:after="0" w:line="240" w:lineRule="auto"/>
              <w:jc w:val="center"/>
            </w:pPr>
            <w:r>
              <w:rPr>
                <w:rFonts w:ascii="Times New Roman" w:hAnsi="Times New Roman" w:eastAsia="宋体"/>
                <w:b w:val="0"/>
                <w:sz w:val="15"/>
              </w:rPr>
              <w:t>Size</w:t>
            </w:r>
          </w:p>
        </w:tc>
        <w:tc>
          <w:tcPr>
            <w:tcW w:w="805" w:type="dxa"/>
          </w:tcPr>
          <w:p w14:paraId="725F2C90">
            <w:pPr>
              <w:spacing w:before="0" w:after="0" w:line="240" w:lineRule="auto"/>
              <w:jc w:val="center"/>
            </w:pPr>
            <w:r>
              <w:rPr>
                <w:rFonts w:ascii="Times New Roman" w:hAnsi="Times New Roman" w:eastAsia="宋体"/>
                <w:b w:val="0"/>
                <w:sz w:val="15"/>
              </w:rPr>
              <w:t>0.313</w:t>
            </w:r>
          </w:p>
        </w:tc>
        <w:tc>
          <w:tcPr>
            <w:tcW w:w="845" w:type="dxa"/>
          </w:tcPr>
          <w:p w14:paraId="131B4387">
            <w:pPr>
              <w:spacing w:before="0" w:after="0" w:line="240" w:lineRule="auto"/>
              <w:jc w:val="center"/>
            </w:pPr>
            <w:r>
              <w:rPr>
                <w:rFonts w:ascii="Times New Roman" w:hAnsi="Times New Roman" w:eastAsia="宋体"/>
                <w:b w:val="0"/>
                <w:sz w:val="15"/>
              </w:rPr>
              <w:t>-0.035</w:t>
            </w:r>
          </w:p>
        </w:tc>
        <w:tc>
          <w:tcPr>
            <w:tcW w:w="1152" w:type="dxa"/>
          </w:tcPr>
          <w:p w14:paraId="10B3D512">
            <w:pPr>
              <w:spacing w:before="0" w:after="0" w:line="240" w:lineRule="auto"/>
              <w:jc w:val="center"/>
            </w:pPr>
            <w:r>
              <w:rPr>
                <w:rFonts w:ascii="Times New Roman" w:hAnsi="Times New Roman" w:eastAsia="宋体"/>
                <w:b w:val="0"/>
                <w:sz w:val="15"/>
              </w:rPr>
              <w:t>0.272</w:t>
            </w:r>
          </w:p>
        </w:tc>
        <w:tc>
          <w:tcPr>
            <w:tcW w:w="757" w:type="dxa"/>
          </w:tcPr>
          <w:p w14:paraId="43E14A60">
            <w:pPr>
              <w:spacing w:before="0" w:after="0" w:line="240" w:lineRule="auto"/>
              <w:jc w:val="center"/>
            </w:pPr>
            <w:r>
              <w:rPr>
                <w:rFonts w:ascii="Times New Roman" w:hAnsi="Times New Roman" w:eastAsia="宋体"/>
                <w:b w:val="0"/>
                <w:sz w:val="15"/>
              </w:rPr>
              <w:t>1.000</w:t>
            </w:r>
          </w:p>
        </w:tc>
        <w:tc>
          <w:tcPr>
            <w:tcW w:w="744" w:type="dxa"/>
          </w:tcPr>
          <w:p w14:paraId="2E712A11">
            <w:pPr>
              <w:spacing w:before="0" w:after="0" w:line="240" w:lineRule="auto"/>
              <w:jc w:val="center"/>
            </w:pPr>
            <w:r>
              <w:rPr>
                <w:rFonts w:ascii="Times New Roman" w:hAnsi="Times New Roman" w:eastAsia="宋体"/>
                <w:b w:val="0"/>
                <w:sz w:val="15"/>
              </w:rPr>
              <w:t>0.433</w:t>
            </w:r>
          </w:p>
        </w:tc>
        <w:tc>
          <w:tcPr>
            <w:tcW w:w="784" w:type="dxa"/>
          </w:tcPr>
          <w:p w14:paraId="536E59C3">
            <w:pPr>
              <w:spacing w:before="0" w:after="0" w:line="240" w:lineRule="auto"/>
              <w:jc w:val="center"/>
            </w:pPr>
            <w:r>
              <w:rPr>
                <w:rFonts w:ascii="Times New Roman" w:hAnsi="Times New Roman" w:eastAsia="宋体"/>
                <w:b w:val="0"/>
                <w:sz w:val="15"/>
              </w:rPr>
              <w:t>0.019</w:t>
            </w:r>
          </w:p>
        </w:tc>
        <w:tc>
          <w:tcPr>
            <w:tcW w:w="818" w:type="dxa"/>
          </w:tcPr>
          <w:p w14:paraId="000BDFDD">
            <w:pPr>
              <w:spacing w:before="0" w:after="0" w:line="240" w:lineRule="auto"/>
              <w:jc w:val="center"/>
            </w:pPr>
            <w:r>
              <w:rPr>
                <w:rFonts w:ascii="Times New Roman" w:hAnsi="Times New Roman" w:eastAsia="宋体"/>
                <w:b w:val="0"/>
                <w:sz w:val="15"/>
              </w:rPr>
              <w:t>0.076</w:t>
            </w:r>
          </w:p>
        </w:tc>
        <w:tc>
          <w:tcPr>
            <w:tcW w:w="872" w:type="dxa"/>
          </w:tcPr>
          <w:p w14:paraId="68A02F71">
            <w:pPr>
              <w:spacing w:before="0" w:after="0" w:line="240" w:lineRule="auto"/>
              <w:jc w:val="center"/>
            </w:pPr>
            <w:r>
              <w:rPr>
                <w:rFonts w:ascii="Times New Roman" w:hAnsi="Times New Roman" w:eastAsia="宋体"/>
                <w:b w:val="0"/>
                <w:sz w:val="15"/>
              </w:rPr>
              <w:t>0.008</w:t>
            </w:r>
          </w:p>
        </w:tc>
        <w:tc>
          <w:tcPr>
            <w:tcW w:w="785" w:type="dxa"/>
          </w:tcPr>
          <w:p w14:paraId="6FC5D371">
            <w:pPr>
              <w:spacing w:before="0" w:after="0" w:line="240" w:lineRule="auto"/>
              <w:jc w:val="center"/>
            </w:pPr>
            <w:r>
              <w:rPr>
                <w:rFonts w:ascii="Times New Roman" w:hAnsi="Times New Roman" w:eastAsia="宋体"/>
                <w:b w:val="0"/>
                <w:sz w:val="15"/>
              </w:rPr>
              <w:t>-0.149</w:t>
            </w:r>
          </w:p>
        </w:tc>
        <w:tc>
          <w:tcPr>
            <w:tcW w:w="1007" w:type="dxa"/>
          </w:tcPr>
          <w:p w14:paraId="3DFED97A">
            <w:pPr>
              <w:spacing w:before="0" w:after="0" w:line="240" w:lineRule="auto"/>
              <w:jc w:val="center"/>
            </w:pPr>
            <w:r>
              <w:rPr>
                <w:rFonts w:ascii="Times New Roman" w:hAnsi="Times New Roman" w:eastAsia="宋体"/>
                <w:b w:val="0"/>
                <w:sz w:val="15"/>
              </w:rPr>
              <w:t>0.766</w:t>
            </w:r>
          </w:p>
        </w:tc>
      </w:tr>
      <w:tr w14:paraId="1632D03D">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60ED8723">
            <w:pPr>
              <w:spacing w:before="0" w:after="0" w:line="240" w:lineRule="auto"/>
              <w:jc w:val="center"/>
            </w:pPr>
            <w:r>
              <w:rPr>
                <w:rFonts w:ascii="Times New Roman" w:hAnsi="Times New Roman" w:eastAsia="宋体"/>
                <w:b w:val="0"/>
                <w:sz w:val="15"/>
              </w:rPr>
              <w:t>Lev</w:t>
            </w:r>
          </w:p>
        </w:tc>
        <w:tc>
          <w:tcPr>
            <w:tcW w:w="805" w:type="dxa"/>
          </w:tcPr>
          <w:p w14:paraId="5457C975">
            <w:pPr>
              <w:spacing w:before="0" w:after="0" w:line="240" w:lineRule="auto"/>
              <w:jc w:val="center"/>
            </w:pPr>
            <w:r>
              <w:rPr>
                <w:rFonts w:ascii="Times New Roman" w:hAnsi="Times New Roman" w:eastAsia="宋体"/>
                <w:b w:val="0"/>
                <w:sz w:val="15"/>
              </w:rPr>
              <w:t>0.135</w:t>
            </w:r>
          </w:p>
        </w:tc>
        <w:tc>
          <w:tcPr>
            <w:tcW w:w="845" w:type="dxa"/>
          </w:tcPr>
          <w:p w14:paraId="096EDE32">
            <w:pPr>
              <w:spacing w:before="0" w:after="0" w:line="240" w:lineRule="auto"/>
              <w:jc w:val="center"/>
            </w:pPr>
            <w:r>
              <w:rPr>
                <w:rFonts w:ascii="Times New Roman" w:hAnsi="Times New Roman" w:eastAsia="宋体"/>
                <w:b w:val="0"/>
                <w:sz w:val="15"/>
              </w:rPr>
              <w:t>-0.052</w:t>
            </w:r>
          </w:p>
        </w:tc>
        <w:tc>
          <w:tcPr>
            <w:tcW w:w="1152" w:type="dxa"/>
          </w:tcPr>
          <w:p w14:paraId="3154263A">
            <w:pPr>
              <w:spacing w:before="0" w:after="0" w:line="240" w:lineRule="auto"/>
              <w:jc w:val="center"/>
            </w:pPr>
            <w:r>
              <w:rPr>
                <w:rFonts w:ascii="Times New Roman" w:hAnsi="Times New Roman" w:eastAsia="宋体"/>
                <w:b w:val="0"/>
                <w:sz w:val="15"/>
              </w:rPr>
              <w:t>0.094</w:t>
            </w:r>
          </w:p>
        </w:tc>
        <w:tc>
          <w:tcPr>
            <w:tcW w:w="757" w:type="dxa"/>
          </w:tcPr>
          <w:p w14:paraId="42C46234">
            <w:pPr>
              <w:spacing w:before="0" w:after="0" w:line="240" w:lineRule="auto"/>
              <w:jc w:val="center"/>
            </w:pPr>
            <w:r>
              <w:rPr>
                <w:rFonts w:ascii="Times New Roman" w:hAnsi="Times New Roman" w:eastAsia="宋体"/>
                <w:b w:val="0"/>
                <w:sz w:val="15"/>
              </w:rPr>
              <w:t>0.433</w:t>
            </w:r>
          </w:p>
        </w:tc>
        <w:tc>
          <w:tcPr>
            <w:tcW w:w="744" w:type="dxa"/>
          </w:tcPr>
          <w:p w14:paraId="66FE2A74">
            <w:pPr>
              <w:spacing w:before="0" w:after="0" w:line="240" w:lineRule="auto"/>
              <w:jc w:val="center"/>
            </w:pPr>
            <w:r>
              <w:rPr>
                <w:rFonts w:ascii="Times New Roman" w:hAnsi="Times New Roman" w:eastAsia="宋体"/>
                <w:b w:val="0"/>
                <w:sz w:val="15"/>
              </w:rPr>
              <w:t>1.000</w:t>
            </w:r>
          </w:p>
        </w:tc>
        <w:tc>
          <w:tcPr>
            <w:tcW w:w="784" w:type="dxa"/>
          </w:tcPr>
          <w:p w14:paraId="5E5B76D9">
            <w:pPr>
              <w:spacing w:before="0" w:after="0" w:line="240" w:lineRule="auto"/>
              <w:jc w:val="center"/>
            </w:pPr>
            <w:r>
              <w:rPr>
                <w:rFonts w:ascii="Times New Roman" w:hAnsi="Times New Roman" w:eastAsia="宋体"/>
                <w:b w:val="0"/>
                <w:sz w:val="15"/>
              </w:rPr>
              <w:t>-0.414</w:t>
            </w:r>
          </w:p>
        </w:tc>
        <w:tc>
          <w:tcPr>
            <w:tcW w:w="818" w:type="dxa"/>
          </w:tcPr>
          <w:p w14:paraId="770ED540">
            <w:pPr>
              <w:spacing w:before="0" w:after="0" w:line="240" w:lineRule="auto"/>
              <w:jc w:val="center"/>
            </w:pPr>
            <w:r>
              <w:rPr>
                <w:rFonts w:ascii="Times New Roman" w:hAnsi="Times New Roman" w:eastAsia="宋体"/>
                <w:b w:val="0"/>
                <w:sz w:val="15"/>
              </w:rPr>
              <w:t>0.087</w:t>
            </w:r>
          </w:p>
        </w:tc>
        <w:tc>
          <w:tcPr>
            <w:tcW w:w="872" w:type="dxa"/>
          </w:tcPr>
          <w:p w14:paraId="0F202A89">
            <w:pPr>
              <w:spacing w:before="0" w:after="0" w:line="240" w:lineRule="auto"/>
              <w:jc w:val="center"/>
            </w:pPr>
            <w:r>
              <w:rPr>
                <w:rFonts w:ascii="Times New Roman" w:hAnsi="Times New Roman" w:eastAsia="宋体"/>
                <w:b w:val="0"/>
                <w:sz w:val="15"/>
              </w:rPr>
              <w:t>0.000</w:t>
            </w:r>
          </w:p>
        </w:tc>
        <w:tc>
          <w:tcPr>
            <w:tcW w:w="785" w:type="dxa"/>
          </w:tcPr>
          <w:p w14:paraId="70C69572">
            <w:pPr>
              <w:spacing w:before="0" w:after="0" w:line="240" w:lineRule="auto"/>
              <w:jc w:val="center"/>
            </w:pPr>
            <w:r>
              <w:rPr>
                <w:rFonts w:ascii="Times New Roman" w:hAnsi="Times New Roman" w:eastAsia="宋体"/>
                <w:b w:val="0"/>
                <w:sz w:val="15"/>
              </w:rPr>
              <w:t>-0.325</w:t>
            </w:r>
          </w:p>
        </w:tc>
        <w:tc>
          <w:tcPr>
            <w:tcW w:w="1007" w:type="dxa"/>
          </w:tcPr>
          <w:p w14:paraId="6864FB03">
            <w:pPr>
              <w:spacing w:before="0" w:after="0" w:line="240" w:lineRule="auto"/>
              <w:jc w:val="center"/>
            </w:pPr>
            <w:r>
              <w:rPr>
                <w:rFonts w:ascii="Times New Roman" w:hAnsi="Times New Roman" w:eastAsia="宋体"/>
                <w:b w:val="0"/>
                <w:sz w:val="15"/>
              </w:rPr>
              <w:t>0.328</w:t>
            </w:r>
          </w:p>
        </w:tc>
      </w:tr>
      <w:tr w14:paraId="18CBD15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17280442">
            <w:pPr>
              <w:spacing w:before="0" w:after="0" w:line="240" w:lineRule="auto"/>
              <w:jc w:val="center"/>
            </w:pPr>
            <w:r>
              <w:rPr>
                <w:rFonts w:ascii="Times New Roman" w:hAnsi="Times New Roman" w:eastAsia="宋体"/>
                <w:b w:val="0"/>
                <w:sz w:val="15"/>
              </w:rPr>
              <w:t>ROA</w:t>
            </w:r>
          </w:p>
        </w:tc>
        <w:tc>
          <w:tcPr>
            <w:tcW w:w="805" w:type="dxa"/>
          </w:tcPr>
          <w:p w14:paraId="0040C16F">
            <w:pPr>
              <w:spacing w:before="0" w:after="0" w:line="240" w:lineRule="auto"/>
              <w:jc w:val="center"/>
            </w:pPr>
            <w:r>
              <w:rPr>
                <w:rFonts w:ascii="Times New Roman" w:hAnsi="Times New Roman" w:eastAsia="宋体"/>
                <w:b w:val="0"/>
                <w:sz w:val="15"/>
              </w:rPr>
              <w:t>-0.014</w:t>
            </w:r>
          </w:p>
        </w:tc>
        <w:tc>
          <w:tcPr>
            <w:tcW w:w="845" w:type="dxa"/>
          </w:tcPr>
          <w:p w14:paraId="38EC4ED3">
            <w:pPr>
              <w:spacing w:before="0" w:after="0" w:line="240" w:lineRule="auto"/>
              <w:jc w:val="center"/>
            </w:pPr>
            <w:r>
              <w:rPr>
                <w:rFonts w:ascii="Times New Roman" w:hAnsi="Times New Roman" w:eastAsia="宋体"/>
                <w:b w:val="0"/>
                <w:sz w:val="15"/>
              </w:rPr>
              <w:t>-0.069</w:t>
            </w:r>
          </w:p>
        </w:tc>
        <w:tc>
          <w:tcPr>
            <w:tcW w:w="1152" w:type="dxa"/>
          </w:tcPr>
          <w:p w14:paraId="1F0D1198">
            <w:pPr>
              <w:spacing w:before="0" w:after="0" w:line="240" w:lineRule="auto"/>
              <w:jc w:val="center"/>
            </w:pPr>
            <w:r>
              <w:rPr>
                <w:rFonts w:ascii="Times New Roman" w:hAnsi="Times New Roman" w:eastAsia="宋体"/>
                <w:b w:val="0"/>
                <w:sz w:val="15"/>
              </w:rPr>
              <w:t>-0.005</w:t>
            </w:r>
          </w:p>
        </w:tc>
        <w:tc>
          <w:tcPr>
            <w:tcW w:w="757" w:type="dxa"/>
          </w:tcPr>
          <w:p w14:paraId="4462E5B0">
            <w:pPr>
              <w:spacing w:before="0" w:after="0" w:line="240" w:lineRule="auto"/>
              <w:jc w:val="center"/>
            </w:pPr>
            <w:r>
              <w:rPr>
                <w:rFonts w:ascii="Times New Roman" w:hAnsi="Times New Roman" w:eastAsia="宋体"/>
                <w:b w:val="0"/>
                <w:sz w:val="15"/>
              </w:rPr>
              <w:t>0.019</w:t>
            </w:r>
          </w:p>
        </w:tc>
        <w:tc>
          <w:tcPr>
            <w:tcW w:w="744" w:type="dxa"/>
          </w:tcPr>
          <w:p w14:paraId="37875428">
            <w:pPr>
              <w:spacing w:before="0" w:after="0" w:line="240" w:lineRule="auto"/>
              <w:jc w:val="center"/>
            </w:pPr>
            <w:r>
              <w:rPr>
                <w:rFonts w:ascii="Times New Roman" w:hAnsi="Times New Roman" w:eastAsia="宋体"/>
                <w:b w:val="0"/>
                <w:sz w:val="15"/>
              </w:rPr>
              <w:t>-0.414</w:t>
            </w:r>
          </w:p>
        </w:tc>
        <w:tc>
          <w:tcPr>
            <w:tcW w:w="784" w:type="dxa"/>
          </w:tcPr>
          <w:p w14:paraId="4CB393D8">
            <w:pPr>
              <w:spacing w:before="0" w:after="0" w:line="240" w:lineRule="auto"/>
              <w:jc w:val="center"/>
            </w:pPr>
            <w:r>
              <w:rPr>
                <w:rFonts w:ascii="Times New Roman" w:hAnsi="Times New Roman" w:eastAsia="宋体"/>
                <w:b w:val="0"/>
                <w:sz w:val="15"/>
              </w:rPr>
              <w:t>1.000</w:t>
            </w:r>
          </w:p>
        </w:tc>
        <w:tc>
          <w:tcPr>
            <w:tcW w:w="818" w:type="dxa"/>
          </w:tcPr>
          <w:p w14:paraId="60349F03">
            <w:pPr>
              <w:spacing w:before="0" w:after="0" w:line="240" w:lineRule="auto"/>
              <w:jc w:val="center"/>
            </w:pPr>
            <w:r>
              <w:rPr>
                <w:rFonts w:ascii="Times New Roman" w:hAnsi="Times New Roman" w:eastAsia="宋体"/>
                <w:b w:val="0"/>
                <w:sz w:val="15"/>
              </w:rPr>
              <w:t>-0.100</w:t>
            </w:r>
          </w:p>
        </w:tc>
        <w:tc>
          <w:tcPr>
            <w:tcW w:w="872" w:type="dxa"/>
          </w:tcPr>
          <w:p w14:paraId="1DFAD03A">
            <w:pPr>
              <w:spacing w:before="0" w:after="0" w:line="240" w:lineRule="auto"/>
              <w:jc w:val="center"/>
            </w:pPr>
            <w:r>
              <w:rPr>
                <w:rFonts w:ascii="Times New Roman" w:hAnsi="Times New Roman" w:eastAsia="宋体"/>
                <w:b w:val="0"/>
                <w:sz w:val="15"/>
              </w:rPr>
              <w:t>0.312</w:t>
            </w:r>
          </w:p>
        </w:tc>
        <w:tc>
          <w:tcPr>
            <w:tcW w:w="785" w:type="dxa"/>
          </w:tcPr>
          <w:p w14:paraId="00D2CA82">
            <w:pPr>
              <w:spacing w:before="0" w:after="0" w:line="240" w:lineRule="auto"/>
              <w:jc w:val="center"/>
            </w:pPr>
            <w:r>
              <w:rPr>
                <w:rFonts w:ascii="Times New Roman" w:hAnsi="Times New Roman" w:eastAsia="宋体"/>
                <w:b w:val="0"/>
                <w:sz w:val="15"/>
              </w:rPr>
              <w:t>0.234</w:t>
            </w:r>
          </w:p>
        </w:tc>
        <w:tc>
          <w:tcPr>
            <w:tcW w:w="1007" w:type="dxa"/>
          </w:tcPr>
          <w:p w14:paraId="6FD82CB9">
            <w:pPr>
              <w:spacing w:before="0" w:after="0" w:line="240" w:lineRule="auto"/>
              <w:jc w:val="center"/>
            </w:pPr>
            <w:r>
              <w:rPr>
                <w:rFonts w:ascii="Times New Roman" w:hAnsi="Times New Roman" w:eastAsia="宋体"/>
                <w:b w:val="0"/>
                <w:sz w:val="15"/>
              </w:rPr>
              <w:t>-0.061</w:t>
            </w:r>
          </w:p>
        </w:tc>
      </w:tr>
      <w:tr w14:paraId="56FC393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7BFE2AA5">
            <w:pPr>
              <w:spacing w:before="0" w:after="0" w:line="240" w:lineRule="auto"/>
              <w:jc w:val="center"/>
            </w:pPr>
            <w:r>
              <w:rPr>
                <w:rFonts w:ascii="Times New Roman" w:hAnsi="Times New Roman" w:eastAsia="宋体"/>
                <w:b w:val="0"/>
                <w:sz w:val="15"/>
              </w:rPr>
              <w:t>FAsset</w:t>
            </w:r>
          </w:p>
        </w:tc>
        <w:tc>
          <w:tcPr>
            <w:tcW w:w="805" w:type="dxa"/>
          </w:tcPr>
          <w:p w14:paraId="360DA219">
            <w:pPr>
              <w:spacing w:before="0" w:after="0" w:line="240" w:lineRule="auto"/>
              <w:jc w:val="center"/>
            </w:pPr>
            <w:r>
              <w:rPr>
                <w:rFonts w:ascii="Times New Roman" w:hAnsi="Times New Roman" w:eastAsia="宋体"/>
                <w:b w:val="0"/>
                <w:sz w:val="15"/>
              </w:rPr>
              <w:t>0.131</w:t>
            </w:r>
          </w:p>
        </w:tc>
        <w:tc>
          <w:tcPr>
            <w:tcW w:w="845" w:type="dxa"/>
          </w:tcPr>
          <w:p w14:paraId="4A43D965">
            <w:pPr>
              <w:spacing w:before="0" w:after="0" w:line="240" w:lineRule="auto"/>
              <w:jc w:val="center"/>
            </w:pPr>
            <w:r>
              <w:rPr>
                <w:rFonts w:ascii="Times New Roman" w:hAnsi="Times New Roman" w:eastAsia="宋体"/>
                <w:b w:val="0"/>
                <w:sz w:val="15"/>
              </w:rPr>
              <w:t>-0.340</w:t>
            </w:r>
          </w:p>
        </w:tc>
        <w:tc>
          <w:tcPr>
            <w:tcW w:w="1152" w:type="dxa"/>
          </w:tcPr>
          <w:p w14:paraId="25DB3709">
            <w:pPr>
              <w:spacing w:before="0" w:after="0" w:line="240" w:lineRule="auto"/>
              <w:jc w:val="center"/>
            </w:pPr>
            <w:r>
              <w:rPr>
                <w:rFonts w:ascii="Times New Roman" w:hAnsi="Times New Roman" w:eastAsia="宋体"/>
                <w:b w:val="0"/>
                <w:sz w:val="15"/>
              </w:rPr>
              <w:t>-0.062</w:t>
            </w:r>
          </w:p>
        </w:tc>
        <w:tc>
          <w:tcPr>
            <w:tcW w:w="757" w:type="dxa"/>
          </w:tcPr>
          <w:p w14:paraId="5D548450">
            <w:pPr>
              <w:spacing w:before="0" w:after="0" w:line="240" w:lineRule="auto"/>
              <w:jc w:val="center"/>
            </w:pPr>
            <w:r>
              <w:rPr>
                <w:rFonts w:ascii="Times New Roman" w:hAnsi="Times New Roman" w:eastAsia="宋体"/>
                <w:b w:val="0"/>
                <w:sz w:val="15"/>
              </w:rPr>
              <w:t>0.076</w:t>
            </w:r>
          </w:p>
        </w:tc>
        <w:tc>
          <w:tcPr>
            <w:tcW w:w="744" w:type="dxa"/>
          </w:tcPr>
          <w:p w14:paraId="4B42EEE4">
            <w:pPr>
              <w:spacing w:before="0" w:after="0" w:line="240" w:lineRule="auto"/>
              <w:jc w:val="center"/>
            </w:pPr>
            <w:r>
              <w:rPr>
                <w:rFonts w:ascii="Times New Roman" w:hAnsi="Times New Roman" w:eastAsia="宋体"/>
                <w:b w:val="0"/>
                <w:sz w:val="15"/>
              </w:rPr>
              <w:t>0.087</w:t>
            </w:r>
          </w:p>
        </w:tc>
        <w:tc>
          <w:tcPr>
            <w:tcW w:w="784" w:type="dxa"/>
          </w:tcPr>
          <w:p w14:paraId="6FC34AA6">
            <w:pPr>
              <w:spacing w:before="0" w:after="0" w:line="240" w:lineRule="auto"/>
              <w:jc w:val="center"/>
            </w:pPr>
            <w:r>
              <w:rPr>
                <w:rFonts w:ascii="Times New Roman" w:hAnsi="Times New Roman" w:eastAsia="宋体"/>
                <w:b w:val="0"/>
                <w:sz w:val="15"/>
              </w:rPr>
              <w:t>-0.100</w:t>
            </w:r>
          </w:p>
        </w:tc>
        <w:tc>
          <w:tcPr>
            <w:tcW w:w="818" w:type="dxa"/>
          </w:tcPr>
          <w:p w14:paraId="0BC6DAC4">
            <w:pPr>
              <w:spacing w:before="0" w:after="0" w:line="240" w:lineRule="auto"/>
              <w:jc w:val="center"/>
            </w:pPr>
            <w:r>
              <w:rPr>
                <w:rFonts w:ascii="Times New Roman" w:hAnsi="Times New Roman" w:eastAsia="宋体"/>
                <w:b w:val="0"/>
                <w:sz w:val="15"/>
              </w:rPr>
              <w:t>1.000</w:t>
            </w:r>
          </w:p>
        </w:tc>
        <w:tc>
          <w:tcPr>
            <w:tcW w:w="872" w:type="dxa"/>
          </w:tcPr>
          <w:p w14:paraId="15B58FE3">
            <w:pPr>
              <w:spacing w:before="0" w:after="0" w:line="240" w:lineRule="auto"/>
              <w:jc w:val="center"/>
            </w:pPr>
            <w:r>
              <w:rPr>
                <w:rFonts w:ascii="Times New Roman" w:hAnsi="Times New Roman" w:eastAsia="宋体"/>
                <w:b w:val="0"/>
                <w:sz w:val="15"/>
              </w:rPr>
              <w:t>-0.056</w:t>
            </w:r>
          </w:p>
        </w:tc>
        <w:tc>
          <w:tcPr>
            <w:tcW w:w="785" w:type="dxa"/>
          </w:tcPr>
          <w:p w14:paraId="6AEB7D75">
            <w:pPr>
              <w:spacing w:before="0" w:after="0" w:line="240" w:lineRule="auto"/>
              <w:jc w:val="center"/>
            </w:pPr>
            <w:r>
              <w:rPr>
                <w:rFonts w:ascii="Times New Roman" w:hAnsi="Times New Roman" w:eastAsia="宋体"/>
                <w:b w:val="0"/>
                <w:sz w:val="15"/>
              </w:rPr>
              <w:t>-0.367</w:t>
            </w:r>
          </w:p>
        </w:tc>
        <w:tc>
          <w:tcPr>
            <w:tcW w:w="1007" w:type="dxa"/>
          </w:tcPr>
          <w:p w14:paraId="7F827378">
            <w:pPr>
              <w:spacing w:before="0" w:after="0" w:line="240" w:lineRule="auto"/>
              <w:jc w:val="center"/>
            </w:pPr>
            <w:r>
              <w:rPr>
                <w:rFonts w:ascii="Times New Roman" w:hAnsi="Times New Roman" w:eastAsia="宋体"/>
                <w:b w:val="0"/>
                <w:sz w:val="15"/>
              </w:rPr>
              <w:t>-0.006</w:t>
            </w:r>
          </w:p>
        </w:tc>
      </w:tr>
      <w:tr w14:paraId="3CB14A2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1BC61D17">
            <w:pPr>
              <w:spacing w:before="0" w:after="0" w:line="240" w:lineRule="auto"/>
              <w:jc w:val="center"/>
            </w:pPr>
            <w:r>
              <w:rPr>
                <w:rFonts w:ascii="Times New Roman" w:hAnsi="Times New Roman" w:eastAsia="宋体"/>
                <w:b w:val="0"/>
                <w:sz w:val="15"/>
              </w:rPr>
              <w:t>Growth</w:t>
            </w:r>
          </w:p>
        </w:tc>
        <w:tc>
          <w:tcPr>
            <w:tcW w:w="805" w:type="dxa"/>
          </w:tcPr>
          <w:p w14:paraId="66AA0865">
            <w:pPr>
              <w:spacing w:before="0" w:after="0" w:line="240" w:lineRule="auto"/>
              <w:jc w:val="center"/>
            </w:pPr>
            <w:r>
              <w:rPr>
                <w:rFonts w:ascii="Times New Roman" w:hAnsi="Times New Roman" w:eastAsia="宋体"/>
                <w:b w:val="0"/>
                <w:sz w:val="15"/>
              </w:rPr>
              <w:t>-0.030</w:t>
            </w:r>
          </w:p>
        </w:tc>
        <w:tc>
          <w:tcPr>
            <w:tcW w:w="845" w:type="dxa"/>
          </w:tcPr>
          <w:p w14:paraId="4FD769A9">
            <w:pPr>
              <w:spacing w:before="0" w:after="0" w:line="240" w:lineRule="auto"/>
              <w:jc w:val="center"/>
            </w:pPr>
            <w:r>
              <w:rPr>
                <w:rFonts w:ascii="Times New Roman" w:hAnsi="Times New Roman" w:eastAsia="宋体"/>
                <w:b w:val="0"/>
                <w:sz w:val="15"/>
              </w:rPr>
              <w:t>-0.021</w:t>
            </w:r>
          </w:p>
        </w:tc>
        <w:tc>
          <w:tcPr>
            <w:tcW w:w="1152" w:type="dxa"/>
          </w:tcPr>
          <w:p w14:paraId="36526DC8">
            <w:pPr>
              <w:spacing w:before="0" w:after="0" w:line="240" w:lineRule="auto"/>
              <w:jc w:val="center"/>
            </w:pPr>
            <w:r>
              <w:rPr>
                <w:rFonts w:ascii="Times New Roman" w:hAnsi="Times New Roman" w:eastAsia="宋体"/>
                <w:b w:val="0"/>
                <w:sz w:val="15"/>
              </w:rPr>
              <w:t>-0.016</w:t>
            </w:r>
          </w:p>
        </w:tc>
        <w:tc>
          <w:tcPr>
            <w:tcW w:w="757" w:type="dxa"/>
          </w:tcPr>
          <w:p w14:paraId="6554E095">
            <w:pPr>
              <w:spacing w:before="0" w:after="0" w:line="240" w:lineRule="auto"/>
              <w:jc w:val="center"/>
            </w:pPr>
            <w:r>
              <w:rPr>
                <w:rFonts w:ascii="Times New Roman" w:hAnsi="Times New Roman" w:eastAsia="宋体"/>
                <w:b w:val="0"/>
                <w:sz w:val="15"/>
              </w:rPr>
              <w:t>0.008</w:t>
            </w:r>
          </w:p>
        </w:tc>
        <w:tc>
          <w:tcPr>
            <w:tcW w:w="744" w:type="dxa"/>
          </w:tcPr>
          <w:p w14:paraId="3977796C">
            <w:pPr>
              <w:spacing w:before="0" w:after="0" w:line="240" w:lineRule="auto"/>
              <w:jc w:val="center"/>
            </w:pPr>
            <w:r>
              <w:rPr>
                <w:rFonts w:ascii="Times New Roman" w:hAnsi="Times New Roman" w:eastAsia="宋体"/>
                <w:b w:val="0"/>
                <w:sz w:val="15"/>
              </w:rPr>
              <w:t>0.000</w:t>
            </w:r>
          </w:p>
        </w:tc>
        <w:tc>
          <w:tcPr>
            <w:tcW w:w="784" w:type="dxa"/>
          </w:tcPr>
          <w:p w14:paraId="79E9C0D4">
            <w:pPr>
              <w:spacing w:before="0" w:after="0" w:line="240" w:lineRule="auto"/>
              <w:jc w:val="center"/>
            </w:pPr>
            <w:r>
              <w:rPr>
                <w:rFonts w:ascii="Times New Roman" w:hAnsi="Times New Roman" w:eastAsia="宋体"/>
                <w:b w:val="0"/>
                <w:sz w:val="15"/>
              </w:rPr>
              <w:t>0.312</w:t>
            </w:r>
          </w:p>
        </w:tc>
        <w:tc>
          <w:tcPr>
            <w:tcW w:w="818" w:type="dxa"/>
          </w:tcPr>
          <w:p w14:paraId="2724880F">
            <w:pPr>
              <w:spacing w:before="0" w:after="0" w:line="240" w:lineRule="auto"/>
              <w:jc w:val="center"/>
            </w:pPr>
            <w:r>
              <w:rPr>
                <w:rFonts w:ascii="Times New Roman" w:hAnsi="Times New Roman" w:eastAsia="宋体"/>
                <w:b w:val="0"/>
                <w:sz w:val="15"/>
              </w:rPr>
              <w:t>-0.056</w:t>
            </w:r>
          </w:p>
        </w:tc>
        <w:tc>
          <w:tcPr>
            <w:tcW w:w="872" w:type="dxa"/>
          </w:tcPr>
          <w:p w14:paraId="7EA9998D">
            <w:pPr>
              <w:spacing w:before="0" w:after="0" w:line="240" w:lineRule="auto"/>
              <w:jc w:val="center"/>
            </w:pPr>
            <w:r>
              <w:rPr>
                <w:rFonts w:ascii="Times New Roman" w:hAnsi="Times New Roman" w:eastAsia="宋体"/>
                <w:b w:val="0"/>
                <w:sz w:val="15"/>
              </w:rPr>
              <w:t>1.000</w:t>
            </w:r>
          </w:p>
        </w:tc>
        <w:tc>
          <w:tcPr>
            <w:tcW w:w="785" w:type="dxa"/>
          </w:tcPr>
          <w:p w14:paraId="14151943">
            <w:pPr>
              <w:spacing w:before="0" w:after="0" w:line="240" w:lineRule="auto"/>
              <w:jc w:val="center"/>
            </w:pPr>
            <w:r>
              <w:rPr>
                <w:rFonts w:ascii="Times New Roman" w:hAnsi="Times New Roman" w:eastAsia="宋体"/>
                <w:b w:val="0"/>
                <w:sz w:val="15"/>
              </w:rPr>
              <w:t>0.035</w:t>
            </w:r>
          </w:p>
        </w:tc>
        <w:tc>
          <w:tcPr>
            <w:tcW w:w="1007" w:type="dxa"/>
          </w:tcPr>
          <w:p w14:paraId="0B936546">
            <w:pPr>
              <w:spacing w:before="0" w:after="0" w:line="240" w:lineRule="auto"/>
              <w:jc w:val="center"/>
            </w:pPr>
            <w:r>
              <w:rPr>
                <w:rFonts w:ascii="Times New Roman" w:hAnsi="Times New Roman" w:eastAsia="宋体"/>
                <w:b w:val="0"/>
                <w:sz w:val="15"/>
              </w:rPr>
              <w:t>-0.033</w:t>
            </w:r>
          </w:p>
        </w:tc>
      </w:tr>
      <w:tr w14:paraId="3178EE9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21E4738E">
            <w:pPr>
              <w:spacing w:before="0" w:after="0" w:line="240" w:lineRule="auto"/>
              <w:jc w:val="center"/>
            </w:pPr>
            <w:r>
              <w:rPr>
                <w:rFonts w:ascii="Times New Roman" w:hAnsi="Times New Roman" w:eastAsia="宋体"/>
                <w:b w:val="0"/>
                <w:sz w:val="15"/>
              </w:rPr>
              <w:t>Cash</w:t>
            </w:r>
          </w:p>
        </w:tc>
        <w:tc>
          <w:tcPr>
            <w:tcW w:w="805" w:type="dxa"/>
          </w:tcPr>
          <w:p w14:paraId="21145FF1">
            <w:pPr>
              <w:spacing w:before="0" w:after="0" w:line="240" w:lineRule="auto"/>
              <w:jc w:val="center"/>
            </w:pPr>
            <w:r>
              <w:rPr>
                <w:rFonts w:ascii="Times New Roman" w:hAnsi="Times New Roman" w:eastAsia="宋体"/>
                <w:b w:val="0"/>
                <w:sz w:val="15"/>
              </w:rPr>
              <w:t>-0.090</w:t>
            </w:r>
          </w:p>
        </w:tc>
        <w:tc>
          <w:tcPr>
            <w:tcW w:w="845" w:type="dxa"/>
          </w:tcPr>
          <w:p w14:paraId="0B12C6BD">
            <w:pPr>
              <w:spacing w:before="0" w:after="0" w:line="240" w:lineRule="auto"/>
              <w:jc w:val="center"/>
            </w:pPr>
            <w:r>
              <w:rPr>
                <w:rFonts w:ascii="Times New Roman" w:hAnsi="Times New Roman" w:eastAsia="宋体"/>
                <w:b w:val="0"/>
                <w:sz w:val="15"/>
              </w:rPr>
              <w:t>0.172</w:t>
            </w:r>
          </w:p>
        </w:tc>
        <w:tc>
          <w:tcPr>
            <w:tcW w:w="1152" w:type="dxa"/>
          </w:tcPr>
          <w:p w14:paraId="03EA633A">
            <w:pPr>
              <w:spacing w:before="0" w:after="0" w:line="240" w:lineRule="auto"/>
              <w:jc w:val="center"/>
            </w:pPr>
            <w:r>
              <w:rPr>
                <w:rFonts w:ascii="Times New Roman" w:hAnsi="Times New Roman" w:eastAsia="宋体"/>
                <w:b w:val="0"/>
                <w:sz w:val="15"/>
              </w:rPr>
              <w:t>0.007</w:t>
            </w:r>
          </w:p>
        </w:tc>
        <w:tc>
          <w:tcPr>
            <w:tcW w:w="757" w:type="dxa"/>
          </w:tcPr>
          <w:p w14:paraId="3204876A">
            <w:pPr>
              <w:spacing w:before="0" w:after="0" w:line="240" w:lineRule="auto"/>
              <w:jc w:val="center"/>
            </w:pPr>
            <w:r>
              <w:rPr>
                <w:rFonts w:ascii="Times New Roman" w:hAnsi="Times New Roman" w:eastAsia="宋体"/>
                <w:b w:val="0"/>
                <w:sz w:val="15"/>
              </w:rPr>
              <w:t>-0.149</w:t>
            </w:r>
          </w:p>
        </w:tc>
        <w:tc>
          <w:tcPr>
            <w:tcW w:w="744" w:type="dxa"/>
          </w:tcPr>
          <w:p w14:paraId="489850DD">
            <w:pPr>
              <w:spacing w:before="0" w:after="0" w:line="240" w:lineRule="auto"/>
              <w:jc w:val="center"/>
            </w:pPr>
            <w:r>
              <w:rPr>
                <w:rFonts w:ascii="Times New Roman" w:hAnsi="Times New Roman" w:eastAsia="宋体"/>
                <w:b w:val="0"/>
                <w:sz w:val="15"/>
              </w:rPr>
              <w:t>-0.325</w:t>
            </w:r>
          </w:p>
        </w:tc>
        <w:tc>
          <w:tcPr>
            <w:tcW w:w="784" w:type="dxa"/>
          </w:tcPr>
          <w:p w14:paraId="74D9EC66">
            <w:pPr>
              <w:spacing w:before="0" w:after="0" w:line="240" w:lineRule="auto"/>
              <w:jc w:val="center"/>
            </w:pPr>
            <w:r>
              <w:rPr>
                <w:rFonts w:ascii="Times New Roman" w:hAnsi="Times New Roman" w:eastAsia="宋体"/>
                <w:b w:val="0"/>
                <w:sz w:val="15"/>
              </w:rPr>
              <w:t>0.234</w:t>
            </w:r>
          </w:p>
        </w:tc>
        <w:tc>
          <w:tcPr>
            <w:tcW w:w="818" w:type="dxa"/>
          </w:tcPr>
          <w:p w14:paraId="13EACD87">
            <w:pPr>
              <w:spacing w:before="0" w:after="0" w:line="240" w:lineRule="auto"/>
              <w:jc w:val="center"/>
            </w:pPr>
            <w:r>
              <w:rPr>
                <w:rFonts w:ascii="Times New Roman" w:hAnsi="Times New Roman" w:eastAsia="宋体"/>
                <w:b w:val="0"/>
                <w:sz w:val="15"/>
              </w:rPr>
              <w:t>-0.367</w:t>
            </w:r>
          </w:p>
        </w:tc>
        <w:tc>
          <w:tcPr>
            <w:tcW w:w="872" w:type="dxa"/>
          </w:tcPr>
          <w:p w14:paraId="6A451149">
            <w:pPr>
              <w:spacing w:before="0" w:after="0" w:line="240" w:lineRule="auto"/>
              <w:jc w:val="center"/>
            </w:pPr>
            <w:r>
              <w:rPr>
                <w:rFonts w:ascii="Times New Roman" w:hAnsi="Times New Roman" w:eastAsia="宋体"/>
                <w:b w:val="0"/>
                <w:sz w:val="15"/>
              </w:rPr>
              <w:t>0.035</w:t>
            </w:r>
          </w:p>
        </w:tc>
        <w:tc>
          <w:tcPr>
            <w:tcW w:w="785" w:type="dxa"/>
          </w:tcPr>
          <w:p w14:paraId="4811E1F6">
            <w:pPr>
              <w:spacing w:before="0" w:after="0" w:line="240" w:lineRule="auto"/>
              <w:jc w:val="center"/>
            </w:pPr>
            <w:r>
              <w:rPr>
                <w:rFonts w:ascii="Times New Roman" w:hAnsi="Times New Roman" w:eastAsia="宋体"/>
                <w:b w:val="0"/>
                <w:sz w:val="15"/>
              </w:rPr>
              <w:t>1.000</w:t>
            </w:r>
          </w:p>
        </w:tc>
        <w:tc>
          <w:tcPr>
            <w:tcW w:w="1007" w:type="dxa"/>
          </w:tcPr>
          <w:p w14:paraId="4C30B73D">
            <w:pPr>
              <w:spacing w:before="0" w:after="0" w:line="240" w:lineRule="auto"/>
              <w:jc w:val="center"/>
            </w:pPr>
            <w:r>
              <w:rPr>
                <w:rFonts w:ascii="Times New Roman" w:hAnsi="Times New Roman" w:eastAsia="宋体"/>
                <w:b w:val="0"/>
                <w:sz w:val="15"/>
              </w:rPr>
              <w:t>-0.114</w:t>
            </w:r>
          </w:p>
        </w:tc>
      </w:tr>
      <w:tr w14:paraId="424BC3C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069" w:type="dxa"/>
          </w:tcPr>
          <w:p w14:paraId="3DC92F30">
            <w:pPr>
              <w:spacing w:before="0" w:after="0" w:line="240" w:lineRule="auto"/>
              <w:jc w:val="center"/>
            </w:pPr>
            <w:r>
              <w:rPr>
                <w:rFonts w:ascii="Times New Roman" w:hAnsi="Times New Roman" w:eastAsia="宋体"/>
                <w:b w:val="0"/>
                <w:sz w:val="15"/>
              </w:rPr>
              <w:t>AuditFee</w:t>
            </w:r>
          </w:p>
        </w:tc>
        <w:tc>
          <w:tcPr>
            <w:tcW w:w="805" w:type="dxa"/>
          </w:tcPr>
          <w:p w14:paraId="411CFF3B">
            <w:pPr>
              <w:spacing w:before="0" w:after="0" w:line="240" w:lineRule="auto"/>
              <w:jc w:val="center"/>
            </w:pPr>
            <w:r>
              <w:rPr>
                <w:rFonts w:ascii="Times New Roman" w:hAnsi="Times New Roman" w:eastAsia="宋体"/>
                <w:b w:val="0"/>
                <w:sz w:val="15"/>
              </w:rPr>
              <w:t>0.191</w:t>
            </w:r>
          </w:p>
        </w:tc>
        <w:tc>
          <w:tcPr>
            <w:tcW w:w="845" w:type="dxa"/>
          </w:tcPr>
          <w:p w14:paraId="5F588ED3">
            <w:pPr>
              <w:spacing w:before="0" w:after="0" w:line="240" w:lineRule="auto"/>
              <w:jc w:val="center"/>
            </w:pPr>
            <w:r>
              <w:rPr>
                <w:rFonts w:ascii="Times New Roman" w:hAnsi="Times New Roman" w:eastAsia="宋体"/>
                <w:b w:val="0"/>
                <w:sz w:val="15"/>
              </w:rPr>
              <w:t>0.081</w:t>
            </w:r>
          </w:p>
        </w:tc>
        <w:tc>
          <w:tcPr>
            <w:tcW w:w="1152" w:type="dxa"/>
          </w:tcPr>
          <w:p w14:paraId="4363A79D">
            <w:pPr>
              <w:spacing w:before="0" w:after="0" w:line="240" w:lineRule="auto"/>
              <w:jc w:val="center"/>
            </w:pPr>
            <w:r>
              <w:rPr>
                <w:rFonts w:ascii="Times New Roman" w:hAnsi="Times New Roman" w:eastAsia="宋体"/>
                <w:b w:val="0"/>
                <w:sz w:val="15"/>
              </w:rPr>
              <w:t>0.199</w:t>
            </w:r>
          </w:p>
        </w:tc>
        <w:tc>
          <w:tcPr>
            <w:tcW w:w="757" w:type="dxa"/>
          </w:tcPr>
          <w:p w14:paraId="4E50FAD5">
            <w:pPr>
              <w:spacing w:before="0" w:after="0" w:line="240" w:lineRule="auto"/>
              <w:jc w:val="center"/>
            </w:pPr>
            <w:r>
              <w:rPr>
                <w:rFonts w:ascii="Times New Roman" w:hAnsi="Times New Roman" w:eastAsia="宋体"/>
                <w:b w:val="0"/>
                <w:sz w:val="15"/>
              </w:rPr>
              <w:t>0.766</w:t>
            </w:r>
          </w:p>
        </w:tc>
        <w:tc>
          <w:tcPr>
            <w:tcW w:w="744" w:type="dxa"/>
          </w:tcPr>
          <w:p w14:paraId="575BC481">
            <w:pPr>
              <w:spacing w:before="0" w:after="0" w:line="240" w:lineRule="auto"/>
              <w:jc w:val="center"/>
            </w:pPr>
            <w:r>
              <w:rPr>
                <w:rFonts w:ascii="Times New Roman" w:hAnsi="Times New Roman" w:eastAsia="宋体"/>
                <w:b w:val="0"/>
                <w:sz w:val="15"/>
              </w:rPr>
              <w:t>0.328</w:t>
            </w:r>
          </w:p>
        </w:tc>
        <w:tc>
          <w:tcPr>
            <w:tcW w:w="784" w:type="dxa"/>
          </w:tcPr>
          <w:p w14:paraId="00FF8D8F">
            <w:pPr>
              <w:spacing w:before="0" w:after="0" w:line="240" w:lineRule="auto"/>
              <w:jc w:val="center"/>
            </w:pPr>
            <w:r>
              <w:rPr>
                <w:rFonts w:ascii="Times New Roman" w:hAnsi="Times New Roman" w:eastAsia="宋体"/>
                <w:b w:val="0"/>
                <w:sz w:val="15"/>
              </w:rPr>
              <w:t>-0.061</w:t>
            </w:r>
          </w:p>
        </w:tc>
        <w:tc>
          <w:tcPr>
            <w:tcW w:w="818" w:type="dxa"/>
          </w:tcPr>
          <w:p w14:paraId="1F92FD0B">
            <w:pPr>
              <w:spacing w:before="0" w:after="0" w:line="240" w:lineRule="auto"/>
              <w:jc w:val="center"/>
            </w:pPr>
            <w:r>
              <w:rPr>
                <w:rFonts w:ascii="Times New Roman" w:hAnsi="Times New Roman" w:eastAsia="宋体"/>
                <w:b w:val="0"/>
                <w:sz w:val="15"/>
              </w:rPr>
              <w:t>-0.006</w:t>
            </w:r>
          </w:p>
        </w:tc>
        <w:tc>
          <w:tcPr>
            <w:tcW w:w="872" w:type="dxa"/>
          </w:tcPr>
          <w:p w14:paraId="67E3C0D9">
            <w:pPr>
              <w:spacing w:before="0" w:after="0" w:line="240" w:lineRule="auto"/>
              <w:jc w:val="center"/>
            </w:pPr>
            <w:r>
              <w:rPr>
                <w:rFonts w:ascii="Times New Roman" w:hAnsi="Times New Roman" w:eastAsia="宋体"/>
                <w:b w:val="0"/>
                <w:sz w:val="15"/>
              </w:rPr>
              <w:t>-0.033</w:t>
            </w:r>
          </w:p>
        </w:tc>
        <w:tc>
          <w:tcPr>
            <w:tcW w:w="785" w:type="dxa"/>
          </w:tcPr>
          <w:p w14:paraId="506AE7EA">
            <w:pPr>
              <w:spacing w:before="0" w:after="0" w:line="240" w:lineRule="auto"/>
              <w:jc w:val="center"/>
            </w:pPr>
            <w:r>
              <w:rPr>
                <w:rFonts w:ascii="Times New Roman" w:hAnsi="Times New Roman" w:eastAsia="宋体"/>
                <w:b w:val="0"/>
                <w:sz w:val="15"/>
              </w:rPr>
              <w:t>-0.114</w:t>
            </w:r>
          </w:p>
        </w:tc>
        <w:tc>
          <w:tcPr>
            <w:tcW w:w="1007" w:type="dxa"/>
          </w:tcPr>
          <w:p w14:paraId="55E1C33A">
            <w:pPr>
              <w:spacing w:before="0" w:after="0" w:line="240" w:lineRule="auto"/>
              <w:jc w:val="center"/>
            </w:pPr>
            <w:r>
              <w:rPr>
                <w:rFonts w:ascii="Times New Roman" w:hAnsi="Times New Roman" w:eastAsia="宋体"/>
                <w:b w:val="0"/>
                <w:sz w:val="15"/>
              </w:rPr>
              <w:t>1.000</w:t>
            </w:r>
          </w:p>
        </w:tc>
      </w:tr>
    </w:tbl>
    <w:p w14:paraId="7D2ADDBA">
      <w:pPr>
        <w:spacing w:before="40" w:after="120" w:line="240" w:lineRule="auto"/>
        <w:ind w:firstLine="180" w:firstLineChars="100"/>
        <w:jc w:val="left"/>
      </w:pPr>
      <w:r>
        <w:rPr>
          <w:rFonts w:ascii="Times New Roman" w:hAnsi="Times New Roman" w:eastAsia="宋体"/>
          <w:b w:val="0"/>
          <w:sz w:val="18"/>
        </w:rPr>
        <w:t>注：基于2007—2024年实证样本计算；EP与Digit的混合样本相关系数为-0.076。</w:t>
      </w:r>
    </w:p>
    <w:p w14:paraId="7459BEA4">
      <w:pPr>
        <w:spacing w:before="0" w:after="0" w:line="240" w:lineRule="auto"/>
        <w:ind w:firstLine="420" w:firstLineChars="200"/>
        <w:jc w:val="both"/>
      </w:pPr>
      <w:r>
        <w:rPr>
          <w:rFonts w:ascii="Times New Roman" w:hAnsi="Times New Roman" w:eastAsia="宋体"/>
          <w:b w:val="0"/>
          <w:sz w:val="21"/>
        </w:rPr>
        <w:t>多重共线性方面，本文逐一计算了各解释变量的方差膨胀因子。结果的最大值为2.951，出现在企业规模上，距常用的10这一经验阈限尚远，说明共线性并未对估计构成实质威胁。</w:t>
      </w:r>
    </w:p>
    <w:p w14:paraId="668CC181">
      <w:pPr>
        <w:spacing w:before="0" w:after="0" w:line="240" w:lineRule="auto"/>
        <w:ind w:firstLine="420" w:firstLineChars="200"/>
        <w:jc w:val="both"/>
      </w:pPr>
      <w:r>
        <w:rPr>
          <w:rFonts w:ascii="Times New Roman" w:hAnsi="Times New Roman" w:eastAsia="宋体"/>
          <w:b w:val="0"/>
          <w:sz w:val="21"/>
        </w:rPr>
        <w:t>方差膨胀因子的检验结果如表7所示。</w:t>
      </w:r>
    </w:p>
    <w:p w14:paraId="219A0703">
      <w:pPr>
        <w:spacing w:before="120" w:after="20" w:line="240" w:lineRule="auto"/>
        <w:jc w:val="center"/>
      </w:pPr>
      <w:r>
        <w:rPr>
          <w:rFonts w:ascii="Times New Roman" w:hAnsi="Times New Roman" w:eastAsia="黑体"/>
          <w:b w:val="0"/>
          <w:sz w:val="18"/>
        </w:rPr>
        <w:t>表7 方差膨胀因子（VIF）检验结果</w:t>
      </w:r>
    </w:p>
    <w:p w14:paraId="778CEFDC">
      <w:pPr>
        <w:spacing w:before="0" w:after="60" w:line="240" w:lineRule="auto"/>
        <w:jc w:val="center"/>
      </w:pPr>
      <w:r>
        <w:rPr>
          <w:rFonts w:ascii="Times New Roman" w:hAnsi="Times New Roman" w:eastAsia="宋体"/>
          <w:b w:val="0"/>
          <w:sz w:val="16"/>
        </w:rPr>
        <w:t>Table 7 Variance inflation factor (VIF) test results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855"/>
        <w:gridCol w:w="5783"/>
      </w:tblGrid>
      <w:tr w14:paraId="747A460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Borders>
              <w:bottom w:val="single" w:color="auto" w:sz="8" w:space="0"/>
            </w:tcBorders>
          </w:tcPr>
          <w:p w14:paraId="268EA905">
            <w:pPr>
              <w:spacing w:before="0" w:after="0" w:line="240" w:lineRule="auto"/>
              <w:jc w:val="center"/>
            </w:pPr>
            <w:r>
              <w:rPr>
                <w:rFonts w:ascii="Times New Roman" w:hAnsi="Times New Roman" w:eastAsia="宋体"/>
                <w:b/>
                <w:sz w:val="15"/>
              </w:rPr>
              <w:t>变量</w:t>
            </w:r>
          </w:p>
        </w:tc>
        <w:tc>
          <w:tcPr>
            <w:tcW w:w="5783" w:type="dxa"/>
            <w:tcBorders>
              <w:bottom w:val="single" w:color="auto" w:sz="8" w:space="0"/>
            </w:tcBorders>
          </w:tcPr>
          <w:p w14:paraId="4D1B0DC3">
            <w:pPr>
              <w:spacing w:before="0" w:after="0" w:line="240" w:lineRule="auto"/>
              <w:jc w:val="center"/>
            </w:pPr>
            <w:r>
              <w:rPr>
                <w:rFonts w:ascii="Times New Roman" w:hAnsi="Times New Roman" w:eastAsia="宋体"/>
                <w:b/>
                <w:sz w:val="15"/>
              </w:rPr>
              <w:t>VIF</w:t>
            </w:r>
          </w:p>
        </w:tc>
      </w:tr>
      <w:tr w14:paraId="4BCE085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4C254CF9">
            <w:pPr>
              <w:spacing w:before="0" w:after="0" w:line="240" w:lineRule="auto"/>
              <w:jc w:val="center"/>
            </w:pPr>
            <w:r>
              <w:rPr>
                <w:rFonts w:ascii="Times New Roman" w:hAnsi="Times New Roman" w:eastAsia="宋体"/>
                <w:b w:val="0"/>
                <w:sz w:val="15"/>
              </w:rPr>
              <w:t>Digit</w:t>
            </w:r>
          </w:p>
        </w:tc>
        <w:tc>
          <w:tcPr>
            <w:tcW w:w="5783" w:type="dxa"/>
          </w:tcPr>
          <w:p w14:paraId="2D444A61">
            <w:pPr>
              <w:spacing w:before="0" w:after="0" w:line="240" w:lineRule="auto"/>
              <w:jc w:val="center"/>
            </w:pPr>
            <w:r>
              <w:rPr>
                <w:rFonts w:ascii="Times New Roman" w:hAnsi="Times New Roman" w:eastAsia="宋体"/>
                <w:b w:val="0"/>
                <w:sz w:val="15"/>
              </w:rPr>
              <w:t>1.289</w:t>
            </w:r>
          </w:p>
        </w:tc>
      </w:tr>
      <w:tr w14:paraId="5C7BF23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17153127">
            <w:pPr>
              <w:spacing w:before="0" w:after="0" w:line="240" w:lineRule="auto"/>
              <w:jc w:val="center"/>
            </w:pPr>
            <w:r>
              <w:rPr>
                <w:rFonts w:ascii="Times New Roman" w:hAnsi="Times New Roman" w:eastAsia="宋体"/>
                <w:b w:val="0"/>
                <w:sz w:val="15"/>
              </w:rPr>
              <w:t>Size</w:t>
            </w:r>
          </w:p>
        </w:tc>
        <w:tc>
          <w:tcPr>
            <w:tcW w:w="5783" w:type="dxa"/>
          </w:tcPr>
          <w:p w14:paraId="51598F00">
            <w:pPr>
              <w:spacing w:before="0" w:after="0" w:line="240" w:lineRule="auto"/>
              <w:jc w:val="center"/>
            </w:pPr>
            <w:r>
              <w:rPr>
                <w:rFonts w:ascii="Times New Roman" w:hAnsi="Times New Roman" w:eastAsia="宋体"/>
                <w:b w:val="0"/>
                <w:sz w:val="15"/>
              </w:rPr>
              <w:t>2.951</w:t>
            </w:r>
          </w:p>
        </w:tc>
      </w:tr>
      <w:tr w14:paraId="2351D9B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3855" w:type="dxa"/>
          </w:tcPr>
          <w:p w14:paraId="76C06FEB">
            <w:pPr>
              <w:spacing w:before="0" w:after="0" w:line="240" w:lineRule="auto"/>
              <w:jc w:val="center"/>
            </w:pPr>
            <w:r>
              <w:rPr>
                <w:rFonts w:ascii="Times New Roman" w:hAnsi="Times New Roman" w:eastAsia="宋体"/>
                <w:b w:val="0"/>
                <w:sz w:val="15"/>
              </w:rPr>
              <w:t>Lev</w:t>
            </w:r>
          </w:p>
        </w:tc>
        <w:tc>
          <w:tcPr>
            <w:tcW w:w="5783" w:type="dxa"/>
          </w:tcPr>
          <w:p w14:paraId="6CA16022">
            <w:pPr>
              <w:spacing w:before="0" w:after="0" w:line="240" w:lineRule="auto"/>
              <w:jc w:val="center"/>
            </w:pPr>
            <w:r>
              <w:rPr>
                <w:rFonts w:ascii="Times New Roman" w:hAnsi="Times New Roman" w:eastAsia="宋体"/>
                <w:b w:val="0"/>
                <w:sz w:val="15"/>
              </w:rPr>
              <w:t>1.776</w:t>
            </w:r>
          </w:p>
        </w:tc>
      </w:tr>
      <w:tr w14:paraId="27F701E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3D175740">
            <w:pPr>
              <w:spacing w:before="0" w:after="0" w:line="240" w:lineRule="auto"/>
              <w:jc w:val="center"/>
            </w:pPr>
            <w:r>
              <w:rPr>
                <w:rFonts w:ascii="Times New Roman" w:hAnsi="Times New Roman" w:eastAsia="宋体"/>
                <w:b w:val="0"/>
                <w:sz w:val="15"/>
              </w:rPr>
              <w:t>ROA</w:t>
            </w:r>
          </w:p>
        </w:tc>
        <w:tc>
          <w:tcPr>
            <w:tcW w:w="5783" w:type="dxa"/>
          </w:tcPr>
          <w:p w14:paraId="314ECD3C">
            <w:pPr>
              <w:spacing w:before="0" w:after="0" w:line="240" w:lineRule="auto"/>
              <w:jc w:val="center"/>
            </w:pPr>
            <w:r>
              <w:rPr>
                <w:rFonts w:ascii="Times New Roman" w:hAnsi="Times New Roman" w:eastAsia="宋体"/>
                <w:b w:val="0"/>
                <w:sz w:val="15"/>
              </w:rPr>
              <w:t>1.937</w:t>
            </w:r>
          </w:p>
        </w:tc>
      </w:tr>
      <w:tr w14:paraId="09DA2EA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09235F77">
            <w:pPr>
              <w:spacing w:before="0" w:after="0" w:line="240" w:lineRule="auto"/>
              <w:jc w:val="center"/>
            </w:pPr>
            <w:r>
              <w:rPr>
                <w:rFonts w:ascii="Times New Roman" w:hAnsi="Times New Roman" w:eastAsia="宋体"/>
                <w:b w:val="0"/>
                <w:sz w:val="15"/>
              </w:rPr>
              <w:t>FAsset</w:t>
            </w:r>
          </w:p>
        </w:tc>
        <w:tc>
          <w:tcPr>
            <w:tcW w:w="5783" w:type="dxa"/>
          </w:tcPr>
          <w:p w14:paraId="7775D76B">
            <w:pPr>
              <w:spacing w:before="0" w:after="0" w:line="240" w:lineRule="auto"/>
              <w:jc w:val="center"/>
            </w:pPr>
            <w:r>
              <w:rPr>
                <w:rFonts w:ascii="Times New Roman" w:hAnsi="Times New Roman" w:eastAsia="宋体"/>
                <w:b w:val="0"/>
                <w:sz w:val="15"/>
              </w:rPr>
              <w:t>1.492</w:t>
            </w:r>
          </w:p>
        </w:tc>
      </w:tr>
      <w:tr w14:paraId="4E8C4F1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0F10B1EB">
            <w:pPr>
              <w:spacing w:before="0" w:after="0" w:line="240" w:lineRule="auto"/>
              <w:jc w:val="center"/>
            </w:pPr>
            <w:r>
              <w:rPr>
                <w:rFonts w:ascii="Times New Roman" w:hAnsi="Times New Roman" w:eastAsia="宋体"/>
                <w:b w:val="0"/>
                <w:sz w:val="15"/>
              </w:rPr>
              <w:t>Growth</w:t>
            </w:r>
          </w:p>
        </w:tc>
        <w:tc>
          <w:tcPr>
            <w:tcW w:w="5783" w:type="dxa"/>
          </w:tcPr>
          <w:p w14:paraId="4DD429EB">
            <w:pPr>
              <w:spacing w:before="0" w:after="0" w:line="240" w:lineRule="auto"/>
              <w:jc w:val="center"/>
            </w:pPr>
            <w:r>
              <w:rPr>
                <w:rFonts w:ascii="Times New Roman" w:hAnsi="Times New Roman" w:eastAsia="宋体"/>
                <w:b w:val="0"/>
                <w:sz w:val="15"/>
              </w:rPr>
              <w:t>1.151</w:t>
            </w:r>
          </w:p>
        </w:tc>
      </w:tr>
      <w:tr w14:paraId="5ACA999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3855" w:type="dxa"/>
          </w:tcPr>
          <w:p w14:paraId="369F16F4">
            <w:pPr>
              <w:spacing w:before="0" w:after="0" w:line="240" w:lineRule="auto"/>
              <w:jc w:val="center"/>
            </w:pPr>
            <w:r>
              <w:rPr>
                <w:rFonts w:ascii="Times New Roman" w:hAnsi="Times New Roman" w:eastAsia="宋体"/>
                <w:b w:val="0"/>
                <w:sz w:val="15"/>
              </w:rPr>
              <w:t>IntAsset</w:t>
            </w:r>
          </w:p>
        </w:tc>
        <w:tc>
          <w:tcPr>
            <w:tcW w:w="5783" w:type="dxa"/>
          </w:tcPr>
          <w:p w14:paraId="30168A53">
            <w:pPr>
              <w:spacing w:before="0" w:after="0" w:line="240" w:lineRule="auto"/>
              <w:jc w:val="center"/>
            </w:pPr>
            <w:r>
              <w:rPr>
                <w:rFonts w:ascii="Times New Roman" w:hAnsi="Times New Roman" w:eastAsia="宋体"/>
                <w:b w:val="0"/>
                <w:sz w:val="15"/>
              </w:rPr>
              <w:t>1.094</w:t>
            </w:r>
          </w:p>
        </w:tc>
      </w:tr>
      <w:tr w14:paraId="64C9EBB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18AA8C34">
            <w:pPr>
              <w:spacing w:before="0" w:after="0" w:line="240" w:lineRule="auto"/>
              <w:jc w:val="center"/>
            </w:pPr>
            <w:r>
              <w:rPr>
                <w:rFonts w:ascii="Times New Roman" w:hAnsi="Times New Roman" w:eastAsia="宋体"/>
                <w:b w:val="0"/>
                <w:sz w:val="15"/>
              </w:rPr>
              <w:t>Cash</w:t>
            </w:r>
          </w:p>
        </w:tc>
        <w:tc>
          <w:tcPr>
            <w:tcW w:w="5783" w:type="dxa"/>
          </w:tcPr>
          <w:p w14:paraId="2580BC45">
            <w:pPr>
              <w:spacing w:before="0" w:after="0" w:line="240" w:lineRule="auto"/>
              <w:jc w:val="center"/>
            </w:pPr>
            <w:r>
              <w:rPr>
                <w:rFonts w:ascii="Times New Roman" w:hAnsi="Times New Roman" w:eastAsia="宋体"/>
                <w:b w:val="0"/>
                <w:sz w:val="15"/>
              </w:rPr>
              <w:t>1.376</w:t>
            </w:r>
          </w:p>
        </w:tc>
      </w:tr>
      <w:tr w14:paraId="5908C0D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3F4B3C69">
            <w:pPr>
              <w:spacing w:before="0" w:after="0" w:line="240" w:lineRule="auto"/>
              <w:jc w:val="center"/>
            </w:pPr>
            <w:r>
              <w:rPr>
                <w:rFonts w:ascii="Times New Roman" w:hAnsi="Times New Roman" w:eastAsia="宋体"/>
                <w:b w:val="0"/>
                <w:sz w:val="15"/>
              </w:rPr>
              <w:t>OCF</w:t>
            </w:r>
          </w:p>
        </w:tc>
        <w:tc>
          <w:tcPr>
            <w:tcW w:w="5783" w:type="dxa"/>
          </w:tcPr>
          <w:p w14:paraId="04F501EB">
            <w:pPr>
              <w:spacing w:before="0" w:after="0" w:line="240" w:lineRule="auto"/>
              <w:jc w:val="center"/>
            </w:pPr>
            <w:r>
              <w:rPr>
                <w:rFonts w:ascii="Times New Roman" w:hAnsi="Times New Roman" w:eastAsia="宋体"/>
                <w:b w:val="0"/>
                <w:sz w:val="15"/>
              </w:rPr>
              <w:t>1.458</w:t>
            </w:r>
          </w:p>
        </w:tc>
      </w:tr>
      <w:tr w14:paraId="0796FE7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212E0E0F">
            <w:pPr>
              <w:spacing w:before="0" w:after="0" w:line="240" w:lineRule="auto"/>
              <w:jc w:val="center"/>
            </w:pPr>
            <w:r>
              <w:rPr>
                <w:rFonts w:ascii="Times New Roman" w:hAnsi="Times New Roman" w:eastAsia="宋体"/>
                <w:b w:val="0"/>
                <w:sz w:val="15"/>
              </w:rPr>
              <w:t>AuditFee</w:t>
            </w:r>
          </w:p>
        </w:tc>
        <w:tc>
          <w:tcPr>
            <w:tcW w:w="5783" w:type="dxa"/>
          </w:tcPr>
          <w:p w14:paraId="0DDB9EF4">
            <w:pPr>
              <w:spacing w:before="0" w:after="0" w:line="240" w:lineRule="auto"/>
              <w:jc w:val="center"/>
            </w:pPr>
            <w:r>
              <w:rPr>
                <w:rFonts w:ascii="Times New Roman" w:hAnsi="Times New Roman" w:eastAsia="宋体"/>
                <w:b w:val="0"/>
                <w:sz w:val="15"/>
              </w:rPr>
              <w:t>2.652</w:t>
            </w:r>
          </w:p>
        </w:tc>
      </w:tr>
      <w:tr w14:paraId="19F8147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3855" w:type="dxa"/>
          </w:tcPr>
          <w:p w14:paraId="1440B4DC">
            <w:pPr>
              <w:spacing w:before="0" w:after="0" w:line="240" w:lineRule="auto"/>
              <w:jc w:val="center"/>
            </w:pPr>
            <w:r>
              <w:rPr>
                <w:rFonts w:ascii="Times New Roman" w:hAnsi="Times New Roman" w:eastAsia="宋体"/>
                <w:b w:val="0"/>
                <w:sz w:val="15"/>
              </w:rPr>
              <w:t>Audit</w:t>
            </w:r>
          </w:p>
        </w:tc>
        <w:tc>
          <w:tcPr>
            <w:tcW w:w="5783" w:type="dxa"/>
          </w:tcPr>
          <w:p w14:paraId="7738AEFD">
            <w:pPr>
              <w:spacing w:before="0" w:after="0" w:line="240" w:lineRule="auto"/>
              <w:jc w:val="center"/>
            </w:pPr>
            <w:r>
              <w:rPr>
                <w:rFonts w:ascii="Times New Roman" w:hAnsi="Times New Roman" w:eastAsia="宋体"/>
                <w:b w:val="0"/>
                <w:sz w:val="15"/>
              </w:rPr>
              <w:t>1.113</w:t>
            </w:r>
          </w:p>
        </w:tc>
      </w:tr>
      <w:tr w14:paraId="449A63B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5AA07A16">
            <w:pPr>
              <w:spacing w:before="0" w:after="0" w:line="240" w:lineRule="auto"/>
              <w:jc w:val="center"/>
            </w:pPr>
            <w:r>
              <w:rPr>
                <w:rFonts w:ascii="Times New Roman" w:hAnsi="Times New Roman" w:eastAsia="宋体"/>
                <w:b w:val="0"/>
                <w:sz w:val="15"/>
              </w:rPr>
              <w:t>Policy</w:t>
            </w:r>
          </w:p>
        </w:tc>
        <w:tc>
          <w:tcPr>
            <w:tcW w:w="5783" w:type="dxa"/>
          </w:tcPr>
          <w:p w14:paraId="53070DA8">
            <w:pPr>
              <w:spacing w:before="0" w:after="0" w:line="240" w:lineRule="auto"/>
              <w:jc w:val="center"/>
            </w:pPr>
            <w:r>
              <w:rPr>
                <w:rFonts w:ascii="Times New Roman" w:hAnsi="Times New Roman" w:eastAsia="宋体"/>
                <w:b w:val="0"/>
                <w:sz w:val="15"/>
              </w:rPr>
              <w:t>1.398</w:t>
            </w:r>
          </w:p>
        </w:tc>
      </w:tr>
      <w:tr w14:paraId="02E6A31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7D1ABBED">
            <w:pPr>
              <w:spacing w:before="0" w:after="0" w:line="240" w:lineRule="auto"/>
              <w:jc w:val="center"/>
            </w:pPr>
            <w:r>
              <w:rPr>
                <w:rFonts w:ascii="Times New Roman" w:hAnsi="Times New Roman" w:eastAsia="宋体"/>
                <w:b w:val="0"/>
                <w:sz w:val="15"/>
              </w:rPr>
              <w:t>EnvExp</w:t>
            </w:r>
          </w:p>
        </w:tc>
        <w:tc>
          <w:tcPr>
            <w:tcW w:w="5783" w:type="dxa"/>
          </w:tcPr>
          <w:p w14:paraId="30CB833C">
            <w:pPr>
              <w:spacing w:before="0" w:after="0" w:line="240" w:lineRule="auto"/>
              <w:jc w:val="center"/>
            </w:pPr>
            <w:r>
              <w:rPr>
                <w:rFonts w:ascii="Times New Roman" w:hAnsi="Times New Roman" w:eastAsia="宋体"/>
                <w:b w:val="0"/>
                <w:sz w:val="15"/>
              </w:rPr>
              <w:t>1.356</w:t>
            </w:r>
          </w:p>
        </w:tc>
      </w:tr>
      <w:tr w14:paraId="1191A91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3855" w:type="dxa"/>
          </w:tcPr>
          <w:p w14:paraId="6057862F">
            <w:pPr>
              <w:spacing w:before="0" w:after="0" w:line="240" w:lineRule="auto"/>
              <w:jc w:val="center"/>
            </w:pPr>
            <w:r>
              <w:rPr>
                <w:rFonts w:ascii="Times New Roman" w:hAnsi="Times New Roman" w:eastAsia="宋体"/>
                <w:b w:val="0"/>
                <w:sz w:val="15"/>
              </w:rPr>
              <w:t>均值</w:t>
            </w:r>
          </w:p>
        </w:tc>
        <w:tc>
          <w:tcPr>
            <w:tcW w:w="5783" w:type="dxa"/>
          </w:tcPr>
          <w:p w14:paraId="45F7AAAC">
            <w:pPr>
              <w:spacing w:before="0" w:after="0" w:line="240" w:lineRule="auto"/>
              <w:jc w:val="center"/>
            </w:pPr>
            <w:r>
              <w:rPr>
                <w:rFonts w:ascii="Times New Roman" w:hAnsi="Times New Roman" w:eastAsia="宋体"/>
                <w:b w:val="0"/>
                <w:sz w:val="15"/>
              </w:rPr>
              <w:t>1.619</w:t>
            </w:r>
          </w:p>
        </w:tc>
      </w:tr>
    </w:tbl>
    <w:p w14:paraId="2ADC83F0">
      <w:pPr>
        <w:spacing w:before="40" w:after="120" w:line="240" w:lineRule="auto"/>
        <w:ind w:firstLine="180" w:firstLineChars="100"/>
        <w:jc w:val="left"/>
      </w:pPr>
      <w:r>
        <w:rPr>
          <w:rFonts w:ascii="Times New Roman" w:hAnsi="Times New Roman" w:eastAsia="宋体"/>
          <w:b w:val="0"/>
          <w:sz w:val="18"/>
        </w:rPr>
        <w:t>注：最大VIF为2.951，远低于临界阈值10，不存在严重多重共线性。</w:t>
      </w:r>
    </w:p>
    <w:p w14:paraId="6B3507B9">
      <w:pPr>
        <w:spacing w:before="160" w:after="80" w:line="240" w:lineRule="auto"/>
        <w:jc w:val="left"/>
      </w:pPr>
      <w:r>
        <w:rPr>
          <w:rFonts w:ascii="Times New Roman" w:hAnsi="Times New Roman" w:eastAsia="黑体"/>
          <w:b/>
          <w:sz w:val="21"/>
        </w:rPr>
        <w:t>5.3 基准回归结果</w:t>
      </w:r>
    </w:p>
    <w:p w14:paraId="674A2785">
      <w:pPr>
        <w:spacing w:before="0" w:after="0" w:line="240" w:lineRule="auto"/>
        <w:ind w:firstLine="420" w:firstLineChars="200"/>
        <w:jc w:val="both"/>
      </w:pPr>
      <w:r>
        <w:rPr>
          <w:rFonts w:ascii="Times New Roman" w:hAnsi="Times New Roman" w:eastAsia="宋体"/>
          <w:b w:val="0"/>
          <w:sz w:val="21"/>
        </w:rPr>
        <w:t>表8的结果是递进给出的。模型（1）只放数智技术赋能，混合最小二乘系数为-0.054，1%水平显著为负。加入企业财务与治理控制变量后（模型2），系数变为-0.011，显著性消失；再加入地区控制变量（模型3），为-0.019，仍不显著。模型（4）同时控制企业与年份固定效应，系数转为0.020（t=1.335）——方向为正，但未通过检验。</w:t>
      </w:r>
    </w:p>
    <w:p w14:paraId="08697A94">
      <w:pPr>
        <w:spacing w:before="0" w:after="0" w:line="240" w:lineRule="auto"/>
        <w:ind w:firstLine="420" w:firstLineChars="200"/>
        <w:jc w:val="both"/>
      </w:pPr>
      <w:r>
        <w:rPr>
          <w:rFonts w:ascii="Times New Roman" w:hAnsi="Times New Roman" w:eastAsia="宋体"/>
          <w:b w:val="0"/>
          <w:sz w:val="21"/>
        </w:rPr>
        <w:t>基准回归的估计结果如表8所示。</w:t>
      </w:r>
    </w:p>
    <w:p w14:paraId="62323AD4">
      <w:pPr>
        <w:spacing w:before="120" w:after="20" w:line="240" w:lineRule="auto"/>
        <w:jc w:val="center"/>
      </w:pPr>
      <w:r>
        <w:rPr>
          <w:rFonts w:ascii="Times New Roman" w:hAnsi="Times New Roman" w:eastAsia="黑体"/>
          <w:b w:val="0"/>
          <w:sz w:val="18"/>
        </w:rPr>
        <w:t>表8 基准回归结果</w:t>
      </w:r>
    </w:p>
    <w:p w14:paraId="53FB1857">
      <w:pPr>
        <w:spacing w:before="0" w:after="60" w:line="240" w:lineRule="auto"/>
        <w:jc w:val="center"/>
      </w:pPr>
      <w:r>
        <w:rPr>
          <w:rFonts w:ascii="Times New Roman" w:hAnsi="Times New Roman" w:eastAsia="宋体"/>
          <w:b w:val="0"/>
          <w:sz w:val="16"/>
        </w:rPr>
        <w:t>Table 8 Baseline regression results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85"/>
        <w:gridCol w:w="2080"/>
        <w:gridCol w:w="2224"/>
        <w:gridCol w:w="2224"/>
        <w:gridCol w:w="2225"/>
      </w:tblGrid>
      <w:tr w14:paraId="3060384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Borders>
              <w:bottom w:val="single" w:color="auto" w:sz="8" w:space="0"/>
            </w:tcBorders>
          </w:tcPr>
          <w:p w14:paraId="40BD1374">
            <w:pPr>
              <w:spacing w:before="0" w:after="0" w:line="240" w:lineRule="auto"/>
              <w:jc w:val="center"/>
            </w:pPr>
            <w:r>
              <w:rPr>
                <w:rFonts w:ascii="Times New Roman" w:hAnsi="Times New Roman" w:eastAsia="宋体"/>
                <w:b/>
                <w:sz w:val="15"/>
              </w:rPr>
              <w:t>变量</w:t>
            </w:r>
          </w:p>
        </w:tc>
        <w:tc>
          <w:tcPr>
            <w:tcW w:w="2080" w:type="dxa"/>
            <w:tcBorders>
              <w:bottom w:val="single" w:color="auto" w:sz="8" w:space="0"/>
            </w:tcBorders>
          </w:tcPr>
          <w:p w14:paraId="3FB2F173">
            <w:pPr>
              <w:spacing w:before="0" w:after="0" w:line="240" w:lineRule="auto"/>
              <w:jc w:val="center"/>
            </w:pPr>
            <w:r>
              <w:rPr>
                <w:rFonts w:ascii="Times New Roman" w:hAnsi="Times New Roman" w:eastAsia="宋体"/>
                <w:b/>
                <w:sz w:val="15"/>
              </w:rPr>
              <w:t>(1) EP</w:t>
            </w:r>
          </w:p>
        </w:tc>
        <w:tc>
          <w:tcPr>
            <w:tcW w:w="2224" w:type="dxa"/>
            <w:tcBorders>
              <w:bottom w:val="single" w:color="auto" w:sz="8" w:space="0"/>
            </w:tcBorders>
          </w:tcPr>
          <w:p w14:paraId="442F0DD2">
            <w:pPr>
              <w:spacing w:before="0" w:after="0" w:line="240" w:lineRule="auto"/>
              <w:jc w:val="center"/>
            </w:pPr>
            <w:r>
              <w:rPr>
                <w:rFonts w:ascii="Times New Roman" w:hAnsi="Times New Roman" w:eastAsia="宋体"/>
                <w:b/>
                <w:sz w:val="15"/>
              </w:rPr>
              <w:t>(2) EP</w:t>
            </w:r>
          </w:p>
        </w:tc>
        <w:tc>
          <w:tcPr>
            <w:tcW w:w="2224" w:type="dxa"/>
            <w:tcBorders>
              <w:bottom w:val="single" w:color="auto" w:sz="8" w:space="0"/>
            </w:tcBorders>
          </w:tcPr>
          <w:p w14:paraId="4208DBF9">
            <w:pPr>
              <w:spacing w:before="0" w:after="0" w:line="240" w:lineRule="auto"/>
              <w:jc w:val="center"/>
            </w:pPr>
            <w:r>
              <w:rPr>
                <w:rFonts w:ascii="Times New Roman" w:hAnsi="Times New Roman" w:eastAsia="宋体"/>
                <w:b/>
                <w:sz w:val="15"/>
              </w:rPr>
              <w:t>(3) EP</w:t>
            </w:r>
          </w:p>
        </w:tc>
        <w:tc>
          <w:tcPr>
            <w:tcW w:w="2225" w:type="dxa"/>
            <w:tcBorders>
              <w:bottom w:val="single" w:color="auto" w:sz="8" w:space="0"/>
            </w:tcBorders>
          </w:tcPr>
          <w:p w14:paraId="786633B4">
            <w:pPr>
              <w:spacing w:before="0" w:after="0" w:line="240" w:lineRule="auto"/>
              <w:jc w:val="center"/>
            </w:pPr>
            <w:r>
              <w:rPr>
                <w:rFonts w:ascii="Times New Roman" w:hAnsi="Times New Roman" w:eastAsia="宋体"/>
                <w:b/>
                <w:sz w:val="15"/>
              </w:rPr>
              <w:t>(4) EP</w:t>
            </w:r>
          </w:p>
        </w:tc>
      </w:tr>
      <w:tr w14:paraId="481ADEB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47EE2390">
            <w:pPr>
              <w:spacing w:before="0" w:after="0" w:line="240" w:lineRule="auto"/>
              <w:jc w:val="center"/>
            </w:pPr>
            <w:r>
              <w:rPr>
                <w:rFonts w:ascii="Times New Roman" w:hAnsi="Times New Roman" w:eastAsia="宋体"/>
                <w:b w:val="0"/>
                <w:sz w:val="15"/>
              </w:rPr>
              <w:t>Digit</w:t>
            </w:r>
          </w:p>
        </w:tc>
        <w:tc>
          <w:tcPr>
            <w:tcW w:w="2080" w:type="dxa"/>
          </w:tcPr>
          <w:p w14:paraId="4AAA2E50">
            <w:pPr>
              <w:spacing w:before="0" w:after="0" w:line="240" w:lineRule="auto"/>
              <w:jc w:val="center"/>
            </w:pPr>
            <w:r>
              <w:rPr>
                <w:rFonts w:ascii="Times New Roman" w:hAnsi="Times New Roman" w:eastAsia="宋体"/>
                <w:b w:val="0"/>
                <w:sz w:val="15"/>
              </w:rPr>
              <w:t>-0.054***</w:t>
            </w:r>
          </w:p>
        </w:tc>
        <w:tc>
          <w:tcPr>
            <w:tcW w:w="2224" w:type="dxa"/>
          </w:tcPr>
          <w:p w14:paraId="579CB485">
            <w:pPr>
              <w:spacing w:before="0" w:after="0" w:line="240" w:lineRule="auto"/>
              <w:jc w:val="center"/>
            </w:pPr>
            <w:r>
              <w:rPr>
                <w:rFonts w:ascii="Times New Roman" w:hAnsi="Times New Roman" w:eastAsia="宋体"/>
                <w:b w:val="0"/>
                <w:sz w:val="15"/>
              </w:rPr>
              <w:t>-0.011</w:t>
            </w:r>
          </w:p>
        </w:tc>
        <w:tc>
          <w:tcPr>
            <w:tcW w:w="2224" w:type="dxa"/>
          </w:tcPr>
          <w:p w14:paraId="755FE9AB">
            <w:pPr>
              <w:spacing w:before="0" w:after="0" w:line="240" w:lineRule="auto"/>
              <w:jc w:val="center"/>
            </w:pPr>
            <w:r>
              <w:rPr>
                <w:rFonts w:ascii="Times New Roman" w:hAnsi="Times New Roman" w:eastAsia="宋体"/>
                <w:b w:val="0"/>
                <w:sz w:val="15"/>
              </w:rPr>
              <w:t>-0.019</w:t>
            </w:r>
          </w:p>
        </w:tc>
        <w:tc>
          <w:tcPr>
            <w:tcW w:w="2225" w:type="dxa"/>
          </w:tcPr>
          <w:p w14:paraId="6CCB424F">
            <w:pPr>
              <w:spacing w:before="0" w:after="0" w:line="240" w:lineRule="auto"/>
              <w:jc w:val="center"/>
            </w:pPr>
            <w:r>
              <w:rPr>
                <w:rFonts w:ascii="Times New Roman" w:hAnsi="Times New Roman" w:eastAsia="宋体"/>
                <w:b w:val="0"/>
                <w:sz w:val="15"/>
              </w:rPr>
              <w:t>0.020</w:t>
            </w:r>
          </w:p>
        </w:tc>
      </w:tr>
      <w:tr w14:paraId="21D805F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6138E5E7">
            <w:pPr>
              <w:spacing w:before="0" w:after="0" w:line="240" w:lineRule="auto"/>
              <w:jc w:val="center"/>
            </w:pPr>
          </w:p>
        </w:tc>
        <w:tc>
          <w:tcPr>
            <w:tcW w:w="2080" w:type="dxa"/>
          </w:tcPr>
          <w:p w14:paraId="2D9CC0F2">
            <w:pPr>
              <w:spacing w:before="0" w:after="0" w:line="240" w:lineRule="auto"/>
              <w:jc w:val="center"/>
            </w:pPr>
            <w:r>
              <w:rPr>
                <w:rFonts w:ascii="Times New Roman" w:hAnsi="Times New Roman" w:eastAsia="宋体"/>
                <w:b w:val="0"/>
                <w:sz w:val="15"/>
              </w:rPr>
              <w:t>(-3.962)</w:t>
            </w:r>
          </w:p>
        </w:tc>
        <w:tc>
          <w:tcPr>
            <w:tcW w:w="2224" w:type="dxa"/>
          </w:tcPr>
          <w:p w14:paraId="6981E83B">
            <w:pPr>
              <w:spacing w:before="0" w:after="0" w:line="240" w:lineRule="auto"/>
              <w:jc w:val="center"/>
            </w:pPr>
            <w:r>
              <w:rPr>
                <w:rFonts w:ascii="Times New Roman" w:hAnsi="Times New Roman" w:eastAsia="宋体"/>
                <w:b w:val="0"/>
                <w:sz w:val="15"/>
              </w:rPr>
              <w:t>(-0.716)</w:t>
            </w:r>
          </w:p>
        </w:tc>
        <w:tc>
          <w:tcPr>
            <w:tcW w:w="2224" w:type="dxa"/>
          </w:tcPr>
          <w:p w14:paraId="6137BBDD">
            <w:pPr>
              <w:spacing w:before="0" w:after="0" w:line="240" w:lineRule="auto"/>
              <w:jc w:val="center"/>
            </w:pPr>
            <w:r>
              <w:rPr>
                <w:rFonts w:ascii="Times New Roman" w:hAnsi="Times New Roman" w:eastAsia="宋体"/>
                <w:b w:val="0"/>
                <w:sz w:val="15"/>
              </w:rPr>
              <w:t>(-1.249)</w:t>
            </w:r>
          </w:p>
        </w:tc>
        <w:tc>
          <w:tcPr>
            <w:tcW w:w="2225" w:type="dxa"/>
          </w:tcPr>
          <w:p w14:paraId="33FC3F0B">
            <w:pPr>
              <w:spacing w:before="0" w:after="0" w:line="240" w:lineRule="auto"/>
              <w:jc w:val="center"/>
            </w:pPr>
            <w:r>
              <w:rPr>
                <w:rFonts w:ascii="Times New Roman" w:hAnsi="Times New Roman" w:eastAsia="宋体"/>
                <w:b w:val="0"/>
                <w:sz w:val="15"/>
              </w:rPr>
              <w:t>(1.335)</w:t>
            </w:r>
          </w:p>
        </w:tc>
      </w:tr>
      <w:tr w14:paraId="488B179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885" w:type="dxa"/>
          </w:tcPr>
          <w:p w14:paraId="4C6D8D67">
            <w:pPr>
              <w:spacing w:before="0" w:after="0" w:line="240" w:lineRule="auto"/>
              <w:jc w:val="center"/>
            </w:pPr>
            <w:r>
              <w:rPr>
                <w:rFonts w:ascii="Times New Roman" w:hAnsi="Times New Roman" w:eastAsia="宋体"/>
                <w:b w:val="0"/>
                <w:sz w:val="15"/>
              </w:rPr>
              <w:t>Size</w:t>
            </w:r>
          </w:p>
        </w:tc>
        <w:tc>
          <w:tcPr>
            <w:tcW w:w="2080" w:type="dxa"/>
          </w:tcPr>
          <w:p w14:paraId="7906076F">
            <w:pPr>
              <w:spacing w:before="0" w:after="0" w:line="240" w:lineRule="auto"/>
              <w:jc w:val="center"/>
            </w:pPr>
            <w:r>
              <w:rPr>
                <w:rFonts w:ascii="Times New Roman" w:hAnsi="Times New Roman" w:eastAsia="宋体"/>
                <w:b w:val="0"/>
                <w:sz w:val="15"/>
              </w:rPr>
              <w:t>—</w:t>
            </w:r>
          </w:p>
        </w:tc>
        <w:tc>
          <w:tcPr>
            <w:tcW w:w="2224" w:type="dxa"/>
          </w:tcPr>
          <w:p w14:paraId="262BAC86">
            <w:pPr>
              <w:spacing w:before="0" w:after="0" w:line="240" w:lineRule="auto"/>
              <w:jc w:val="center"/>
            </w:pPr>
            <w:r>
              <w:rPr>
                <w:rFonts w:ascii="Times New Roman" w:hAnsi="Times New Roman" w:eastAsia="宋体"/>
                <w:b w:val="0"/>
                <w:sz w:val="15"/>
              </w:rPr>
              <w:t>0.162***</w:t>
            </w:r>
          </w:p>
        </w:tc>
        <w:tc>
          <w:tcPr>
            <w:tcW w:w="2224" w:type="dxa"/>
          </w:tcPr>
          <w:p w14:paraId="5C43CFE1">
            <w:pPr>
              <w:spacing w:before="0" w:after="0" w:line="240" w:lineRule="auto"/>
              <w:jc w:val="center"/>
            </w:pPr>
            <w:r>
              <w:rPr>
                <w:rFonts w:ascii="Times New Roman" w:hAnsi="Times New Roman" w:eastAsia="宋体"/>
                <w:b w:val="0"/>
                <w:sz w:val="15"/>
              </w:rPr>
              <w:t>0.162***</w:t>
            </w:r>
          </w:p>
        </w:tc>
        <w:tc>
          <w:tcPr>
            <w:tcW w:w="2225" w:type="dxa"/>
          </w:tcPr>
          <w:p w14:paraId="081BEA74">
            <w:pPr>
              <w:spacing w:before="0" w:after="0" w:line="240" w:lineRule="auto"/>
              <w:jc w:val="center"/>
            </w:pPr>
            <w:r>
              <w:rPr>
                <w:rFonts w:ascii="Times New Roman" w:hAnsi="Times New Roman" w:eastAsia="宋体"/>
                <w:b w:val="0"/>
                <w:sz w:val="15"/>
              </w:rPr>
              <w:t>0.137***</w:t>
            </w:r>
          </w:p>
        </w:tc>
      </w:tr>
      <w:tr w14:paraId="74552E6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5FEF7DB2">
            <w:pPr>
              <w:spacing w:before="0" w:after="0" w:line="240" w:lineRule="auto"/>
              <w:jc w:val="center"/>
            </w:pPr>
            <w:r>
              <w:rPr>
                <w:rFonts w:ascii="Times New Roman" w:hAnsi="Times New Roman" w:eastAsia="宋体"/>
                <w:b w:val="0"/>
                <w:sz w:val="15"/>
              </w:rPr>
              <w:t>Lev</w:t>
            </w:r>
          </w:p>
        </w:tc>
        <w:tc>
          <w:tcPr>
            <w:tcW w:w="2080" w:type="dxa"/>
          </w:tcPr>
          <w:p w14:paraId="4A121080">
            <w:pPr>
              <w:spacing w:before="0" w:after="0" w:line="240" w:lineRule="auto"/>
              <w:jc w:val="center"/>
            </w:pPr>
            <w:r>
              <w:rPr>
                <w:rFonts w:ascii="Times New Roman" w:hAnsi="Times New Roman" w:eastAsia="宋体"/>
                <w:b w:val="0"/>
                <w:sz w:val="15"/>
              </w:rPr>
              <w:t>—</w:t>
            </w:r>
          </w:p>
        </w:tc>
        <w:tc>
          <w:tcPr>
            <w:tcW w:w="2224" w:type="dxa"/>
          </w:tcPr>
          <w:p w14:paraId="341558DE">
            <w:pPr>
              <w:spacing w:before="0" w:after="0" w:line="240" w:lineRule="auto"/>
              <w:jc w:val="center"/>
            </w:pPr>
            <w:r>
              <w:rPr>
                <w:rFonts w:ascii="Times New Roman" w:hAnsi="Times New Roman" w:eastAsia="宋体"/>
                <w:b w:val="0"/>
                <w:sz w:val="15"/>
              </w:rPr>
              <w:t>-0.040</w:t>
            </w:r>
          </w:p>
        </w:tc>
        <w:tc>
          <w:tcPr>
            <w:tcW w:w="2224" w:type="dxa"/>
          </w:tcPr>
          <w:p w14:paraId="3874CDE2">
            <w:pPr>
              <w:spacing w:before="0" w:after="0" w:line="240" w:lineRule="auto"/>
              <w:jc w:val="center"/>
            </w:pPr>
            <w:r>
              <w:rPr>
                <w:rFonts w:ascii="Times New Roman" w:hAnsi="Times New Roman" w:eastAsia="宋体"/>
                <w:b w:val="0"/>
                <w:sz w:val="15"/>
              </w:rPr>
              <w:t>-0.009</w:t>
            </w:r>
          </w:p>
        </w:tc>
        <w:tc>
          <w:tcPr>
            <w:tcW w:w="2225" w:type="dxa"/>
          </w:tcPr>
          <w:p w14:paraId="7C218E21">
            <w:pPr>
              <w:spacing w:before="0" w:after="0" w:line="240" w:lineRule="auto"/>
              <w:jc w:val="center"/>
            </w:pPr>
            <w:r>
              <w:rPr>
                <w:rFonts w:ascii="Times New Roman" w:hAnsi="Times New Roman" w:eastAsia="宋体"/>
                <w:b w:val="0"/>
                <w:sz w:val="15"/>
              </w:rPr>
              <w:t>0.003</w:t>
            </w:r>
          </w:p>
        </w:tc>
      </w:tr>
      <w:tr w14:paraId="476EF07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7FBA8B65">
            <w:pPr>
              <w:spacing w:before="0" w:after="0" w:line="240" w:lineRule="auto"/>
              <w:jc w:val="center"/>
            </w:pPr>
            <w:r>
              <w:rPr>
                <w:rFonts w:ascii="Times New Roman" w:hAnsi="Times New Roman" w:eastAsia="宋体"/>
                <w:b w:val="0"/>
                <w:sz w:val="15"/>
              </w:rPr>
              <w:t>ROA</w:t>
            </w:r>
          </w:p>
        </w:tc>
        <w:tc>
          <w:tcPr>
            <w:tcW w:w="2080" w:type="dxa"/>
          </w:tcPr>
          <w:p w14:paraId="0917C728">
            <w:pPr>
              <w:spacing w:before="0" w:after="0" w:line="240" w:lineRule="auto"/>
              <w:jc w:val="center"/>
            </w:pPr>
            <w:r>
              <w:rPr>
                <w:rFonts w:ascii="Times New Roman" w:hAnsi="Times New Roman" w:eastAsia="宋体"/>
                <w:b w:val="0"/>
                <w:sz w:val="15"/>
              </w:rPr>
              <w:t>—</w:t>
            </w:r>
          </w:p>
        </w:tc>
        <w:tc>
          <w:tcPr>
            <w:tcW w:w="2224" w:type="dxa"/>
          </w:tcPr>
          <w:p w14:paraId="077A5CB0">
            <w:pPr>
              <w:spacing w:before="0" w:after="0" w:line="240" w:lineRule="auto"/>
              <w:jc w:val="center"/>
            </w:pPr>
            <w:r>
              <w:rPr>
                <w:rFonts w:ascii="Times New Roman" w:hAnsi="Times New Roman" w:eastAsia="宋体"/>
                <w:b w:val="0"/>
                <w:sz w:val="15"/>
              </w:rPr>
              <w:t>-0.285*</w:t>
            </w:r>
          </w:p>
        </w:tc>
        <w:tc>
          <w:tcPr>
            <w:tcW w:w="2224" w:type="dxa"/>
          </w:tcPr>
          <w:p w14:paraId="7BD67E98">
            <w:pPr>
              <w:spacing w:before="0" w:after="0" w:line="240" w:lineRule="auto"/>
              <w:jc w:val="center"/>
            </w:pPr>
            <w:r>
              <w:rPr>
                <w:rFonts w:ascii="Times New Roman" w:hAnsi="Times New Roman" w:eastAsia="宋体"/>
                <w:b w:val="0"/>
                <w:sz w:val="15"/>
              </w:rPr>
              <w:t>-0.224</w:t>
            </w:r>
          </w:p>
        </w:tc>
        <w:tc>
          <w:tcPr>
            <w:tcW w:w="2225" w:type="dxa"/>
          </w:tcPr>
          <w:p w14:paraId="17698A5A">
            <w:pPr>
              <w:spacing w:before="0" w:after="0" w:line="240" w:lineRule="auto"/>
              <w:jc w:val="center"/>
            </w:pPr>
            <w:r>
              <w:rPr>
                <w:rFonts w:ascii="Times New Roman" w:hAnsi="Times New Roman" w:eastAsia="宋体"/>
                <w:b w:val="0"/>
                <w:sz w:val="15"/>
              </w:rPr>
              <w:t>-0.049</w:t>
            </w:r>
          </w:p>
        </w:tc>
      </w:tr>
      <w:tr w14:paraId="7256FA3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3B94C5EC">
            <w:pPr>
              <w:spacing w:before="0" w:after="0" w:line="240" w:lineRule="auto"/>
              <w:jc w:val="center"/>
            </w:pPr>
            <w:r>
              <w:rPr>
                <w:rFonts w:ascii="Times New Roman" w:hAnsi="Times New Roman" w:eastAsia="宋体"/>
                <w:b w:val="0"/>
                <w:sz w:val="15"/>
              </w:rPr>
              <w:t>FAsset</w:t>
            </w:r>
          </w:p>
        </w:tc>
        <w:tc>
          <w:tcPr>
            <w:tcW w:w="2080" w:type="dxa"/>
          </w:tcPr>
          <w:p w14:paraId="34E3DBA2">
            <w:pPr>
              <w:spacing w:before="0" w:after="0" w:line="240" w:lineRule="auto"/>
              <w:jc w:val="center"/>
            </w:pPr>
            <w:r>
              <w:rPr>
                <w:rFonts w:ascii="Times New Roman" w:hAnsi="Times New Roman" w:eastAsia="宋体"/>
                <w:b w:val="0"/>
                <w:sz w:val="15"/>
              </w:rPr>
              <w:t>—</w:t>
            </w:r>
          </w:p>
        </w:tc>
        <w:tc>
          <w:tcPr>
            <w:tcW w:w="2224" w:type="dxa"/>
          </w:tcPr>
          <w:p w14:paraId="3F8416ED">
            <w:pPr>
              <w:spacing w:before="0" w:after="0" w:line="240" w:lineRule="auto"/>
              <w:jc w:val="center"/>
            </w:pPr>
            <w:r>
              <w:rPr>
                <w:rFonts w:ascii="Times New Roman" w:hAnsi="Times New Roman" w:eastAsia="宋体"/>
                <w:b w:val="0"/>
                <w:sz w:val="15"/>
              </w:rPr>
              <w:t>0.307***</w:t>
            </w:r>
          </w:p>
        </w:tc>
        <w:tc>
          <w:tcPr>
            <w:tcW w:w="2224" w:type="dxa"/>
          </w:tcPr>
          <w:p w14:paraId="300E15CF">
            <w:pPr>
              <w:spacing w:before="0" w:after="0" w:line="240" w:lineRule="auto"/>
              <w:jc w:val="center"/>
            </w:pPr>
            <w:r>
              <w:rPr>
                <w:rFonts w:ascii="Times New Roman" w:hAnsi="Times New Roman" w:eastAsia="宋体"/>
                <w:b w:val="0"/>
                <w:sz w:val="15"/>
              </w:rPr>
              <w:t>0.341***</w:t>
            </w:r>
          </w:p>
        </w:tc>
        <w:tc>
          <w:tcPr>
            <w:tcW w:w="2225" w:type="dxa"/>
          </w:tcPr>
          <w:p w14:paraId="7E7FD29C">
            <w:pPr>
              <w:spacing w:before="0" w:after="0" w:line="240" w:lineRule="auto"/>
              <w:jc w:val="center"/>
            </w:pPr>
            <w:r>
              <w:rPr>
                <w:rFonts w:ascii="Times New Roman" w:hAnsi="Times New Roman" w:eastAsia="宋体"/>
                <w:b w:val="0"/>
                <w:sz w:val="15"/>
              </w:rPr>
              <w:t>0.099</w:t>
            </w:r>
          </w:p>
        </w:tc>
      </w:tr>
      <w:tr w14:paraId="2A68C85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885" w:type="dxa"/>
          </w:tcPr>
          <w:p w14:paraId="50DFD9E4">
            <w:pPr>
              <w:spacing w:before="0" w:after="0" w:line="240" w:lineRule="auto"/>
              <w:jc w:val="center"/>
            </w:pPr>
            <w:r>
              <w:rPr>
                <w:rFonts w:ascii="Times New Roman" w:hAnsi="Times New Roman" w:eastAsia="宋体"/>
                <w:b w:val="0"/>
                <w:sz w:val="15"/>
              </w:rPr>
              <w:t>Growth</w:t>
            </w:r>
          </w:p>
        </w:tc>
        <w:tc>
          <w:tcPr>
            <w:tcW w:w="2080" w:type="dxa"/>
          </w:tcPr>
          <w:p w14:paraId="5DDA51D6">
            <w:pPr>
              <w:spacing w:before="0" w:after="0" w:line="240" w:lineRule="auto"/>
              <w:jc w:val="center"/>
            </w:pPr>
            <w:r>
              <w:rPr>
                <w:rFonts w:ascii="Times New Roman" w:hAnsi="Times New Roman" w:eastAsia="宋体"/>
                <w:b w:val="0"/>
                <w:sz w:val="15"/>
              </w:rPr>
              <w:t>—</w:t>
            </w:r>
          </w:p>
        </w:tc>
        <w:tc>
          <w:tcPr>
            <w:tcW w:w="2224" w:type="dxa"/>
          </w:tcPr>
          <w:p w14:paraId="496FC0A6">
            <w:pPr>
              <w:spacing w:before="0" w:after="0" w:line="240" w:lineRule="auto"/>
              <w:jc w:val="center"/>
            </w:pPr>
            <w:r>
              <w:rPr>
                <w:rFonts w:ascii="Times New Roman" w:hAnsi="Times New Roman" w:eastAsia="宋体"/>
                <w:b w:val="0"/>
                <w:sz w:val="15"/>
              </w:rPr>
              <w:t>-0.048**</w:t>
            </w:r>
          </w:p>
        </w:tc>
        <w:tc>
          <w:tcPr>
            <w:tcW w:w="2224" w:type="dxa"/>
          </w:tcPr>
          <w:p w14:paraId="60B127F9">
            <w:pPr>
              <w:spacing w:before="0" w:after="0" w:line="240" w:lineRule="auto"/>
              <w:jc w:val="center"/>
            </w:pPr>
            <w:r>
              <w:rPr>
                <w:rFonts w:ascii="Times New Roman" w:hAnsi="Times New Roman" w:eastAsia="宋体"/>
                <w:b w:val="0"/>
                <w:sz w:val="15"/>
              </w:rPr>
              <w:t>-0.046**</w:t>
            </w:r>
          </w:p>
        </w:tc>
        <w:tc>
          <w:tcPr>
            <w:tcW w:w="2225" w:type="dxa"/>
          </w:tcPr>
          <w:p w14:paraId="4A1BC354">
            <w:pPr>
              <w:spacing w:before="0" w:after="0" w:line="240" w:lineRule="auto"/>
              <w:jc w:val="center"/>
            </w:pPr>
            <w:r>
              <w:rPr>
                <w:rFonts w:ascii="Times New Roman" w:hAnsi="Times New Roman" w:eastAsia="宋体"/>
                <w:b w:val="0"/>
                <w:sz w:val="15"/>
              </w:rPr>
              <w:t>-0.016</w:t>
            </w:r>
          </w:p>
        </w:tc>
      </w:tr>
      <w:tr w14:paraId="1DDB631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74DC6CA0">
            <w:pPr>
              <w:spacing w:before="0" w:after="0" w:line="240" w:lineRule="auto"/>
              <w:jc w:val="center"/>
            </w:pPr>
            <w:r>
              <w:rPr>
                <w:rFonts w:ascii="Times New Roman" w:hAnsi="Times New Roman" w:eastAsia="宋体"/>
                <w:b w:val="0"/>
                <w:sz w:val="15"/>
              </w:rPr>
              <w:t>IntAsset</w:t>
            </w:r>
          </w:p>
        </w:tc>
        <w:tc>
          <w:tcPr>
            <w:tcW w:w="2080" w:type="dxa"/>
          </w:tcPr>
          <w:p w14:paraId="0A317C60">
            <w:pPr>
              <w:spacing w:before="0" w:after="0" w:line="240" w:lineRule="auto"/>
              <w:jc w:val="center"/>
            </w:pPr>
            <w:r>
              <w:rPr>
                <w:rFonts w:ascii="Times New Roman" w:hAnsi="Times New Roman" w:eastAsia="宋体"/>
                <w:b w:val="0"/>
                <w:sz w:val="15"/>
              </w:rPr>
              <w:t>—</w:t>
            </w:r>
          </w:p>
        </w:tc>
        <w:tc>
          <w:tcPr>
            <w:tcW w:w="2224" w:type="dxa"/>
          </w:tcPr>
          <w:p w14:paraId="17C0A30A">
            <w:pPr>
              <w:spacing w:before="0" w:after="0" w:line="240" w:lineRule="auto"/>
              <w:jc w:val="center"/>
            </w:pPr>
            <w:r>
              <w:rPr>
                <w:rFonts w:ascii="Times New Roman" w:hAnsi="Times New Roman" w:eastAsia="宋体"/>
                <w:b w:val="0"/>
                <w:sz w:val="15"/>
              </w:rPr>
              <w:t>0.678**</w:t>
            </w:r>
          </w:p>
        </w:tc>
        <w:tc>
          <w:tcPr>
            <w:tcW w:w="2224" w:type="dxa"/>
          </w:tcPr>
          <w:p w14:paraId="268843A1">
            <w:pPr>
              <w:spacing w:before="0" w:after="0" w:line="240" w:lineRule="auto"/>
              <w:jc w:val="center"/>
            </w:pPr>
            <w:r>
              <w:rPr>
                <w:rFonts w:ascii="Times New Roman" w:hAnsi="Times New Roman" w:eastAsia="宋体"/>
                <w:b w:val="0"/>
                <w:sz w:val="15"/>
              </w:rPr>
              <w:t>0.703**</w:t>
            </w:r>
          </w:p>
        </w:tc>
        <w:tc>
          <w:tcPr>
            <w:tcW w:w="2225" w:type="dxa"/>
          </w:tcPr>
          <w:p w14:paraId="366A0D71">
            <w:pPr>
              <w:spacing w:before="0" w:after="0" w:line="240" w:lineRule="auto"/>
              <w:jc w:val="center"/>
            </w:pPr>
            <w:r>
              <w:rPr>
                <w:rFonts w:ascii="Times New Roman" w:hAnsi="Times New Roman" w:eastAsia="宋体"/>
                <w:b w:val="0"/>
                <w:sz w:val="15"/>
              </w:rPr>
              <w:t>0.513</w:t>
            </w:r>
          </w:p>
        </w:tc>
      </w:tr>
      <w:tr w14:paraId="7355D23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086FE1FE">
            <w:pPr>
              <w:spacing w:before="0" w:after="0" w:line="240" w:lineRule="auto"/>
              <w:jc w:val="center"/>
            </w:pPr>
            <w:r>
              <w:rPr>
                <w:rFonts w:ascii="Times New Roman" w:hAnsi="Times New Roman" w:eastAsia="宋体"/>
                <w:b w:val="0"/>
                <w:sz w:val="15"/>
              </w:rPr>
              <w:t>Cash</w:t>
            </w:r>
          </w:p>
        </w:tc>
        <w:tc>
          <w:tcPr>
            <w:tcW w:w="2080" w:type="dxa"/>
          </w:tcPr>
          <w:p w14:paraId="7FB818E3">
            <w:pPr>
              <w:spacing w:before="0" w:after="0" w:line="240" w:lineRule="auto"/>
              <w:jc w:val="center"/>
            </w:pPr>
            <w:r>
              <w:rPr>
                <w:rFonts w:ascii="Times New Roman" w:hAnsi="Times New Roman" w:eastAsia="宋体"/>
                <w:b w:val="0"/>
                <w:sz w:val="15"/>
              </w:rPr>
              <w:t>—</w:t>
            </w:r>
          </w:p>
        </w:tc>
        <w:tc>
          <w:tcPr>
            <w:tcW w:w="2224" w:type="dxa"/>
          </w:tcPr>
          <w:p w14:paraId="41042F57">
            <w:pPr>
              <w:spacing w:before="0" w:after="0" w:line="240" w:lineRule="auto"/>
              <w:jc w:val="center"/>
            </w:pPr>
            <w:r>
              <w:rPr>
                <w:rFonts w:ascii="Times New Roman" w:hAnsi="Times New Roman" w:eastAsia="宋体"/>
                <w:b w:val="0"/>
                <w:sz w:val="15"/>
              </w:rPr>
              <w:t>-0.030</w:t>
            </w:r>
          </w:p>
        </w:tc>
        <w:tc>
          <w:tcPr>
            <w:tcW w:w="2224" w:type="dxa"/>
          </w:tcPr>
          <w:p w14:paraId="2F9D8BB3">
            <w:pPr>
              <w:spacing w:before="0" w:after="0" w:line="240" w:lineRule="auto"/>
              <w:jc w:val="center"/>
            </w:pPr>
            <w:r>
              <w:rPr>
                <w:rFonts w:ascii="Times New Roman" w:hAnsi="Times New Roman" w:eastAsia="宋体"/>
                <w:b w:val="0"/>
                <w:sz w:val="15"/>
              </w:rPr>
              <w:t>0.003</w:t>
            </w:r>
          </w:p>
        </w:tc>
        <w:tc>
          <w:tcPr>
            <w:tcW w:w="2225" w:type="dxa"/>
          </w:tcPr>
          <w:p w14:paraId="588947E6">
            <w:pPr>
              <w:spacing w:before="0" w:after="0" w:line="240" w:lineRule="auto"/>
              <w:jc w:val="center"/>
            </w:pPr>
            <w:r>
              <w:rPr>
                <w:rFonts w:ascii="Times New Roman" w:hAnsi="Times New Roman" w:eastAsia="宋体"/>
                <w:b w:val="0"/>
                <w:sz w:val="15"/>
              </w:rPr>
              <w:t>-0.298***</w:t>
            </w:r>
          </w:p>
        </w:tc>
      </w:tr>
      <w:tr w14:paraId="4CB8A3E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2D4F3B87">
            <w:pPr>
              <w:spacing w:before="0" w:after="0" w:line="240" w:lineRule="auto"/>
              <w:jc w:val="center"/>
            </w:pPr>
            <w:r>
              <w:rPr>
                <w:rFonts w:ascii="Times New Roman" w:hAnsi="Times New Roman" w:eastAsia="宋体"/>
                <w:b w:val="0"/>
                <w:sz w:val="15"/>
              </w:rPr>
              <w:t>OCF</w:t>
            </w:r>
          </w:p>
        </w:tc>
        <w:tc>
          <w:tcPr>
            <w:tcW w:w="2080" w:type="dxa"/>
          </w:tcPr>
          <w:p w14:paraId="20BF2BEF">
            <w:pPr>
              <w:spacing w:before="0" w:after="0" w:line="240" w:lineRule="auto"/>
              <w:jc w:val="center"/>
            </w:pPr>
            <w:r>
              <w:rPr>
                <w:rFonts w:ascii="Times New Roman" w:hAnsi="Times New Roman" w:eastAsia="宋体"/>
                <w:b w:val="0"/>
                <w:sz w:val="15"/>
              </w:rPr>
              <w:t>—</w:t>
            </w:r>
          </w:p>
        </w:tc>
        <w:tc>
          <w:tcPr>
            <w:tcW w:w="2224" w:type="dxa"/>
          </w:tcPr>
          <w:p w14:paraId="32ADE8AE">
            <w:pPr>
              <w:spacing w:before="0" w:after="0" w:line="240" w:lineRule="auto"/>
              <w:jc w:val="center"/>
            </w:pPr>
            <w:r>
              <w:rPr>
                <w:rFonts w:ascii="Times New Roman" w:hAnsi="Times New Roman" w:eastAsia="宋体"/>
                <w:b w:val="0"/>
                <w:sz w:val="15"/>
              </w:rPr>
              <w:t>0.062</w:t>
            </w:r>
          </w:p>
        </w:tc>
        <w:tc>
          <w:tcPr>
            <w:tcW w:w="2224" w:type="dxa"/>
          </w:tcPr>
          <w:p w14:paraId="047959EF">
            <w:pPr>
              <w:spacing w:before="0" w:after="0" w:line="240" w:lineRule="auto"/>
              <w:jc w:val="center"/>
            </w:pPr>
            <w:r>
              <w:rPr>
                <w:rFonts w:ascii="Times New Roman" w:hAnsi="Times New Roman" w:eastAsia="宋体"/>
                <w:b w:val="0"/>
                <w:sz w:val="15"/>
              </w:rPr>
              <w:t>0.030</w:t>
            </w:r>
          </w:p>
        </w:tc>
        <w:tc>
          <w:tcPr>
            <w:tcW w:w="2225" w:type="dxa"/>
          </w:tcPr>
          <w:p w14:paraId="7386BD99">
            <w:pPr>
              <w:spacing w:before="0" w:after="0" w:line="240" w:lineRule="auto"/>
              <w:jc w:val="center"/>
            </w:pPr>
            <w:r>
              <w:rPr>
                <w:rFonts w:ascii="Times New Roman" w:hAnsi="Times New Roman" w:eastAsia="宋体"/>
                <w:b w:val="0"/>
                <w:sz w:val="15"/>
              </w:rPr>
              <w:t>0.061</w:t>
            </w:r>
          </w:p>
        </w:tc>
      </w:tr>
      <w:tr w14:paraId="32FC539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885" w:type="dxa"/>
          </w:tcPr>
          <w:p w14:paraId="142BC634">
            <w:pPr>
              <w:spacing w:before="0" w:after="0" w:line="240" w:lineRule="auto"/>
              <w:jc w:val="center"/>
            </w:pPr>
            <w:r>
              <w:rPr>
                <w:rFonts w:ascii="Times New Roman" w:hAnsi="Times New Roman" w:eastAsia="宋体"/>
                <w:b w:val="0"/>
                <w:sz w:val="15"/>
              </w:rPr>
              <w:t>AuditFee</w:t>
            </w:r>
          </w:p>
        </w:tc>
        <w:tc>
          <w:tcPr>
            <w:tcW w:w="2080" w:type="dxa"/>
          </w:tcPr>
          <w:p w14:paraId="5403E1CB">
            <w:pPr>
              <w:spacing w:before="0" w:after="0" w:line="240" w:lineRule="auto"/>
              <w:jc w:val="center"/>
            </w:pPr>
            <w:r>
              <w:rPr>
                <w:rFonts w:ascii="Times New Roman" w:hAnsi="Times New Roman" w:eastAsia="宋体"/>
                <w:b w:val="0"/>
                <w:sz w:val="15"/>
              </w:rPr>
              <w:t>—</w:t>
            </w:r>
          </w:p>
        </w:tc>
        <w:tc>
          <w:tcPr>
            <w:tcW w:w="2224" w:type="dxa"/>
          </w:tcPr>
          <w:p w14:paraId="20FEBD03">
            <w:pPr>
              <w:spacing w:before="0" w:after="0" w:line="240" w:lineRule="auto"/>
              <w:jc w:val="center"/>
            </w:pPr>
            <w:r>
              <w:rPr>
                <w:rFonts w:ascii="Times New Roman" w:hAnsi="Times New Roman" w:eastAsia="宋体"/>
                <w:b w:val="0"/>
                <w:sz w:val="15"/>
              </w:rPr>
              <w:t>-0.081***</w:t>
            </w:r>
          </w:p>
        </w:tc>
        <w:tc>
          <w:tcPr>
            <w:tcW w:w="2224" w:type="dxa"/>
          </w:tcPr>
          <w:p w14:paraId="49FB727E">
            <w:pPr>
              <w:spacing w:before="0" w:after="0" w:line="240" w:lineRule="auto"/>
              <w:jc w:val="center"/>
            </w:pPr>
            <w:r>
              <w:rPr>
                <w:rFonts w:ascii="Times New Roman" w:hAnsi="Times New Roman" w:eastAsia="宋体"/>
                <w:b w:val="0"/>
                <w:sz w:val="15"/>
              </w:rPr>
              <w:t>-0.091***</w:t>
            </w:r>
          </w:p>
        </w:tc>
        <w:tc>
          <w:tcPr>
            <w:tcW w:w="2225" w:type="dxa"/>
          </w:tcPr>
          <w:p w14:paraId="4A68EC98">
            <w:pPr>
              <w:spacing w:before="0" w:after="0" w:line="240" w:lineRule="auto"/>
              <w:jc w:val="center"/>
            </w:pPr>
            <w:r>
              <w:rPr>
                <w:rFonts w:ascii="Times New Roman" w:hAnsi="Times New Roman" w:eastAsia="宋体"/>
                <w:b w:val="0"/>
                <w:sz w:val="15"/>
              </w:rPr>
              <w:t>-0.104***</w:t>
            </w:r>
          </w:p>
        </w:tc>
      </w:tr>
      <w:tr w14:paraId="0937E2B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193F78A1">
            <w:pPr>
              <w:spacing w:before="0" w:after="0" w:line="240" w:lineRule="auto"/>
              <w:jc w:val="center"/>
            </w:pPr>
            <w:r>
              <w:rPr>
                <w:rFonts w:ascii="Times New Roman" w:hAnsi="Times New Roman" w:eastAsia="宋体"/>
                <w:b w:val="0"/>
                <w:sz w:val="15"/>
              </w:rPr>
              <w:t>Audit</w:t>
            </w:r>
          </w:p>
        </w:tc>
        <w:tc>
          <w:tcPr>
            <w:tcW w:w="2080" w:type="dxa"/>
          </w:tcPr>
          <w:p w14:paraId="5F0FECEE">
            <w:pPr>
              <w:spacing w:before="0" w:after="0" w:line="240" w:lineRule="auto"/>
              <w:jc w:val="center"/>
            </w:pPr>
            <w:r>
              <w:rPr>
                <w:rFonts w:ascii="Times New Roman" w:hAnsi="Times New Roman" w:eastAsia="宋体"/>
                <w:b w:val="0"/>
                <w:sz w:val="15"/>
              </w:rPr>
              <w:t>—</w:t>
            </w:r>
          </w:p>
        </w:tc>
        <w:tc>
          <w:tcPr>
            <w:tcW w:w="2224" w:type="dxa"/>
          </w:tcPr>
          <w:p w14:paraId="001B2387">
            <w:pPr>
              <w:spacing w:before="0" w:after="0" w:line="240" w:lineRule="auto"/>
              <w:jc w:val="center"/>
            </w:pPr>
            <w:r>
              <w:rPr>
                <w:rFonts w:ascii="Times New Roman" w:hAnsi="Times New Roman" w:eastAsia="宋体"/>
                <w:b w:val="0"/>
                <w:sz w:val="15"/>
              </w:rPr>
              <w:t>0.140***</w:t>
            </w:r>
          </w:p>
        </w:tc>
        <w:tc>
          <w:tcPr>
            <w:tcW w:w="2224" w:type="dxa"/>
          </w:tcPr>
          <w:p w14:paraId="4ADFB71B">
            <w:pPr>
              <w:spacing w:before="0" w:after="0" w:line="240" w:lineRule="auto"/>
              <w:jc w:val="center"/>
            </w:pPr>
            <w:r>
              <w:rPr>
                <w:rFonts w:ascii="Times New Roman" w:hAnsi="Times New Roman" w:eastAsia="宋体"/>
                <w:b w:val="0"/>
                <w:sz w:val="15"/>
              </w:rPr>
              <w:t>0.142***</w:t>
            </w:r>
          </w:p>
        </w:tc>
        <w:tc>
          <w:tcPr>
            <w:tcW w:w="2225" w:type="dxa"/>
          </w:tcPr>
          <w:p w14:paraId="07A7E1B8">
            <w:pPr>
              <w:spacing w:before="0" w:after="0" w:line="240" w:lineRule="auto"/>
              <w:jc w:val="center"/>
            </w:pPr>
            <w:r>
              <w:rPr>
                <w:rFonts w:ascii="Times New Roman" w:hAnsi="Times New Roman" w:eastAsia="宋体"/>
                <w:b w:val="0"/>
                <w:sz w:val="15"/>
              </w:rPr>
              <w:t>0.042</w:t>
            </w:r>
          </w:p>
        </w:tc>
      </w:tr>
      <w:tr w14:paraId="7DF84C1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07585C93">
            <w:pPr>
              <w:spacing w:before="0" w:after="0" w:line="240" w:lineRule="auto"/>
              <w:jc w:val="center"/>
            </w:pPr>
            <w:r>
              <w:rPr>
                <w:rFonts w:ascii="Times New Roman" w:hAnsi="Times New Roman" w:eastAsia="宋体"/>
                <w:b w:val="0"/>
                <w:sz w:val="15"/>
              </w:rPr>
              <w:t>Policy</w:t>
            </w:r>
          </w:p>
        </w:tc>
        <w:tc>
          <w:tcPr>
            <w:tcW w:w="2080" w:type="dxa"/>
          </w:tcPr>
          <w:p w14:paraId="526DA114">
            <w:pPr>
              <w:spacing w:before="0" w:after="0" w:line="240" w:lineRule="auto"/>
              <w:jc w:val="center"/>
            </w:pPr>
            <w:r>
              <w:rPr>
                <w:rFonts w:ascii="Times New Roman" w:hAnsi="Times New Roman" w:eastAsia="宋体"/>
                <w:b w:val="0"/>
                <w:sz w:val="15"/>
              </w:rPr>
              <w:t>—</w:t>
            </w:r>
          </w:p>
        </w:tc>
        <w:tc>
          <w:tcPr>
            <w:tcW w:w="2224" w:type="dxa"/>
          </w:tcPr>
          <w:p w14:paraId="437D6E1C">
            <w:pPr>
              <w:spacing w:before="0" w:after="0" w:line="240" w:lineRule="auto"/>
              <w:jc w:val="center"/>
            </w:pPr>
            <w:r>
              <w:rPr>
                <w:rFonts w:ascii="Times New Roman" w:hAnsi="Times New Roman" w:eastAsia="宋体"/>
                <w:b w:val="0"/>
                <w:sz w:val="15"/>
              </w:rPr>
              <w:t>—</w:t>
            </w:r>
          </w:p>
        </w:tc>
        <w:tc>
          <w:tcPr>
            <w:tcW w:w="2224" w:type="dxa"/>
          </w:tcPr>
          <w:p w14:paraId="7FB333E6">
            <w:pPr>
              <w:spacing w:before="0" w:after="0" w:line="240" w:lineRule="auto"/>
              <w:jc w:val="center"/>
            </w:pPr>
            <w:r>
              <w:rPr>
                <w:rFonts w:ascii="Times New Roman" w:hAnsi="Times New Roman" w:eastAsia="宋体"/>
                <w:b w:val="0"/>
                <w:sz w:val="15"/>
              </w:rPr>
              <w:t>0.050***</w:t>
            </w:r>
          </w:p>
        </w:tc>
        <w:tc>
          <w:tcPr>
            <w:tcW w:w="2225" w:type="dxa"/>
          </w:tcPr>
          <w:p w14:paraId="1CA3AE43">
            <w:pPr>
              <w:spacing w:before="0" w:after="0" w:line="240" w:lineRule="auto"/>
              <w:jc w:val="center"/>
            </w:pPr>
            <w:r>
              <w:rPr>
                <w:rFonts w:ascii="Times New Roman" w:hAnsi="Times New Roman" w:eastAsia="宋体"/>
                <w:b w:val="0"/>
                <w:sz w:val="15"/>
              </w:rPr>
              <w:t>-0.019</w:t>
            </w:r>
          </w:p>
        </w:tc>
      </w:tr>
      <w:tr w14:paraId="14F3D1F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4130C91C">
            <w:pPr>
              <w:spacing w:before="0" w:after="0" w:line="240" w:lineRule="auto"/>
              <w:jc w:val="center"/>
            </w:pPr>
            <w:r>
              <w:rPr>
                <w:rFonts w:ascii="Times New Roman" w:hAnsi="Times New Roman" w:eastAsia="宋体"/>
                <w:b w:val="0"/>
                <w:sz w:val="15"/>
              </w:rPr>
              <w:t>EnvExp</w:t>
            </w:r>
          </w:p>
        </w:tc>
        <w:tc>
          <w:tcPr>
            <w:tcW w:w="2080" w:type="dxa"/>
          </w:tcPr>
          <w:p w14:paraId="246B4BF6">
            <w:pPr>
              <w:spacing w:before="0" w:after="0" w:line="240" w:lineRule="auto"/>
              <w:jc w:val="center"/>
            </w:pPr>
            <w:r>
              <w:rPr>
                <w:rFonts w:ascii="Times New Roman" w:hAnsi="Times New Roman" w:eastAsia="宋体"/>
                <w:b w:val="0"/>
                <w:sz w:val="15"/>
              </w:rPr>
              <w:t>—</w:t>
            </w:r>
          </w:p>
        </w:tc>
        <w:tc>
          <w:tcPr>
            <w:tcW w:w="2224" w:type="dxa"/>
          </w:tcPr>
          <w:p w14:paraId="07126158">
            <w:pPr>
              <w:spacing w:before="0" w:after="0" w:line="240" w:lineRule="auto"/>
              <w:jc w:val="center"/>
            </w:pPr>
            <w:r>
              <w:rPr>
                <w:rFonts w:ascii="Times New Roman" w:hAnsi="Times New Roman" w:eastAsia="宋体"/>
                <w:b w:val="0"/>
                <w:sz w:val="15"/>
              </w:rPr>
              <w:t>—</w:t>
            </w:r>
          </w:p>
        </w:tc>
        <w:tc>
          <w:tcPr>
            <w:tcW w:w="2224" w:type="dxa"/>
          </w:tcPr>
          <w:p w14:paraId="702501FB">
            <w:pPr>
              <w:spacing w:before="0" w:after="0" w:line="240" w:lineRule="auto"/>
              <w:jc w:val="center"/>
            </w:pPr>
            <w:r>
              <w:rPr>
                <w:rFonts w:ascii="Times New Roman" w:hAnsi="Times New Roman" w:eastAsia="宋体"/>
                <w:b w:val="0"/>
                <w:sz w:val="15"/>
              </w:rPr>
              <w:t>0.000</w:t>
            </w:r>
          </w:p>
        </w:tc>
        <w:tc>
          <w:tcPr>
            <w:tcW w:w="2225" w:type="dxa"/>
          </w:tcPr>
          <w:p w14:paraId="3EA66D4A">
            <w:pPr>
              <w:spacing w:before="0" w:after="0" w:line="240" w:lineRule="auto"/>
              <w:jc w:val="center"/>
            </w:pPr>
            <w:r>
              <w:rPr>
                <w:rFonts w:ascii="Times New Roman" w:hAnsi="Times New Roman" w:eastAsia="宋体"/>
                <w:b w:val="0"/>
                <w:sz w:val="15"/>
              </w:rPr>
              <w:t>0.000</w:t>
            </w:r>
          </w:p>
        </w:tc>
      </w:tr>
      <w:tr w14:paraId="5DB6A09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885" w:type="dxa"/>
          </w:tcPr>
          <w:p w14:paraId="7DD3A0DB">
            <w:pPr>
              <w:spacing w:before="0" w:after="0" w:line="240" w:lineRule="auto"/>
              <w:jc w:val="center"/>
            </w:pPr>
            <w:r>
              <w:rPr>
                <w:rFonts w:ascii="Times New Roman" w:hAnsi="Times New Roman" w:eastAsia="宋体"/>
                <w:b w:val="0"/>
                <w:sz w:val="15"/>
              </w:rPr>
              <w:t>企业个体固定效应</w:t>
            </w:r>
          </w:p>
        </w:tc>
        <w:tc>
          <w:tcPr>
            <w:tcW w:w="2080" w:type="dxa"/>
          </w:tcPr>
          <w:p w14:paraId="7CCF5058">
            <w:pPr>
              <w:spacing w:before="0" w:after="0" w:line="240" w:lineRule="auto"/>
              <w:jc w:val="center"/>
            </w:pPr>
            <w:r>
              <w:rPr>
                <w:rFonts w:ascii="Times New Roman" w:hAnsi="Times New Roman" w:eastAsia="宋体"/>
                <w:b w:val="0"/>
                <w:sz w:val="15"/>
              </w:rPr>
              <w:t>否</w:t>
            </w:r>
          </w:p>
        </w:tc>
        <w:tc>
          <w:tcPr>
            <w:tcW w:w="2224" w:type="dxa"/>
          </w:tcPr>
          <w:p w14:paraId="45B17EC6">
            <w:pPr>
              <w:spacing w:before="0" w:after="0" w:line="240" w:lineRule="auto"/>
              <w:jc w:val="center"/>
            </w:pPr>
            <w:r>
              <w:rPr>
                <w:rFonts w:ascii="Times New Roman" w:hAnsi="Times New Roman" w:eastAsia="宋体"/>
                <w:b w:val="0"/>
                <w:sz w:val="15"/>
              </w:rPr>
              <w:t>否</w:t>
            </w:r>
          </w:p>
        </w:tc>
        <w:tc>
          <w:tcPr>
            <w:tcW w:w="2224" w:type="dxa"/>
          </w:tcPr>
          <w:p w14:paraId="163508B9">
            <w:pPr>
              <w:spacing w:before="0" w:after="0" w:line="240" w:lineRule="auto"/>
              <w:jc w:val="center"/>
            </w:pPr>
            <w:r>
              <w:rPr>
                <w:rFonts w:ascii="Times New Roman" w:hAnsi="Times New Roman" w:eastAsia="宋体"/>
                <w:b w:val="0"/>
                <w:sz w:val="15"/>
              </w:rPr>
              <w:t>否</w:t>
            </w:r>
          </w:p>
        </w:tc>
        <w:tc>
          <w:tcPr>
            <w:tcW w:w="2225" w:type="dxa"/>
          </w:tcPr>
          <w:p w14:paraId="519D2946">
            <w:pPr>
              <w:spacing w:before="0" w:after="0" w:line="240" w:lineRule="auto"/>
              <w:jc w:val="center"/>
            </w:pPr>
            <w:r>
              <w:rPr>
                <w:rFonts w:ascii="Times New Roman" w:hAnsi="Times New Roman" w:eastAsia="宋体"/>
                <w:b w:val="0"/>
                <w:sz w:val="15"/>
              </w:rPr>
              <w:t>是</w:t>
            </w:r>
          </w:p>
        </w:tc>
      </w:tr>
      <w:tr w14:paraId="690F29C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3FFB99EA">
            <w:pPr>
              <w:spacing w:before="0" w:after="0" w:line="240" w:lineRule="auto"/>
              <w:jc w:val="center"/>
            </w:pPr>
            <w:r>
              <w:rPr>
                <w:rFonts w:ascii="Times New Roman" w:hAnsi="Times New Roman" w:eastAsia="宋体"/>
                <w:b w:val="0"/>
                <w:sz w:val="15"/>
              </w:rPr>
              <w:t>时间固定效应</w:t>
            </w:r>
          </w:p>
        </w:tc>
        <w:tc>
          <w:tcPr>
            <w:tcW w:w="2080" w:type="dxa"/>
          </w:tcPr>
          <w:p w14:paraId="50F78E95">
            <w:pPr>
              <w:spacing w:before="0" w:after="0" w:line="240" w:lineRule="auto"/>
              <w:jc w:val="center"/>
            </w:pPr>
            <w:r>
              <w:rPr>
                <w:rFonts w:ascii="Times New Roman" w:hAnsi="Times New Roman" w:eastAsia="宋体"/>
                <w:b w:val="0"/>
                <w:sz w:val="15"/>
              </w:rPr>
              <w:t>否</w:t>
            </w:r>
          </w:p>
        </w:tc>
        <w:tc>
          <w:tcPr>
            <w:tcW w:w="2224" w:type="dxa"/>
          </w:tcPr>
          <w:p w14:paraId="51CEB02D">
            <w:pPr>
              <w:spacing w:before="0" w:after="0" w:line="240" w:lineRule="auto"/>
              <w:jc w:val="center"/>
            </w:pPr>
            <w:r>
              <w:rPr>
                <w:rFonts w:ascii="Times New Roman" w:hAnsi="Times New Roman" w:eastAsia="宋体"/>
                <w:b w:val="0"/>
                <w:sz w:val="15"/>
              </w:rPr>
              <w:t>否</w:t>
            </w:r>
          </w:p>
        </w:tc>
        <w:tc>
          <w:tcPr>
            <w:tcW w:w="2224" w:type="dxa"/>
          </w:tcPr>
          <w:p w14:paraId="31DE2E94">
            <w:pPr>
              <w:spacing w:before="0" w:after="0" w:line="240" w:lineRule="auto"/>
              <w:jc w:val="center"/>
            </w:pPr>
            <w:r>
              <w:rPr>
                <w:rFonts w:ascii="Times New Roman" w:hAnsi="Times New Roman" w:eastAsia="宋体"/>
                <w:b w:val="0"/>
                <w:sz w:val="15"/>
              </w:rPr>
              <w:t>否</w:t>
            </w:r>
          </w:p>
        </w:tc>
        <w:tc>
          <w:tcPr>
            <w:tcW w:w="2225" w:type="dxa"/>
          </w:tcPr>
          <w:p w14:paraId="26FF8F74">
            <w:pPr>
              <w:spacing w:before="0" w:after="0" w:line="240" w:lineRule="auto"/>
              <w:jc w:val="center"/>
            </w:pPr>
            <w:r>
              <w:rPr>
                <w:rFonts w:ascii="Times New Roman" w:hAnsi="Times New Roman" w:eastAsia="宋体"/>
                <w:b w:val="0"/>
                <w:sz w:val="15"/>
              </w:rPr>
              <w:t>是</w:t>
            </w:r>
          </w:p>
        </w:tc>
      </w:tr>
      <w:tr w14:paraId="2964A5A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4DCFD4ED">
            <w:pPr>
              <w:spacing w:before="0" w:after="0" w:line="240" w:lineRule="auto"/>
              <w:jc w:val="center"/>
            </w:pPr>
            <w:r>
              <w:rPr>
                <w:rFonts w:ascii="Times New Roman" w:hAnsi="Times New Roman" w:eastAsia="宋体"/>
                <w:b w:val="0"/>
                <w:sz w:val="15"/>
              </w:rPr>
              <w:t>N</w:t>
            </w:r>
          </w:p>
        </w:tc>
        <w:tc>
          <w:tcPr>
            <w:tcW w:w="2080" w:type="dxa"/>
          </w:tcPr>
          <w:p w14:paraId="2DDAB3DB">
            <w:pPr>
              <w:spacing w:before="0" w:after="0" w:line="240" w:lineRule="auto"/>
              <w:jc w:val="center"/>
            </w:pPr>
            <w:r>
              <w:rPr>
                <w:rFonts w:ascii="Times New Roman" w:hAnsi="Times New Roman" w:eastAsia="宋体"/>
                <w:b w:val="0"/>
                <w:sz w:val="15"/>
              </w:rPr>
              <w:t>11571</w:t>
            </w:r>
          </w:p>
        </w:tc>
        <w:tc>
          <w:tcPr>
            <w:tcW w:w="2224" w:type="dxa"/>
          </w:tcPr>
          <w:p w14:paraId="40F478FC">
            <w:pPr>
              <w:spacing w:before="0" w:after="0" w:line="240" w:lineRule="auto"/>
              <w:jc w:val="center"/>
            </w:pPr>
            <w:r>
              <w:rPr>
                <w:rFonts w:ascii="Times New Roman" w:hAnsi="Times New Roman" w:eastAsia="宋体"/>
                <w:b w:val="0"/>
                <w:sz w:val="15"/>
              </w:rPr>
              <w:t>11571</w:t>
            </w:r>
          </w:p>
        </w:tc>
        <w:tc>
          <w:tcPr>
            <w:tcW w:w="2224" w:type="dxa"/>
          </w:tcPr>
          <w:p w14:paraId="6AD8C6C0">
            <w:pPr>
              <w:spacing w:before="0" w:after="0" w:line="240" w:lineRule="auto"/>
              <w:jc w:val="center"/>
            </w:pPr>
            <w:r>
              <w:rPr>
                <w:rFonts w:ascii="Times New Roman" w:hAnsi="Times New Roman" w:eastAsia="宋体"/>
                <w:b w:val="0"/>
                <w:sz w:val="15"/>
              </w:rPr>
              <w:t>11571</w:t>
            </w:r>
          </w:p>
        </w:tc>
        <w:tc>
          <w:tcPr>
            <w:tcW w:w="2225" w:type="dxa"/>
          </w:tcPr>
          <w:p w14:paraId="3CFE76FA">
            <w:pPr>
              <w:spacing w:before="0" w:after="0" w:line="240" w:lineRule="auto"/>
              <w:jc w:val="center"/>
            </w:pPr>
            <w:r>
              <w:rPr>
                <w:rFonts w:ascii="Times New Roman" w:hAnsi="Times New Roman" w:eastAsia="宋体"/>
                <w:b w:val="0"/>
                <w:sz w:val="15"/>
              </w:rPr>
              <w:t>11571</w:t>
            </w:r>
          </w:p>
        </w:tc>
      </w:tr>
      <w:tr w14:paraId="2238527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885" w:type="dxa"/>
          </w:tcPr>
          <w:p w14:paraId="0ED8168F">
            <w:pPr>
              <w:spacing w:before="0" w:after="0" w:line="240" w:lineRule="auto"/>
              <w:jc w:val="center"/>
            </w:pPr>
            <w:r>
              <w:rPr>
                <w:rFonts w:ascii="Times New Roman" w:hAnsi="Times New Roman" w:eastAsia="宋体"/>
                <w:b w:val="0"/>
                <w:sz w:val="15"/>
              </w:rPr>
              <w:t>within R²</w:t>
            </w:r>
          </w:p>
        </w:tc>
        <w:tc>
          <w:tcPr>
            <w:tcW w:w="2080" w:type="dxa"/>
          </w:tcPr>
          <w:p w14:paraId="6ECD5F40">
            <w:pPr>
              <w:spacing w:before="0" w:after="0" w:line="240" w:lineRule="auto"/>
              <w:jc w:val="center"/>
            </w:pPr>
            <w:r>
              <w:rPr>
                <w:rFonts w:ascii="Times New Roman" w:hAnsi="Times New Roman" w:eastAsia="宋体"/>
                <w:b w:val="0"/>
                <w:sz w:val="15"/>
              </w:rPr>
              <w:t>0.006</w:t>
            </w:r>
          </w:p>
        </w:tc>
        <w:tc>
          <w:tcPr>
            <w:tcW w:w="2224" w:type="dxa"/>
          </w:tcPr>
          <w:p w14:paraId="6035A4F7">
            <w:pPr>
              <w:spacing w:before="0" w:after="0" w:line="240" w:lineRule="auto"/>
              <w:jc w:val="center"/>
            </w:pPr>
            <w:r>
              <w:rPr>
                <w:rFonts w:ascii="Times New Roman" w:hAnsi="Times New Roman" w:eastAsia="宋体"/>
                <w:b w:val="0"/>
                <w:sz w:val="15"/>
              </w:rPr>
              <w:t>0.119</w:t>
            </w:r>
          </w:p>
        </w:tc>
        <w:tc>
          <w:tcPr>
            <w:tcW w:w="2224" w:type="dxa"/>
          </w:tcPr>
          <w:p w14:paraId="1374C2A0">
            <w:pPr>
              <w:spacing w:before="0" w:after="0" w:line="240" w:lineRule="auto"/>
              <w:jc w:val="center"/>
            </w:pPr>
            <w:r>
              <w:rPr>
                <w:rFonts w:ascii="Times New Roman" w:hAnsi="Times New Roman" w:eastAsia="宋体"/>
                <w:b w:val="0"/>
                <w:sz w:val="15"/>
              </w:rPr>
              <w:t>0.122</w:t>
            </w:r>
          </w:p>
        </w:tc>
        <w:tc>
          <w:tcPr>
            <w:tcW w:w="2225" w:type="dxa"/>
          </w:tcPr>
          <w:p w14:paraId="3A6C0C05">
            <w:pPr>
              <w:spacing w:before="0" w:after="0" w:line="240" w:lineRule="auto"/>
              <w:jc w:val="center"/>
            </w:pPr>
            <w:r>
              <w:rPr>
                <w:rFonts w:ascii="Times New Roman" w:hAnsi="Times New Roman" w:eastAsia="宋体"/>
                <w:b w:val="0"/>
                <w:sz w:val="15"/>
              </w:rPr>
              <w:t>0.023</w:t>
            </w:r>
          </w:p>
        </w:tc>
      </w:tr>
    </w:tbl>
    <w:p w14:paraId="1018347C">
      <w:pPr>
        <w:spacing w:before="40" w:after="120" w:line="240" w:lineRule="auto"/>
        <w:ind w:firstLine="180" w:firstLineChars="100"/>
        <w:jc w:val="left"/>
      </w:pPr>
      <w:r>
        <w:rPr>
          <w:rFonts w:ascii="Times New Roman" w:hAnsi="Times New Roman" w:eastAsia="宋体"/>
          <w:b w:val="0"/>
          <w:sz w:val="18"/>
        </w:rPr>
        <w:t>注：括号内为企业层面聚类稳健t统计量；***、**、*分别表示在1%、5%、10%的水平上显著；模型（1）—（3）为混合最小二乘，（4）为企业—年份双向固定效应；within R²为组内去均值后的拟合优度（含固定效应的整体R²约为0.64）。</w:t>
      </w:r>
    </w:p>
    <w:p w14:paraId="24523881">
      <w:pPr>
        <w:spacing w:before="0" w:after="0" w:line="240" w:lineRule="auto"/>
        <w:ind w:firstLine="420" w:firstLineChars="200"/>
        <w:jc w:val="both"/>
      </w:pPr>
      <w:r>
        <w:rPr>
          <w:rFonts w:ascii="Times New Roman" w:hAnsi="Times New Roman" w:eastAsia="宋体"/>
          <w:b w:val="0"/>
          <w:sz w:val="21"/>
        </w:rPr>
        <w:t>上述结果说明，在控制企业个体与时间固定效应后，数智技术赋能对环境绩效综合指数的直接效应有限。这一发现并不否定数智技术的环境价值，而是提示其作用可能是间接的：数智化首先改变企业的研发与生产组织方式，进而通过绿色技术产出影响环境绩效。后文的机制检验为这一判断提供了证据。</w:t>
      </w:r>
    </w:p>
    <w:p w14:paraId="6288CDFD">
      <w:pPr>
        <w:spacing w:before="0" w:after="0" w:line="240" w:lineRule="auto"/>
        <w:ind w:firstLine="420" w:firstLineChars="200"/>
        <w:jc w:val="both"/>
      </w:pPr>
      <w:r>
        <w:rPr>
          <w:rFonts w:ascii="Times New Roman" w:hAnsi="Times New Roman" w:eastAsia="宋体"/>
          <w:b w:val="0"/>
          <w:sz w:val="21"/>
        </w:rPr>
        <w:t>此外，为便于结果复核，表9汇总了核心变量的测度口径与关键处理细节。</w:t>
      </w:r>
    </w:p>
    <w:p w14:paraId="277459ED">
      <w:pPr>
        <w:spacing w:before="120" w:after="20" w:line="240" w:lineRule="auto"/>
        <w:jc w:val="center"/>
      </w:pPr>
      <w:r>
        <w:rPr>
          <w:rFonts w:ascii="Times New Roman" w:hAnsi="Times New Roman" w:eastAsia="黑体"/>
          <w:b w:val="0"/>
          <w:sz w:val="18"/>
        </w:rPr>
        <w:t>表9 核心变量的测度口径与处理细节</w:t>
      </w:r>
    </w:p>
    <w:p w14:paraId="762C419F">
      <w:pPr>
        <w:spacing w:before="0" w:after="60" w:line="240" w:lineRule="auto"/>
        <w:jc w:val="center"/>
      </w:pPr>
      <w:r>
        <w:rPr>
          <w:rFonts w:ascii="Times New Roman" w:hAnsi="Times New Roman" w:eastAsia="宋体"/>
          <w:b w:val="0"/>
          <w:sz w:val="16"/>
        </w:rPr>
        <w:t>Table 9 Measurement and processing details of core variables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52"/>
        <w:gridCol w:w="7886"/>
      </w:tblGrid>
      <w:tr w14:paraId="1AFF465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52" w:type="dxa"/>
            <w:tcBorders>
              <w:bottom w:val="single" w:color="auto" w:sz="8" w:space="0"/>
            </w:tcBorders>
          </w:tcPr>
          <w:p w14:paraId="370962E6">
            <w:pPr>
              <w:spacing w:before="0" w:after="0" w:line="240" w:lineRule="auto"/>
              <w:jc w:val="center"/>
            </w:pPr>
            <w:r>
              <w:rPr>
                <w:rFonts w:ascii="Times New Roman" w:hAnsi="Times New Roman" w:eastAsia="宋体"/>
                <w:b/>
                <w:sz w:val="15"/>
              </w:rPr>
              <w:t>变量</w:t>
            </w:r>
          </w:p>
        </w:tc>
        <w:tc>
          <w:tcPr>
            <w:tcW w:w="7886" w:type="dxa"/>
            <w:tcBorders>
              <w:bottom w:val="single" w:color="auto" w:sz="8" w:space="0"/>
            </w:tcBorders>
          </w:tcPr>
          <w:p w14:paraId="2212883D">
            <w:pPr>
              <w:spacing w:before="0" w:after="0" w:line="240" w:lineRule="auto"/>
              <w:jc w:val="center"/>
            </w:pPr>
            <w:r>
              <w:rPr>
                <w:rFonts w:ascii="Times New Roman" w:hAnsi="Times New Roman" w:eastAsia="宋体"/>
                <w:b/>
                <w:sz w:val="15"/>
              </w:rPr>
              <w:t>测度口径与关键处理</w:t>
            </w:r>
          </w:p>
        </w:tc>
      </w:tr>
      <w:tr w14:paraId="305C5F0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52" w:type="dxa"/>
          </w:tcPr>
          <w:p w14:paraId="4F7AA297">
            <w:pPr>
              <w:spacing w:before="0" w:after="0" w:line="240" w:lineRule="auto"/>
              <w:jc w:val="center"/>
            </w:pPr>
            <w:r>
              <w:rPr>
                <w:rFonts w:ascii="Times New Roman" w:hAnsi="Times New Roman" w:eastAsia="宋体"/>
                <w:b w:val="0"/>
                <w:sz w:val="15"/>
              </w:rPr>
              <w:t>Digit（数智技术赋能）</w:t>
            </w:r>
          </w:p>
        </w:tc>
        <w:tc>
          <w:tcPr>
            <w:tcW w:w="7886" w:type="dxa"/>
          </w:tcPr>
          <w:p w14:paraId="489E28E8">
            <w:pPr>
              <w:spacing w:before="0" w:after="0" w:line="240" w:lineRule="auto"/>
              <w:jc w:val="center"/>
            </w:pPr>
            <w:r>
              <w:rPr>
                <w:rFonts w:ascii="Times New Roman" w:hAnsi="Times New Roman" w:eastAsia="宋体"/>
                <w:b w:val="0"/>
                <w:sz w:val="15"/>
              </w:rPr>
              <w:t>年报数字化转型关键词词频加1取自然对数，与数字化无形资产占比各自标准化后等权平均；词频按企业—年度汇总，未作停用词二次清洗，标准化采用全样本均值—标准差法</w:t>
            </w:r>
          </w:p>
        </w:tc>
      </w:tr>
      <w:tr w14:paraId="375EBEB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52" w:type="dxa"/>
          </w:tcPr>
          <w:p w14:paraId="3AB42C28">
            <w:pPr>
              <w:spacing w:before="0" w:after="0" w:line="240" w:lineRule="auto"/>
              <w:jc w:val="center"/>
            </w:pPr>
            <w:r>
              <w:rPr>
                <w:rFonts w:ascii="Times New Roman" w:hAnsi="Times New Roman" w:eastAsia="宋体"/>
                <w:b w:val="0"/>
                <w:sz w:val="15"/>
              </w:rPr>
              <w:t>AI（AI专属技术强度）</w:t>
            </w:r>
          </w:p>
        </w:tc>
        <w:tc>
          <w:tcPr>
            <w:tcW w:w="7886" w:type="dxa"/>
          </w:tcPr>
          <w:p w14:paraId="6626E243">
            <w:pPr>
              <w:spacing w:before="0" w:after="0" w:line="240" w:lineRule="auto"/>
              <w:jc w:val="center"/>
            </w:pPr>
            <w:r>
              <w:rPr>
                <w:rFonts w:ascii="Times New Roman" w:hAnsi="Times New Roman" w:eastAsia="宋体"/>
                <w:b w:val="0"/>
                <w:sz w:val="15"/>
              </w:rPr>
              <w:t>仅统计人工智能、机器学习、神经网络、深度学习、自然语言处理、计算机视觉、智能机器人、智能制造、数字孪生、云计算、区块链、物联网等18类专属术语词频，加1取自然对数</w:t>
            </w:r>
          </w:p>
        </w:tc>
      </w:tr>
      <w:tr w14:paraId="62F15B4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752" w:type="dxa"/>
          </w:tcPr>
          <w:p w14:paraId="35DED354">
            <w:pPr>
              <w:spacing w:before="0" w:after="0" w:line="240" w:lineRule="auto"/>
              <w:jc w:val="center"/>
            </w:pPr>
            <w:r>
              <w:rPr>
                <w:rFonts w:ascii="Times New Roman" w:hAnsi="Times New Roman" w:eastAsia="宋体"/>
                <w:b w:val="0"/>
                <w:sz w:val="15"/>
              </w:rPr>
              <w:t>EP（环境绩效）</w:t>
            </w:r>
          </w:p>
        </w:tc>
        <w:tc>
          <w:tcPr>
            <w:tcW w:w="7886" w:type="dxa"/>
          </w:tcPr>
          <w:p w14:paraId="614D32FD">
            <w:pPr>
              <w:spacing w:before="0" w:after="0" w:line="240" w:lineRule="auto"/>
              <w:jc w:val="center"/>
            </w:pPr>
            <w:r>
              <w:rPr>
                <w:rFonts w:ascii="Times New Roman" w:hAnsi="Times New Roman" w:eastAsia="宋体"/>
                <w:b w:val="0"/>
                <w:sz w:val="15"/>
              </w:rPr>
              <w:t>绿色专利申请量、碳披露词频、环保补助三项分别加1取对数后，在1%和99%分位缩尾并标准化，等权平均合成；稳健性检验中另采用熵权法赋权</w:t>
            </w:r>
          </w:p>
        </w:tc>
      </w:tr>
      <w:tr w14:paraId="53A37A6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52" w:type="dxa"/>
          </w:tcPr>
          <w:p w14:paraId="511CFD67">
            <w:pPr>
              <w:spacing w:before="0" w:after="0" w:line="240" w:lineRule="auto"/>
              <w:jc w:val="center"/>
            </w:pPr>
            <w:r>
              <w:rPr>
                <w:rFonts w:ascii="Times New Roman" w:hAnsi="Times New Roman" w:eastAsia="宋体"/>
                <w:b w:val="0"/>
                <w:sz w:val="15"/>
              </w:rPr>
              <w:t>GreenTech（绿色技术创新）</w:t>
            </w:r>
          </w:p>
        </w:tc>
        <w:tc>
          <w:tcPr>
            <w:tcW w:w="7886" w:type="dxa"/>
          </w:tcPr>
          <w:p w14:paraId="2CE44CAF">
            <w:pPr>
              <w:spacing w:before="0" w:after="0" w:line="240" w:lineRule="auto"/>
              <w:jc w:val="center"/>
            </w:pPr>
            <w:r>
              <w:rPr>
                <w:rFonts w:ascii="Times New Roman" w:hAnsi="Times New Roman" w:eastAsia="宋体"/>
                <w:b w:val="0"/>
                <w:sz w:val="15"/>
              </w:rPr>
              <w:t>当年绿色发明专利与绿色实用新型专利获得量之和，加1取自然对数</w:t>
            </w:r>
          </w:p>
        </w:tc>
      </w:tr>
      <w:tr w14:paraId="24BE99D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52" w:type="dxa"/>
          </w:tcPr>
          <w:p w14:paraId="1DE5201F">
            <w:pPr>
              <w:spacing w:before="0" w:after="0" w:line="240" w:lineRule="auto"/>
              <w:jc w:val="center"/>
            </w:pPr>
            <w:r>
              <w:rPr>
                <w:rFonts w:ascii="Times New Roman" w:hAnsi="Times New Roman" w:eastAsia="宋体"/>
                <w:b w:val="0"/>
                <w:sz w:val="15"/>
              </w:rPr>
              <w:t>TATurn（管理效率）</w:t>
            </w:r>
          </w:p>
        </w:tc>
        <w:tc>
          <w:tcPr>
            <w:tcW w:w="7886" w:type="dxa"/>
          </w:tcPr>
          <w:p w14:paraId="791A2E74">
            <w:pPr>
              <w:spacing w:before="0" w:after="0" w:line="240" w:lineRule="auto"/>
              <w:jc w:val="center"/>
            </w:pPr>
            <w:r>
              <w:rPr>
                <w:rFonts w:ascii="Times New Roman" w:hAnsi="Times New Roman" w:eastAsia="宋体"/>
                <w:b w:val="0"/>
                <w:sz w:val="15"/>
              </w:rPr>
              <w:t>营业收入/资产总计，在1%和99%分位缩尾</w:t>
            </w:r>
          </w:p>
        </w:tc>
      </w:tr>
      <w:tr w14:paraId="156BB33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752" w:type="dxa"/>
          </w:tcPr>
          <w:p w14:paraId="57CA41F4">
            <w:pPr>
              <w:spacing w:before="0" w:after="0" w:line="240" w:lineRule="auto"/>
              <w:jc w:val="center"/>
            </w:pPr>
            <w:r>
              <w:rPr>
                <w:rFonts w:ascii="Times New Roman" w:hAnsi="Times New Roman" w:eastAsia="宋体"/>
                <w:b w:val="0"/>
                <w:sz w:val="15"/>
              </w:rPr>
              <w:t>MA（资源配置优化）</w:t>
            </w:r>
          </w:p>
        </w:tc>
        <w:tc>
          <w:tcPr>
            <w:tcW w:w="7886" w:type="dxa"/>
          </w:tcPr>
          <w:p w14:paraId="37B31B61">
            <w:pPr>
              <w:spacing w:before="0" w:after="0" w:line="240" w:lineRule="auto"/>
              <w:jc w:val="center"/>
            </w:pPr>
            <w:r>
              <w:rPr>
                <w:rFonts w:ascii="Times New Roman" w:hAnsi="Times New Roman" w:eastAsia="宋体"/>
                <w:b w:val="0"/>
                <w:sz w:val="15"/>
              </w:rPr>
              <w:t>当年首次公告的绿色并购事件数量，加1取自然对数；2012年以前无事件记录，按缺失处理</w:t>
            </w:r>
          </w:p>
        </w:tc>
      </w:tr>
      <w:tr w14:paraId="1136832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752" w:type="dxa"/>
          </w:tcPr>
          <w:p w14:paraId="39E82F75">
            <w:pPr>
              <w:spacing w:before="0" w:after="0" w:line="240" w:lineRule="auto"/>
              <w:jc w:val="center"/>
            </w:pPr>
            <w:r>
              <w:rPr>
                <w:rFonts w:ascii="Times New Roman" w:hAnsi="Times New Roman" w:eastAsia="宋体"/>
                <w:b w:val="0"/>
                <w:sz w:val="15"/>
              </w:rPr>
              <w:t>控制变量</w:t>
            </w:r>
          </w:p>
        </w:tc>
        <w:tc>
          <w:tcPr>
            <w:tcW w:w="7886" w:type="dxa"/>
          </w:tcPr>
          <w:p w14:paraId="4ABAFDB8">
            <w:pPr>
              <w:spacing w:before="0" w:after="0" w:line="240" w:lineRule="auto"/>
              <w:jc w:val="center"/>
            </w:pPr>
            <w:r>
              <w:rPr>
                <w:rFonts w:ascii="Times New Roman" w:hAnsi="Times New Roman" w:eastAsia="宋体"/>
                <w:b w:val="0"/>
                <w:sz w:val="15"/>
              </w:rPr>
              <w:t>企业规模、资产负债率、总资产收益率、固定资产占比、营收增长率、无形资产占比、货币资金占比、经营现金流占比、审计费用、审计意见、省级数字经济政策词频、地方财政环保支出；所有连续变量在1%和99%分位双侧缩尾</w:t>
            </w:r>
          </w:p>
        </w:tc>
      </w:tr>
    </w:tbl>
    <w:p w14:paraId="1D4A2F95">
      <w:pPr>
        <w:spacing w:before="40" w:after="120" w:line="240" w:lineRule="auto"/>
        <w:ind w:firstLine="180" w:firstLineChars="100"/>
        <w:jc w:val="left"/>
      </w:pPr>
      <w:r>
        <w:rPr>
          <w:rFonts w:ascii="Times New Roman" w:hAnsi="Times New Roman" w:eastAsia="宋体"/>
          <w:b w:val="0"/>
          <w:sz w:val="18"/>
        </w:rPr>
        <w:t>注：标准化均基于实证样本（2007—2024年，11571个观测）计算。</w:t>
      </w:r>
    </w:p>
    <w:p w14:paraId="1EE52AA3">
      <w:pPr>
        <w:spacing w:before="160" w:after="80" w:line="240" w:lineRule="auto"/>
        <w:jc w:val="left"/>
      </w:pPr>
      <w:r>
        <w:rPr>
          <w:rFonts w:ascii="Times New Roman" w:hAnsi="Times New Roman" w:eastAsia="黑体"/>
          <w:b/>
          <w:sz w:val="21"/>
        </w:rPr>
        <w:t>5.4 环境绩效指数的测量效度检验</w:t>
      </w:r>
    </w:p>
    <w:p w14:paraId="1E4F4B86">
      <w:pPr>
        <w:spacing w:before="0" w:after="0" w:line="240" w:lineRule="auto"/>
        <w:ind w:firstLine="420" w:firstLineChars="200"/>
        <w:jc w:val="both"/>
      </w:pPr>
      <w:r>
        <w:rPr>
          <w:rFonts w:ascii="Times New Roman" w:hAnsi="Times New Roman" w:eastAsia="宋体"/>
          <w:b w:val="0"/>
          <w:sz w:val="21"/>
        </w:rPr>
        <w:t>针对评议提出的“环境绩效综合指数测量效度”问题，本文从赋权方式、子维度平行检验与披露口径结构断点三个方面进行系统排查。</w:t>
      </w:r>
    </w:p>
    <w:p w14:paraId="1B638CD0">
      <w:pPr>
        <w:spacing w:before="0" w:after="0" w:line="240" w:lineRule="auto"/>
        <w:ind w:firstLine="420" w:firstLineChars="200"/>
        <w:jc w:val="both"/>
      </w:pPr>
      <w:r>
        <w:rPr>
          <w:rFonts w:ascii="Times New Roman" w:hAnsi="Times New Roman" w:eastAsia="宋体"/>
          <w:b w:val="0"/>
          <w:sz w:val="21"/>
        </w:rPr>
        <w:t>1.赋权方式。基准指数采用等权平均。改用熵权法依据各维度信息量重新赋权：绿色创新产出0.2805、碳信息披露0.1926、环保治理投入0.5269。熵权法下数智赋能的系数为0.0222，t值0.803，与等权口径方向一致且同样不显著。可见赋权方式不是结论的驱动因素。</w:t>
      </w:r>
    </w:p>
    <w:p w14:paraId="14559C2E">
      <w:pPr>
        <w:spacing w:before="0" w:after="0" w:line="240" w:lineRule="auto"/>
        <w:ind w:firstLine="420" w:firstLineChars="200"/>
        <w:jc w:val="both"/>
      </w:pPr>
      <w:r>
        <w:rPr>
          <w:rFonts w:ascii="Times New Roman" w:hAnsi="Times New Roman" w:eastAsia="宋体"/>
          <w:b w:val="0"/>
          <w:sz w:val="21"/>
        </w:rPr>
        <w:t>赋权方式的敏感性检验结果如表10所示。</w:t>
      </w:r>
    </w:p>
    <w:p w14:paraId="181931E8">
      <w:pPr>
        <w:spacing w:before="120" w:after="20" w:line="240" w:lineRule="auto"/>
        <w:jc w:val="center"/>
      </w:pPr>
      <w:r>
        <w:rPr>
          <w:rFonts w:ascii="Times New Roman" w:hAnsi="Times New Roman" w:eastAsia="黑体"/>
          <w:b w:val="0"/>
          <w:sz w:val="18"/>
        </w:rPr>
        <w:t>表10 环境绩效指数赋权方式的稳健性检验</w:t>
      </w:r>
    </w:p>
    <w:p w14:paraId="548B3DD6">
      <w:pPr>
        <w:spacing w:before="0" w:after="60" w:line="240" w:lineRule="auto"/>
        <w:jc w:val="center"/>
      </w:pPr>
      <w:r>
        <w:rPr>
          <w:rFonts w:ascii="Times New Roman" w:hAnsi="Times New Roman" w:eastAsia="宋体"/>
          <w:b w:val="0"/>
          <w:sz w:val="16"/>
        </w:rPr>
        <w:t>Table 10 Robustness test of weighting schemes for the EP index</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28"/>
        <w:gridCol w:w="2543"/>
        <w:gridCol w:w="2896"/>
        <w:gridCol w:w="2571"/>
      </w:tblGrid>
      <w:tr w14:paraId="693DCED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28" w:type="dxa"/>
            <w:tcBorders>
              <w:bottom w:val="single" w:color="auto" w:sz="8" w:space="0"/>
            </w:tcBorders>
          </w:tcPr>
          <w:p w14:paraId="159654E7">
            <w:pPr>
              <w:spacing w:before="0" w:after="0" w:line="240" w:lineRule="auto"/>
              <w:jc w:val="center"/>
            </w:pPr>
            <w:r>
              <w:rPr>
                <w:rFonts w:ascii="Times New Roman" w:hAnsi="Times New Roman" w:eastAsia="宋体"/>
                <w:b/>
                <w:sz w:val="15"/>
              </w:rPr>
              <w:t>维度</w:t>
            </w:r>
          </w:p>
        </w:tc>
        <w:tc>
          <w:tcPr>
            <w:tcW w:w="2543" w:type="dxa"/>
            <w:tcBorders>
              <w:bottom w:val="single" w:color="auto" w:sz="8" w:space="0"/>
            </w:tcBorders>
          </w:tcPr>
          <w:p w14:paraId="43BF53B6">
            <w:pPr>
              <w:spacing w:before="0" w:after="0" w:line="240" w:lineRule="auto"/>
              <w:jc w:val="center"/>
            </w:pPr>
            <w:r>
              <w:rPr>
                <w:rFonts w:ascii="Times New Roman" w:hAnsi="Times New Roman" w:eastAsia="宋体"/>
                <w:b/>
                <w:sz w:val="15"/>
              </w:rPr>
              <w:t>等权权重</w:t>
            </w:r>
          </w:p>
        </w:tc>
        <w:tc>
          <w:tcPr>
            <w:tcW w:w="2896" w:type="dxa"/>
            <w:tcBorders>
              <w:bottom w:val="single" w:color="auto" w:sz="8" w:space="0"/>
            </w:tcBorders>
          </w:tcPr>
          <w:p w14:paraId="7EC50482">
            <w:pPr>
              <w:spacing w:before="0" w:after="0" w:line="240" w:lineRule="auto"/>
              <w:jc w:val="center"/>
            </w:pPr>
            <w:r>
              <w:rPr>
                <w:rFonts w:ascii="Times New Roman" w:hAnsi="Times New Roman" w:eastAsia="宋体"/>
                <w:b/>
                <w:sz w:val="15"/>
              </w:rPr>
              <w:t>熵权法权重</w:t>
            </w:r>
          </w:p>
        </w:tc>
        <w:tc>
          <w:tcPr>
            <w:tcW w:w="2571" w:type="dxa"/>
            <w:tcBorders>
              <w:bottom w:val="single" w:color="auto" w:sz="8" w:space="0"/>
            </w:tcBorders>
          </w:tcPr>
          <w:p w14:paraId="1B8F03F1">
            <w:pPr>
              <w:spacing w:before="0" w:after="0" w:line="240" w:lineRule="auto"/>
              <w:jc w:val="center"/>
            </w:pPr>
            <w:r>
              <w:rPr>
                <w:rFonts w:ascii="Times New Roman" w:hAnsi="Times New Roman" w:eastAsia="宋体"/>
                <w:b/>
                <w:sz w:val="15"/>
              </w:rPr>
              <w:t>载荷方向</w:t>
            </w:r>
          </w:p>
        </w:tc>
      </w:tr>
      <w:tr w14:paraId="6DFAC5F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28" w:type="dxa"/>
          </w:tcPr>
          <w:p w14:paraId="5838FD5B">
            <w:pPr>
              <w:spacing w:before="0" w:after="0" w:line="240" w:lineRule="auto"/>
              <w:jc w:val="center"/>
            </w:pPr>
            <w:r>
              <w:rPr>
                <w:rFonts w:ascii="Times New Roman" w:hAnsi="Times New Roman" w:eastAsia="宋体"/>
                <w:b w:val="0"/>
                <w:sz w:val="15"/>
              </w:rPr>
              <w:t>绿色创新产出</w:t>
            </w:r>
          </w:p>
        </w:tc>
        <w:tc>
          <w:tcPr>
            <w:tcW w:w="2543" w:type="dxa"/>
          </w:tcPr>
          <w:p w14:paraId="1C06887E">
            <w:pPr>
              <w:spacing w:before="0" w:after="0" w:line="240" w:lineRule="auto"/>
              <w:jc w:val="center"/>
            </w:pPr>
            <w:r>
              <w:rPr>
                <w:rFonts w:ascii="Times New Roman" w:hAnsi="Times New Roman" w:eastAsia="宋体"/>
                <w:b w:val="0"/>
                <w:sz w:val="15"/>
              </w:rPr>
              <w:t>0.3333</w:t>
            </w:r>
          </w:p>
        </w:tc>
        <w:tc>
          <w:tcPr>
            <w:tcW w:w="2896" w:type="dxa"/>
          </w:tcPr>
          <w:p w14:paraId="5FC23D52">
            <w:pPr>
              <w:spacing w:before="0" w:after="0" w:line="240" w:lineRule="auto"/>
              <w:jc w:val="center"/>
            </w:pPr>
            <w:r>
              <w:rPr>
                <w:rFonts w:ascii="Times New Roman" w:hAnsi="Times New Roman" w:eastAsia="宋体"/>
                <w:b w:val="0"/>
                <w:sz w:val="15"/>
              </w:rPr>
              <w:t>0.2805</w:t>
            </w:r>
          </w:p>
        </w:tc>
        <w:tc>
          <w:tcPr>
            <w:tcW w:w="2571" w:type="dxa"/>
          </w:tcPr>
          <w:p w14:paraId="66C56CD7">
            <w:pPr>
              <w:spacing w:before="0" w:after="0" w:line="240" w:lineRule="auto"/>
              <w:jc w:val="center"/>
            </w:pPr>
            <w:r>
              <w:rPr>
                <w:rFonts w:ascii="Times New Roman" w:hAnsi="Times New Roman" w:eastAsia="宋体"/>
                <w:b w:val="0"/>
                <w:sz w:val="15"/>
              </w:rPr>
              <w:t>正向</w:t>
            </w:r>
          </w:p>
        </w:tc>
      </w:tr>
      <w:tr w14:paraId="633A3C9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28" w:type="dxa"/>
          </w:tcPr>
          <w:p w14:paraId="5BC6EF62">
            <w:pPr>
              <w:spacing w:before="0" w:after="0" w:line="240" w:lineRule="auto"/>
              <w:jc w:val="center"/>
            </w:pPr>
            <w:r>
              <w:rPr>
                <w:rFonts w:ascii="Times New Roman" w:hAnsi="Times New Roman" w:eastAsia="宋体"/>
                <w:b w:val="0"/>
                <w:sz w:val="15"/>
              </w:rPr>
              <w:t>碳信息披露</w:t>
            </w:r>
          </w:p>
        </w:tc>
        <w:tc>
          <w:tcPr>
            <w:tcW w:w="2543" w:type="dxa"/>
          </w:tcPr>
          <w:p w14:paraId="3E821C79">
            <w:pPr>
              <w:spacing w:before="0" w:after="0" w:line="240" w:lineRule="auto"/>
              <w:jc w:val="center"/>
            </w:pPr>
            <w:r>
              <w:rPr>
                <w:rFonts w:ascii="Times New Roman" w:hAnsi="Times New Roman" w:eastAsia="宋体"/>
                <w:b w:val="0"/>
                <w:sz w:val="15"/>
              </w:rPr>
              <w:t>0.3333</w:t>
            </w:r>
          </w:p>
        </w:tc>
        <w:tc>
          <w:tcPr>
            <w:tcW w:w="2896" w:type="dxa"/>
          </w:tcPr>
          <w:p w14:paraId="6CAB8D5E">
            <w:pPr>
              <w:spacing w:before="0" w:after="0" w:line="240" w:lineRule="auto"/>
              <w:jc w:val="center"/>
            </w:pPr>
            <w:r>
              <w:rPr>
                <w:rFonts w:ascii="Times New Roman" w:hAnsi="Times New Roman" w:eastAsia="宋体"/>
                <w:b w:val="0"/>
                <w:sz w:val="15"/>
              </w:rPr>
              <w:t>0.1926</w:t>
            </w:r>
          </w:p>
        </w:tc>
        <w:tc>
          <w:tcPr>
            <w:tcW w:w="2571" w:type="dxa"/>
          </w:tcPr>
          <w:p w14:paraId="4022FEE0">
            <w:pPr>
              <w:spacing w:before="0" w:after="0" w:line="240" w:lineRule="auto"/>
              <w:jc w:val="center"/>
            </w:pPr>
            <w:r>
              <w:rPr>
                <w:rFonts w:ascii="Times New Roman" w:hAnsi="Times New Roman" w:eastAsia="宋体"/>
                <w:b w:val="0"/>
                <w:sz w:val="15"/>
              </w:rPr>
              <w:t>正向</w:t>
            </w:r>
          </w:p>
        </w:tc>
      </w:tr>
      <w:tr w14:paraId="2C1C290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628" w:type="dxa"/>
          </w:tcPr>
          <w:p w14:paraId="2D95CED5">
            <w:pPr>
              <w:spacing w:before="0" w:after="0" w:line="240" w:lineRule="auto"/>
              <w:jc w:val="center"/>
            </w:pPr>
            <w:r>
              <w:rPr>
                <w:rFonts w:ascii="Times New Roman" w:hAnsi="Times New Roman" w:eastAsia="宋体"/>
                <w:b w:val="0"/>
                <w:sz w:val="15"/>
              </w:rPr>
              <w:t>环保治理投入</w:t>
            </w:r>
          </w:p>
        </w:tc>
        <w:tc>
          <w:tcPr>
            <w:tcW w:w="2543" w:type="dxa"/>
          </w:tcPr>
          <w:p w14:paraId="0A2280C8">
            <w:pPr>
              <w:spacing w:before="0" w:after="0" w:line="240" w:lineRule="auto"/>
              <w:jc w:val="center"/>
            </w:pPr>
            <w:r>
              <w:rPr>
                <w:rFonts w:ascii="Times New Roman" w:hAnsi="Times New Roman" w:eastAsia="宋体"/>
                <w:b w:val="0"/>
                <w:sz w:val="15"/>
              </w:rPr>
              <w:t>0.3333</w:t>
            </w:r>
          </w:p>
        </w:tc>
        <w:tc>
          <w:tcPr>
            <w:tcW w:w="2896" w:type="dxa"/>
          </w:tcPr>
          <w:p w14:paraId="781EDDA9">
            <w:pPr>
              <w:spacing w:before="0" w:after="0" w:line="240" w:lineRule="auto"/>
              <w:jc w:val="center"/>
            </w:pPr>
            <w:r>
              <w:rPr>
                <w:rFonts w:ascii="Times New Roman" w:hAnsi="Times New Roman" w:eastAsia="宋体"/>
                <w:b w:val="0"/>
                <w:sz w:val="15"/>
              </w:rPr>
              <w:t>0.5269</w:t>
            </w:r>
          </w:p>
        </w:tc>
        <w:tc>
          <w:tcPr>
            <w:tcW w:w="2571" w:type="dxa"/>
          </w:tcPr>
          <w:p w14:paraId="10719A02">
            <w:pPr>
              <w:spacing w:before="0" w:after="0" w:line="240" w:lineRule="auto"/>
              <w:jc w:val="center"/>
            </w:pPr>
            <w:r>
              <w:rPr>
                <w:rFonts w:ascii="Times New Roman" w:hAnsi="Times New Roman" w:eastAsia="宋体"/>
                <w:b w:val="0"/>
                <w:sz w:val="15"/>
              </w:rPr>
              <w:t>正向</w:t>
            </w:r>
          </w:p>
        </w:tc>
      </w:tr>
      <w:tr w14:paraId="303DAF5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28" w:type="dxa"/>
          </w:tcPr>
          <w:p w14:paraId="5AB01F23">
            <w:pPr>
              <w:spacing w:before="0" w:after="0" w:line="240" w:lineRule="auto"/>
              <w:jc w:val="center"/>
            </w:pPr>
            <w:r>
              <w:rPr>
                <w:rFonts w:ascii="Times New Roman" w:hAnsi="Times New Roman" w:eastAsia="宋体"/>
                <w:b w:val="0"/>
                <w:sz w:val="15"/>
              </w:rPr>
              <w:t>Digit 系数（t值）</w:t>
            </w:r>
          </w:p>
        </w:tc>
        <w:tc>
          <w:tcPr>
            <w:tcW w:w="2543" w:type="dxa"/>
          </w:tcPr>
          <w:p w14:paraId="29768127">
            <w:pPr>
              <w:spacing w:before="0" w:after="0" w:line="240" w:lineRule="auto"/>
              <w:jc w:val="center"/>
            </w:pPr>
            <w:r>
              <w:rPr>
                <w:rFonts w:ascii="Times New Roman" w:hAnsi="Times New Roman" w:eastAsia="宋体"/>
                <w:b w:val="0"/>
                <w:sz w:val="15"/>
              </w:rPr>
              <w:t>0.0200 (1.335)</w:t>
            </w:r>
          </w:p>
        </w:tc>
        <w:tc>
          <w:tcPr>
            <w:tcW w:w="2896" w:type="dxa"/>
          </w:tcPr>
          <w:p w14:paraId="19709FD5">
            <w:pPr>
              <w:spacing w:before="0" w:after="0" w:line="240" w:lineRule="auto"/>
              <w:jc w:val="center"/>
            </w:pPr>
            <w:r>
              <w:rPr>
                <w:rFonts w:ascii="Times New Roman" w:hAnsi="Times New Roman" w:eastAsia="宋体"/>
                <w:b w:val="0"/>
                <w:sz w:val="15"/>
              </w:rPr>
              <w:t>0.0222 (0.803)</w:t>
            </w:r>
          </w:p>
        </w:tc>
        <w:tc>
          <w:tcPr>
            <w:tcW w:w="2571" w:type="dxa"/>
          </w:tcPr>
          <w:p w14:paraId="37BEB44B">
            <w:pPr>
              <w:spacing w:before="0" w:after="0" w:line="240" w:lineRule="auto"/>
              <w:jc w:val="center"/>
            </w:pPr>
            <w:r>
              <w:rPr>
                <w:rFonts w:ascii="Times New Roman" w:hAnsi="Times New Roman" w:eastAsia="宋体"/>
                <w:b w:val="0"/>
                <w:sz w:val="15"/>
              </w:rPr>
              <w:t>不显著</w:t>
            </w:r>
          </w:p>
        </w:tc>
      </w:tr>
    </w:tbl>
    <w:p w14:paraId="211DDA3C">
      <w:pPr>
        <w:spacing w:before="40" w:after="120" w:line="240" w:lineRule="auto"/>
        <w:ind w:firstLine="180" w:firstLineChars="100"/>
        <w:jc w:val="left"/>
      </w:pPr>
      <w:r>
        <w:rPr>
          <w:rFonts w:ascii="Times New Roman" w:hAnsi="Times New Roman" w:eastAsia="宋体"/>
          <w:b w:val="0"/>
          <w:sz w:val="18"/>
        </w:rPr>
        <w:t>注：熵权法权重依据各维度标准化取值的信息熵计算；两个口径均控制企业、年份固定效应及全部控制变量。</w:t>
      </w:r>
    </w:p>
    <w:p w14:paraId="2BC9DB38">
      <w:pPr>
        <w:spacing w:before="0" w:after="0" w:line="240" w:lineRule="auto"/>
        <w:ind w:firstLine="420" w:firstLineChars="200"/>
        <w:jc w:val="both"/>
      </w:pPr>
      <w:r>
        <w:rPr>
          <w:rFonts w:ascii="Times New Roman" w:hAnsi="Times New Roman" w:eastAsia="宋体"/>
          <w:b w:val="0"/>
          <w:sz w:val="21"/>
        </w:rPr>
        <w:t>2.子维度平行检验。将三个维度的标准化取值分别作为被解释变量重新估计（表11）。数智赋能对绿色创新产出的系数为0.0873，1%水平显著；对碳信息披露（-0.0065）与环保治理投入（-0.0675）均不显著。</w:t>
      </w:r>
    </w:p>
    <w:p w14:paraId="57D75461">
      <w:pPr>
        <w:spacing w:before="0" w:after="0" w:line="240" w:lineRule="auto"/>
        <w:ind w:firstLine="420" w:firstLineChars="200"/>
        <w:jc w:val="both"/>
      </w:pPr>
      <w:r>
        <w:rPr>
          <w:rFonts w:ascii="Times New Roman" w:hAnsi="Times New Roman" w:eastAsia="宋体"/>
          <w:b w:val="0"/>
          <w:sz w:val="21"/>
        </w:rPr>
        <w:t>三个子维度的平行检验结果如表11所示。</w:t>
      </w:r>
    </w:p>
    <w:p w14:paraId="1248D945">
      <w:pPr>
        <w:spacing w:before="120" w:after="20" w:line="240" w:lineRule="auto"/>
        <w:jc w:val="center"/>
      </w:pPr>
      <w:r>
        <w:rPr>
          <w:rFonts w:ascii="Times New Roman" w:hAnsi="Times New Roman" w:eastAsia="黑体"/>
          <w:b w:val="0"/>
          <w:sz w:val="18"/>
        </w:rPr>
        <w:t>表11 环境绩效子维度的平行检验结果</w:t>
      </w:r>
    </w:p>
    <w:p w14:paraId="6D3E6B0C">
      <w:pPr>
        <w:spacing w:before="0" w:after="60" w:line="240" w:lineRule="auto"/>
        <w:jc w:val="center"/>
      </w:pPr>
      <w:r>
        <w:rPr>
          <w:rFonts w:ascii="Times New Roman" w:hAnsi="Times New Roman" w:eastAsia="宋体"/>
          <w:b w:val="0"/>
          <w:sz w:val="16"/>
        </w:rPr>
        <w:t>Table 11 Parallel tests on sub-dimensions of environmental performance</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294"/>
        <w:gridCol w:w="3671"/>
        <w:gridCol w:w="917"/>
        <w:gridCol w:w="1376"/>
        <w:gridCol w:w="1380"/>
      </w:tblGrid>
      <w:tr w14:paraId="0E94788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94" w:type="dxa"/>
            <w:tcBorders>
              <w:bottom w:val="single" w:color="auto" w:sz="8" w:space="0"/>
            </w:tcBorders>
          </w:tcPr>
          <w:p w14:paraId="48D555A3">
            <w:pPr>
              <w:spacing w:before="0" w:after="0" w:line="240" w:lineRule="auto"/>
              <w:jc w:val="center"/>
            </w:pPr>
            <w:r>
              <w:rPr>
                <w:rFonts w:ascii="Times New Roman" w:hAnsi="Times New Roman" w:eastAsia="宋体"/>
                <w:b/>
                <w:sz w:val="15"/>
              </w:rPr>
              <w:t>被解释变量</w:t>
            </w:r>
          </w:p>
        </w:tc>
        <w:tc>
          <w:tcPr>
            <w:tcW w:w="3671" w:type="dxa"/>
            <w:tcBorders>
              <w:bottom w:val="single" w:color="auto" w:sz="8" w:space="0"/>
            </w:tcBorders>
          </w:tcPr>
          <w:p w14:paraId="2B013B0A">
            <w:pPr>
              <w:spacing w:before="0" w:after="0" w:line="240" w:lineRule="auto"/>
              <w:jc w:val="center"/>
            </w:pPr>
            <w:r>
              <w:rPr>
                <w:rFonts w:ascii="Times New Roman" w:hAnsi="Times New Roman" w:eastAsia="宋体"/>
                <w:b/>
                <w:sz w:val="15"/>
              </w:rPr>
              <w:t>Digit 系数</w:t>
            </w:r>
          </w:p>
        </w:tc>
        <w:tc>
          <w:tcPr>
            <w:tcW w:w="917" w:type="dxa"/>
            <w:tcBorders>
              <w:bottom w:val="single" w:color="auto" w:sz="8" w:space="0"/>
            </w:tcBorders>
          </w:tcPr>
          <w:p w14:paraId="584940BD">
            <w:pPr>
              <w:spacing w:before="0" w:after="0" w:line="240" w:lineRule="auto"/>
              <w:jc w:val="center"/>
            </w:pPr>
            <w:r>
              <w:rPr>
                <w:rFonts w:ascii="Times New Roman" w:hAnsi="Times New Roman" w:eastAsia="宋体"/>
                <w:b/>
                <w:sz w:val="15"/>
              </w:rPr>
              <w:t>t值</w:t>
            </w:r>
          </w:p>
        </w:tc>
        <w:tc>
          <w:tcPr>
            <w:tcW w:w="1376" w:type="dxa"/>
            <w:tcBorders>
              <w:bottom w:val="single" w:color="auto" w:sz="8" w:space="0"/>
            </w:tcBorders>
          </w:tcPr>
          <w:p w14:paraId="08FC90D3">
            <w:pPr>
              <w:spacing w:before="0" w:after="0" w:line="240" w:lineRule="auto"/>
              <w:jc w:val="center"/>
            </w:pPr>
            <w:r>
              <w:rPr>
                <w:rFonts w:ascii="Times New Roman" w:hAnsi="Times New Roman" w:eastAsia="宋体"/>
                <w:b/>
                <w:sz w:val="15"/>
              </w:rPr>
              <w:t>显著性</w:t>
            </w:r>
          </w:p>
        </w:tc>
        <w:tc>
          <w:tcPr>
            <w:tcW w:w="1380" w:type="dxa"/>
            <w:tcBorders>
              <w:bottom w:val="single" w:color="auto" w:sz="8" w:space="0"/>
            </w:tcBorders>
          </w:tcPr>
          <w:p w14:paraId="17F044A8">
            <w:pPr>
              <w:spacing w:before="0" w:after="0" w:line="240" w:lineRule="auto"/>
              <w:jc w:val="center"/>
            </w:pPr>
            <w:r>
              <w:rPr>
                <w:rFonts w:ascii="Times New Roman" w:hAnsi="Times New Roman" w:eastAsia="宋体"/>
                <w:b/>
                <w:sz w:val="15"/>
              </w:rPr>
              <w:t>观测值</w:t>
            </w:r>
          </w:p>
        </w:tc>
      </w:tr>
      <w:tr w14:paraId="017A104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94" w:type="dxa"/>
          </w:tcPr>
          <w:p w14:paraId="2F558C5F">
            <w:pPr>
              <w:spacing w:before="0" w:after="0" w:line="240" w:lineRule="auto"/>
              <w:jc w:val="center"/>
            </w:pPr>
            <w:r>
              <w:rPr>
                <w:rFonts w:ascii="Times New Roman" w:hAnsi="Times New Roman" w:eastAsia="宋体"/>
                <w:b w:val="0"/>
                <w:sz w:val="15"/>
              </w:rPr>
              <w:t>绿色创新产出</w:t>
            </w:r>
          </w:p>
        </w:tc>
        <w:tc>
          <w:tcPr>
            <w:tcW w:w="3671" w:type="dxa"/>
          </w:tcPr>
          <w:p w14:paraId="6E9CBFCF">
            <w:pPr>
              <w:spacing w:before="0" w:after="0" w:line="240" w:lineRule="auto"/>
              <w:jc w:val="center"/>
            </w:pPr>
            <w:r>
              <w:rPr>
                <w:rFonts w:ascii="Times New Roman" w:hAnsi="Times New Roman" w:eastAsia="宋体"/>
                <w:b w:val="0"/>
                <w:sz w:val="15"/>
              </w:rPr>
              <w:t>0.0873</w:t>
            </w:r>
          </w:p>
        </w:tc>
        <w:tc>
          <w:tcPr>
            <w:tcW w:w="917" w:type="dxa"/>
          </w:tcPr>
          <w:p w14:paraId="116FAB8D">
            <w:pPr>
              <w:spacing w:before="0" w:after="0" w:line="240" w:lineRule="auto"/>
              <w:jc w:val="center"/>
            </w:pPr>
            <w:r>
              <w:rPr>
                <w:rFonts w:ascii="Times New Roman" w:hAnsi="Times New Roman" w:eastAsia="宋体"/>
                <w:b w:val="0"/>
                <w:sz w:val="15"/>
              </w:rPr>
              <w:t>3.481</w:t>
            </w:r>
          </w:p>
        </w:tc>
        <w:tc>
          <w:tcPr>
            <w:tcW w:w="1376" w:type="dxa"/>
          </w:tcPr>
          <w:p w14:paraId="23FA3CA7">
            <w:pPr>
              <w:spacing w:before="0" w:after="0" w:line="240" w:lineRule="auto"/>
              <w:jc w:val="center"/>
            </w:pPr>
            <w:r>
              <w:rPr>
                <w:rFonts w:ascii="Times New Roman" w:hAnsi="Times New Roman" w:eastAsia="宋体"/>
                <w:b w:val="0"/>
                <w:sz w:val="15"/>
              </w:rPr>
              <w:t>***</w:t>
            </w:r>
          </w:p>
        </w:tc>
        <w:tc>
          <w:tcPr>
            <w:tcW w:w="1380" w:type="dxa"/>
          </w:tcPr>
          <w:p w14:paraId="3A0E29DC">
            <w:pPr>
              <w:spacing w:before="0" w:after="0" w:line="240" w:lineRule="auto"/>
              <w:jc w:val="center"/>
            </w:pPr>
            <w:r>
              <w:rPr>
                <w:rFonts w:ascii="Times New Roman" w:hAnsi="Times New Roman" w:eastAsia="宋体"/>
                <w:b w:val="0"/>
                <w:sz w:val="15"/>
              </w:rPr>
              <w:t>11571</w:t>
            </w:r>
          </w:p>
        </w:tc>
      </w:tr>
      <w:tr w14:paraId="2C10AD4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94" w:type="dxa"/>
          </w:tcPr>
          <w:p w14:paraId="1DFABC8A">
            <w:pPr>
              <w:spacing w:before="0" w:after="0" w:line="240" w:lineRule="auto"/>
              <w:jc w:val="center"/>
            </w:pPr>
            <w:r>
              <w:rPr>
                <w:rFonts w:ascii="Times New Roman" w:hAnsi="Times New Roman" w:eastAsia="宋体"/>
                <w:b w:val="0"/>
                <w:sz w:val="15"/>
              </w:rPr>
              <w:t>碳信息披露</w:t>
            </w:r>
          </w:p>
        </w:tc>
        <w:tc>
          <w:tcPr>
            <w:tcW w:w="3671" w:type="dxa"/>
          </w:tcPr>
          <w:p w14:paraId="7AC58801">
            <w:pPr>
              <w:spacing w:before="0" w:after="0" w:line="240" w:lineRule="auto"/>
              <w:jc w:val="center"/>
            </w:pPr>
            <w:r>
              <w:rPr>
                <w:rFonts w:ascii="Times New Roman" w:hAnsi="Times New Roman" w:eastAsia="宋体"/>
                <w:b w:val="0"/>
                <w:sz w:val="15"/>
              </w:rPr>
              <w:t>-0.0065</w:t>
            </w:r>
          </w:p>
        </w:tc>
        <w:tc>
          <w:tcPr>
            <w:tcW w:w="917" w:type="dxa"/>
          </w:tcPr>
          <w:p w14:paraId="1C1B3574">
            <w:pPr>
              <w:spacing w:before="0" w:after="0" w:line="240" w:lineRule="auto"/>
              <w:jc w:val="center"/>
            </w:pPr>
            <w:r>
              <w:rPr>
                <w:rFonts w:ascii="Times New Roman" w:hAnsi="Times New Roman" w:eastAsia="宋体"/>
                <w:b w:val="0"/>
                <w:sz w:val="15"/>
              </w:rPr>
              <w:t>-0.246</w:t>
            </w:r>
          </w:p>
        </w:tc>
        <w:tc>
          <w:tcPr>
            <w:tcW w:w="1376" w:type="dxa"/>
          </w:tcPr>
          <w:p w14:paraId="4CF61636">
            <w:pPr>
              <w:spacing w:before="0" w:after="0" w:line="240" w:lineRule="auto"/>
              <w:jc w:val="center"/>
            </w:pPr>
            <w:r>
              <w:rPr>
                <w:rFonts w:ascii="Times New Roman" w:hAnsi="Times New Roman" w:eastAsia="宋体"/>
                <w:b w:val="0"/>
                <w:sz w:val="15"/>
              </w:rPr>
              <w:t>不显著</w:t>
            </w:r>
          </w:p>
        </w:tc>
        <w:tc>
          <w:tcPr>
            <w:tcW w:w="1380" w:type="dxa"/>
          </w:tcPr>
          <w:p w14:paraId="088E88AB">
            <w:pPr>
              <w:spacing w:before="0" w:after="0" w:line="240" w:lineRule="auto"/>
              <w:jc w:val="center"/>
            </w:pPr>
            <w:r>
              <w:rPr>
                <w:rFonts w:ascii="Times New Roman" w:hAnsi="Times New Roman" w:eastAsia="宋体"/>
                <w:b w:val="0"/>
                <w:sz w:val="15"/>
              </w:rPr>
              <w:t>11571</w:t>
            </w:r>
          </w:p>
        </w:tc>
      </w:tr>
      <w:tr w14:paraId="597DAF2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294" w:type="dxa"/>
          </w:tcPr>
          <w:p w14:paraId="1D8CAE90">
            <w:pPr>
              <w:spacing w:before="0" w:after="0" w:line="240" w:lineRule="auto"/>
              <w:jc w:val="center"/>
            </w:pPr>
            <w:r>
              <w:rPr>
                <w:rFonts w:ascii="Times New Roman" w:hAnsi="Times New Roman" w:eastAsia="宋体"/>
                <w:b w:val="0"/>
                <w:sz w:val="15"/>
              </w:rPr>
              <w:t>环保治理投入</w:t>
            </w:r>
          </w:p>
        </w:tc>
        <w:tc>
          <w:tcPr>
            <w:tcW w:w="3671" w:type="dxa"/>
          </w:tcPr>
          <w:p w14:paraId="09615F0A">
            <w:pPr>
              <w:spacing w:before="0" w:after="0" w:line="240" w:lineRule="auto"/>
              <w:jc w:val="center"/>
            </w:pPr>
            <w:r>
              <w:rPr>
                <w:rFonts w:ascii="Times New Roman" w:hAnsi="Times New Roman" w:eastAsia="宋体"/>
                <w:b w:val="0"/>
                <w:sz w:val="15"/>
              </w:rPr>
              <w:t>-0.0675</w:t>
            </w:r>
          </w:p>
        </w:tc>
        <w:tc>
          <w:tcPr>
            <w:tcW w:w="917" w:type="dxa"/>
          </w:tcPr>
          <w:p w14:paraId="7E840C59">
            <w:pPr>
              <w:spacing w:before="0" w:after="0" w:line="240" w:lineRule="auto"/>
              <w:jc w:val="center"/>
            </w:pPr>
            <w:r>
              <w:rPr>
                <w:rFonts w:ascii="Times New Roman" w:hAnsi="Times New Roman" w:eastAsia="宋体"/>
                <w:b w:val="0"/>
                <w:sz w:val="15"/>
              </w:rPr>
              <w:t>-0.532</w:t>
            </w:r>
          </w:p>
        </w:tc>
        <w:tc>
          <w:tcPr>
            <w:tcW w:w="1376" w:type="dxa"/>
          </w:tcPr>
          <w:p w14:paraId="7B9F71F2">
            <w:pPr>
              <w:spacing w:before="0" w:after="0" w:line="240" w:lineRule="auto"/>
              <w:jc w:val="center"/>
            </w:pPr>
            <w:r>
              <w:rPr>
                <w:rFonts w:ascii="Times New Roman" w:hAnsi="Times New Roman" w:eastAsia="宋体"/>
                <w:b w:val="0"/>
                <w:sz w:val="15"/>
              </w:rPr>
              <w:t>不显著</w:t>
            </w:r>
          </w:p>
        </w:tc>
        <w:tc>
          <w:tcPr>
            <w:tcW w:w="1380" w:type="dxa"/>
          </w:tcPr>
          <w:p w14:paraId="40616D36">
            <w:pPr>
              <w:spacing w:before="0" w:after="0" w:line="240" w:lineRule="auto"/>
              <w:jc w:val="center"/>
            </w:pPr>
            <w:r>
              <w:rPr>
                <w:rFonts w:ascii="Times New Roman" w:hAnsi="Times New Roman" w:eastAsia="宋体"/>
                <w:b w:val="0"/>
                <w:sz w:val="15"/>
              </w:rPr>
              <w:t>11571</w:t>
            </w:r>
          </w:p>
        </w:tc>
      </w:tr>
    </w:tbl>
    <w:p w14:paraId="1A490307">
      <w:pPr>
        <w:spacing w:before="40" w:after="120" w:line="240" w:lineRule="auto"/>
        <w:ind w:firstLine="180" w:firstLineChars="100"/>
        <w:jc w:val="left"/>
      </w:pPr>
      <w:r>
        <w:rPr>
          <w:rFonts w:ascii="Times New Roman" w:hAnsi="Times New Roman" w:eastAsia="宋体"/>
          <w:b w:val="0"/>
          <w:sz w:val="18"/>
        </w:rPr>
        <w:t>注：***表示1%水平显著；三个方程的被解释变量分别为各维度的标准化取值，均控制企业、年份固定效应及全部控制变量。</w:t>
      </w:r>
    </w:p>
    <w:p w14:paraId="27311DAF">
      <w:pPr>
        <w:spacing w:before="0" w:after="0" w:line="240" w:lineRule="auto"/>
        <w:ind w:firstLine="420" w:firstLineChars="200"/>
        <w:jc w:val="both"/>
      </w:pPr>
      <w:r>
        <w:rPr>
          <w:rFonts w:ascii="Times New Roman" w:hAnsi="Times New Roman" w:eastAsia="宋体"/>
          <w:b w:val="0"/>
          <w:sz w:val="21"/>
        </w:rPr>
        <w:t>3.碳信息披露口径的结构断点。碳披露词频的企业均值2019年为0.98次，2020年升至2.97次，2024年达13.42次。这一跃升源于“双碳”目标提出后监管强制披露要求的变化，属测量口径变动，而非企业行为的自然变化。</w:t>
      </w:r>
    </w:p>
    <w:p w14:paraId="5B3FA580">
      <w:pPr>
        <w:spacing w:before="0" w:after="0" w:line="240" w:lineRule="auto"/>
        <w:ind w:firstLine="420" w:firstLineChars="200"/>
        <w:jc w:val="both"/>
      </w:pPr>
      <w:r>
        <w:rPr>
          <w:rFonts w:ascii="Times New Roman" w:hAnsi="Times New Roman" w:eastAsia="宋体"/>
          <w:b w:val="0"/>
          <w:sz w:val="21"/>
        </w:rPr>
        <w:t>碳信息披露口径结构断点的检验结果如表12所示。</w:t>
      </w:r>
    </w:p>
    <w:p w14:paraId="5619DF52">
      <w:pPr>
        <w:spacing w:before="120" w:after="20" w:line="240" w:lineRule="auto"/>
        <w:jc w:val="center"/>
      </w:pPr>
      <w:r>
        <w:rPr>
          <w:rFonts w:ascii="Times New Roman" w:hAnsi="Times New Roman" w:eastAsia="黑体"/>
          <w:b w:val="0"/>
          <w:sz w:val="18"/>
        </w:rPr>
        <w:t>表12 碳信息披露口径结构断点的检验结果</w:t>
      </w:r>
    </w:p>
    <w:p w14:paraId="76F97859">
      <w:pPr>
        <w:spacing w:before="0" w:after="60" w:line="240" w:lineRule="auto"/>
        <w:jc w:val="center"/>
      </w:pPr>
      <w:r>
        <w:rPr>
          <w:rFonts w:ascii="Times New Roman" w:hAnsi="Times New Roman" w:eastAsia="宋体"/>
          <w:b w:val="0"/>
          <w:sz w:val="16"/>
        </w:rPr>
        <w:t>Table 12 Structural break test of carbon disclosure measurement</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141"/>
        <w:gridCol w:w="2141"/>
        <w:gridCol w:w="2141"/>
        <w:gridCol w:w="3215"/>
      </w:tblGrid>
      <w:tr w14:paraId="270259E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41" w:type="dxa"/>
            <w:tcBorders>
              <w:bottom w:val="single" w:color="auto" w:sz="8" w:space="0"/>
            </w:tcBorders>
          </w:tcPr>
          <w:p w14:paraId="271705A1">
            <w:pPr>
              <w:spacing w:before="0" w:after="0" w:line="240" w:lineRule="auto"/>
              <w:jc w:val="center"/>
            </w:pPr>
            <w:r>
              <w:rPr>
                <w:rFonts w:ascii="Times New Roman" w:hAnsi="Times New Roman" w:eastAsia="宋体"/>
                <w:b/>
                <w:sz w:val="15"/>
              </w:rPr>
              <w:t>变量</w:t>
            </w:r>
          </w:p>
        </w:tc>
        <w:tc>
          <w:tcPr>
            <w:tcW w:w="2141" w:type="dxa"/>
            <w:tcBorders>
              <w:bottom w:val="single" w:color="auto" w:sz="8" w:space="0"/>
            </w:tcBorders>
          </w:tcPr>
          <w:p w14:paraId="627560D1">
            <w:pPr>
              <w:spacing w:before="0" w:after="0" w:line="240" w:lineRule="auto"/>
              <w:jc w:val="center"/>
            </w:pPr>
            <w:r>
              <w:rPr>
                <w:rFonts w:ascii="Times New Roman" w:hAnsi="Times New Roman" w:eastAsia="宋体"/>
                <w:b/>
                <w:sz w:val="15"/>
              </w:rPr>
              <w:t>系数</w:t>
            </w:r>
          </w:p>
        </w:tc>
        <w:tc>
          <w:tcPr>
            <w:tcW w:w="2141" w:type="dxa"/>
            <w:tcBorders>
              <w:bottom w:val="single" w:color="auto" w:sz="8" w:space="0"/>
            </w:tcBorders>
          </w:tcPr>
          <w:p w14:paraId="3ADBCD4E">
            <w:pPr>
              <w:spacing w:before="0" w:after="0" w:line="240" w:lineRule="auto"/>
              <w:jc w:val="center"/>
            </w:pPr>
            <w:r>
              <w:rPr>
                <w:rFonts w:ascii="Times New Roman" w:hAnsi="Times New Roman" w:eastAsia="宋体"/>
                <w:b/>
                <w:sz w:val="15"/>
              </w:rPr>
              <w:t>t值</w:t>
            </w:r>
          </w:p>
        </w:tc>
        <w:tc>
          <w:tcPr>
            <w:tcW w:w="3215" w:type="dxa"/>
            <w:tcBorders>
              <w:bottom w:val="single" w:color="auto" w:sz="8" w:space="0"/>
            </w:tcBorders>
          </w:tcPr>
          <w:p w14:paraId="0DA114E4">
            <w:pPr>
              <w:spacing w:before="0" w:after="0" w:line="240" w:lineRule="auto"/>
              <w:jc w:val="center"/>
            </w:pPr>
            <w:r>
              <w:rPr>
                <w:rFonts w:ascii="Times New Roman" w:hAnsi="Times New Roman" w:eastAsia="宋体"/>
                <w:b/>
                <w:sz w:val="15"/>
              </w:rPr>
              <w:t>显著性</w:t>
            </w:r>
          </w:p>
        </w:tc>
      </w:tr>
      <w:tr w14:paraId="7E371C7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41" w:type="dxa"/>
          </w:tcPr>
          <w:p w14:paraId="4D9E56D3">
            <w:pPr>
              <w:spacing w:before="0" w:after="0" w:line="240" w:lineRule="auto"/>
              <w:jc w:val="center"/>
            </w:pPr>
            <w:r>
              <w:rPr>
                <w:rFonts w:ascii="Times New Roman" w:hAnsi="Times New Roman" w:eastAsia="宋体"/>
                <w:b w:val="0"/>
                <w:sz w:val="15"/>
              </w:rPr>
              <w:t>Digit（2020年以前效应）</w:t>
            </w:r>
          </w:p>
        </w:tc>
        <w:tc>
          <w:tcPr>
            <w:tcW w:w="2141" w:type="dxa"/>
          </w:tcPr>
          <w:p w14:paraId="155DC65B">
            <w:pPr>
              <w:spacing w:before="0" w:after="0" w:line="240" w:lineRule="auto"/>
              <w:jc w:val="center"/>
            </w:pPr>
            <w:r>
              <w:rPr>
                <w:rFonts w:ascii="Times New Roman" w:hAnsi="Times New Roman" w:eastAsia="宋体"/>
                <w:b w:val="0"/>
                <w:sz w:val="15"/>
              </w:rPr>
              <w:t>0.0046</w:t>
            </w:r>
          </w:p>
        </w:tc>
        <w:tc>
          <w:tcPr>
            <w:tcW w:w="2141" w:type="dxa"/>
          </w:tcPr>
          <w:p w14:paraId="2DA748E3">
            <w:pPr>
              <w:spacing w:before="0" w:after="0" w:line="240" w:lineRule="auto"/>
              <w:jc w:val="center"/>
            </w:pPr>
            <w:r>
              <w:rPr>
                <w:rFonts w:ascii="Times New Roman" w:hAnsi="Times New Roman" w:eastAsia="宋体"/>
                <w:b w:val="0"/>
                <w:sz w:val="15"/>
              </w:rPr>
              <w:t>0.298</w:t>
            </w:r>
          </w:p>
        </w:tc>
        <w:tc>
          <w:tcPr>
            <w:tcW w:w="3215" w:type="dxa"/>
          </w:tcPr>
          <w:p w14:paraId="01531216">
            <w:pPr>
              <w:spacing w:before="0" w:after="0" w:line="240" w:lineRule="auto"/>
              <w:jc w:val="center"/>
            </w:pPr>
            <w:r>
              <w:rPr>
                <w:rFonts w:ascii="Times New Roman" w:hAnsi="Times New Roman" w:eastAsia="宋体"/>
                <w:b w:val="0"/>
                <w:sz w:val="15"/>
              </w:rPr>
              <w:t>不显著</w:t>
            </w:r>
          </w:p>
        </w:tc>
      </w:tr>
      <w:tr w14:paraId="753B8821">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41" w:type="dxa"/>
          </w:tcPr>
          <w:p w14:paraId="45FA3FF9">
            <w:pPr>
              <w:spacing w:before="0" w:after="0" w:line="240" w:lineRule="auto"/>
              <w:jc w:val="center"/>
            </w:pPr>
            <w:r>
              <w:rPr>
                <w:rFonts w:ascii="Times New Roman" w:hAnsi="Times New Roman" w:eastAsia="宋体"/>
                <w:b w:val="0"/>
                <w:sz w:val="15"/>
              </w:rPr>
              <w:t>Post2020（口径跃升）</w:t>
            </w:r>
          </w:p>
        </w:tc>
        <w:tc>
          <w:tcPr>
            <w:tcW w:w="2141" w:type="dxa"/>
          </w:tcPr>
          <w:p w14:paraId="2F7D4E4C">
            <w:pPr>
              <w:spacing w:before="0" w:after="0" w:line="240" w:lineRule="auto"/>
              <w:jc w:val="center"/>
            </w:pPr>
            <w:r>
              <w:rPr>
                <w:rFonts w:ascii="Times New Roman" w:hAnsi="Times New Roman" w:eastAsia="宋体"/>
                <w:b w:val="0"/>
                <w:sz w:val="15"/>
              </w:rPr>
              <w:t>—</w:t>
            </w:r>
          </w:p>
        </w:tc>
        <w:tc>
          <w:tcPr>
            <w:tcW w:w="2141" w:type="dxa"/>
          </w:tcPr>
          <w:p w14:paraId="1C6A2E1B">
            <w:pPr>
              <w:spacing w:before="0" w:after="0" w:line="240" w:lineRule="auto"/>
              <w:jc w:val="center"/>
            </w:pPr>
            <w:r>
              <w:rPr>
                <w:rFonts w:ascii="Times New Roman" w:hAnsi="Times New Roman" w:eastAsia="宋体"/>
                <w:b w:val="0"/>
                <w:sz w:val="15"/>
              </w:rPr>
              <w:t>—</w:t>
            </w:r>
          </w:p>
        </w:tc>
        <w:tc>
          <w:tcPr>
            <w:tcW w:w="3215" w:type="dxa"/>
          </w:tcPr>
          <w:p w14:paraId="24DD86AB">
            <w:pPr>
              <w:spacing w:before="0" w:after="0" w:line="240" w:lineRule="auto"/>
              <w:jc w:val="center"/>
            </w:pPr>
            <w:r>
              <w:rPr>
                <w:rFonts w:ascii="Times New Roman" w:hAnsi="Times New Roman" w:eastAsia="宋体"/>
                <w:b w:val="0"/>
                <w:sz w:val="15"/>
              </w:rPr>
              <w:t>被年份固定效应吸收</w:t>
            </w:r>
          </w:p>
        </w:tc>
      </w:tr>
      <w:tr w14:paraId="22E2A07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141" w:type="dxa"/>
          </w:tcPr>
          <w:p w14:paraId="32CA87DF">
            <w:pPr>
              <w:spacing w:before="0" w:after="0" w:line="240" w:lineRule="auto"/>
              <w:jc w:val="center"/>
            </w:pPr>
            <w:r>
              <w:rPr>
                <w:rFonts w:ascii="Times New Roman" w:hAnsi="Times New Roman" w:eastAsia="宋体"/>
                <w:b w:val="0"/>
                <w:sz w:val="15"/>
              </w:rPr>
              <w:t>Digit×Post2020</w:t>
            </w:r>
          </w:p>
        </w:tc>
        <w:tc>
          <w:tcPr>
            <w:tcW w:w="2141" w:type="dxa"/>
          </w:tcPr>
          <w:p w14:paraId="12F06A4D">
            <w:pPr>
              <w:spacing w:before="0" w:after="0" w:line="240" w:lineRule="auto"/>
              <w:jc w:val="center"/>
            </w:pPr>
            <w:r>
              <w:rPr>
                <w:rFonts w:ascii="Times New Roman" w:hAnsi="Times New Roman" w:eastAsia="宋体"/>
                <w:b w:val="0"/>
                <w:sz w:val="15"/>
              </w:rPr>
              <w:t>0.0396</w:t>
            </w:r>
          </w:p>
        </w:tc>
        <w:tc>
          <w:tcPr>
            <w:tcW w:w="2141" w:type="dxa"/>
          </w:tcPr>
          <w:p w14:paraId="75892B6E">
            <w:pPr>
              <w:spacing w:before="0" w:after="0" w:line="240" w:lineRule="auto"/>
              <w:jc w:val="center"/>
            </w:pPr>
            <w:r>
              <w:rPr>
                <w:rFonts w:ascii="Times New Roman" w:hAnsi="Times New Roman" w:eastAsia="宋体"/>
                <w:b w:val="0"/>
                <w:sz w:val="15"/>
              </w:rPr>
              <w:t>2.505</w:t>
            </w:r>
          </w:p>
        </w:tc>
        <w:tc>
          <w:tcPr>
            <w:tcW w:w="3215" w:type="dxa"/>
          </w:tcPr>
          <w:p w14:paraId="02BCF72C">
            <w:pPr>
              <w:spacing w:before="0" w:after="0" w:line="240" w:lineRule="auto"/>
              <w:jc w:val="center"/>
            </w:pPr>
            <w:r>
              <w:rPr>
                <w:rFonts w:ascii="Times New Roman" w:hAnsi="Times New Roman" w:eastAsia="宋体"/>
                <w:b w:val="0"/>
                <w:sz w:val="15"/>
              </w:rPr>
              <w:t>**</w:t>
            </w:r>
          </w:p>
        </w:tc>
      </w:tr>
    </w:tbl>
    <w:p w14:paraId="7322D040">
      <w:pPr>
        <w:spacing w:before="40" w:after="120" w:line="240" w:lineRule="auto"/>
        <w:ind w:firstLine="180" w:firstLineChars="100"/>
        <w:jc w:val="left"/>
      </w:pPr>
      <w:r>
        <w:rPr>
          <w:rFonts w:ascii="Times New Roman" w:hAnsi="Times New Roman" w:eastAsia="宋体"/>
          <w:b w:val="0"/>
          <w:sz w:val="18"/>
        </w:rPr>
        <w:t>注：**表示5%水平显著；Post2020为2020年及以后取1的时间虚拟变量，在控制年份固定效应的模型中被完全吸收；交互项衡量数智赋能效应在披露口径变动前后的差异。</w:t>
      </w:r>
    </w:p>
    <w:p w14:paraId="5459CAD5">
      <w:pPr>
        <w:spacing w:before="0" w:after="0" w:line="240" w:lineRule="auto"/>
        <w:ind w:firstLine="420" w:firstLineChars="200"/>
        <w:jc w:val="both"/>
      </w:pPr>
      <w:r>
        <w:rPr>
          <w:rFonts w:ascii="Times New Roman" w:hAnsi="Times New Roman" w:eastAsia="宋体"/>
          <w:b w:val="0"/>
          <w:sz w:val="21"/>
        </w:rPr>
        <w:t>三方面检验指向同一个判断：数智技术赋能的环境效应真实存在，但集中在绿色创新这一个维度上。</w:t>
      </w:r>
    </w:p>
    <w:p w14:paraId="18DAB3CD">
      <w:pPr>
        <w:spacing w:before="0" w:after="0" w:line="240" w:lineRule="auto"/>
        <w:ind w:firstLine="420" w:firstLineChars="200"/>
        <w:jc w:val="both"/>
      </w:pPr>
      <w:r>
        <w:rPr>
          <w:rFonts w:ascii="Times New Roman" w:hAnsi="Times New Roman" w:eastAsia="宋体"/>
          <w:b w:val="0"/>
          <w:sz w:val="21"/>
        </w:rPr>
        <w:t>综合指数之所以不显著，是维度异质性与披露口径变动共同稀释的结果，而不是“数智技术没有环境效果”。这一点需要特别提醒：综合指数适合刻画企业在合规与投入上的总体表现，用它去检验某一类技术的作用，信号容易被无关维度摊薄；若只报告综合指数一项，读者很可能得出相反结论。后文的机制检验因此以绿色技术创新这一可稳健识别的维度为主线，综合指数结果仅作总体参照。</w:t>
      </w:r>
    </w:p>
    <w:p w14:paraId="6206128D">
      <w:pPr>
        <w:spacing w:before="160" w:after="80" w:line="240" w:lineRule="auto"/>
        <w:jc w:val="left"/>
      </w:pPr>
      <w:r>
        <w:rPr>
          <w:rFonts w:ascii="Times New Roman" w:hAnsi="Times New Roman" w:eastAsia="黑体"/>
          <w:b/>
          <w:sz w:val="21"/>
        </w:rPr>
        <w:t>5.5 稳健性检验与内生性处理</w:t>
      </w:r>
    </w:p>
    <w:p w14:paraId="3BDBD44B">
      <w:pPr>
        <w:spacing w:before="0" w:after="0" w:line="240" w:lineRule="auto"/>
        <w:ind w:firstLine="420" w:firstLineChars="200"/>
        <w:jc w:val="both"/>
      </w:pPr>
      <w:r>
        <w:rPr>
          <w:rFonts w:ascii="Times New Roman" w:hAnsi="Times New Roman" w:eastAsia="宋体"/>
          <w:b w:val="0"/>
          <w:sz w:val="21"/>
        </w:rPr>
        <w:t>1.替换被解释变量。先看绿色专利产出。以当年申请的绿色专利数量（加1取对数）替代，数智技术赋能的系数为0.0873，1%水平显著为正；改用当年获得的绿色专利数量（加1取对数），系数为0.0549，5%水平显著为正，该回归同时充当绿色技术创新机制检验的第二步。再看综合指数口径。考虑到碳信息披露词频的口径性跃升，剔除该维度后重新合成环境绩效，系数升至0.0328，10%水平显著。两种口径的对照说明：赋能对绿色创新产出的促进作用稳健，而综合指数下的估计受碳披露维度影响较大。</w:t>
      </w:r>
    </w:p>
    <w:p w14:paraId="7467B21C">
      <w:pPr>
        <w:spacing w:before="0" w:after="0" w:line="240" w:lineRule="auto"/>
        <w:ind w:firstLine="420" w:firstLineChars="200"/>
        <w:jc w:val="both"/>
      </w:pPr>
      <w:r>
        <w:rPr>
          <w:rFonts w:ascii="Times New Roman" w:hAnsi="Times New Roman" w:eastAsia="宋体"/>
          <w:b w:val="0"/>
          <w:sz w:val="21"/>
        </w:rPr>
        <w:t>2.替换核心解释变量。其一，以数字化相关无形资产占比单独作为核心解释变量，系数为-0.0260，统计上不显著（t=-0.578），说明单一资产占比口径难以完整刻画企业数智化水平。其二，以数据要素开发利用指数（2013—2024年子样本）作为替代口径，系数为0.1505，在5%水平显著为正，表明数据要素利用维度与基准结论方向一致。</w:t>
      </w:r>
    </w:p>
    <w:p w14:paraId="49469255">
      <w:pPr>
        <w:spacing w:before="0" w:after="0" w:line="240" w:lineRule="auto"/>
        <w:ind w:firstLine="420" w:firstLineChars="200"/>
        <w:jc w:val="both"/>
      </w:pPr>
      <w:r>
        <w:rPr>
          <w:rFonts w:ascii="Times New Roman" w:hAnsi="Times New Roman" w:eastAsia="宋体"/>
          <w:b w:val="0"/>
          <w:sz w:val="21"/>
        </w:rPr>
        <w:t>3.工具变量估计。反向因果是本文面临的主要识别威胁：环境绩效好的企业可能更有余力投入数字化。为此以企业所在省份数字经济政策词频（对数）作为工具变量。相关性方面，省级政策强度直接影响本地企业的数字化改造节奏，第一阶段F统计量为32.13，远高于10的经验临界值。排他性方面需要多说几句：政策词频度量的是地区政策供给的密集程度，其对企业环境绩效的作用主要经由数字化投入与数据要素配置实现；回归中已控制省级财政环保支出，企业个体固定效应吸收了不随时间变化的地区特征，年份固定效应吸收了全国性冲击，政策词频直接影响环境绩效的剩余通道相对有限。但这一约束并非无懈可击——政策环境也可能通过绿色信贷、用地指标等渠道间接影响企业环境行为，本文无法完全排除。因此2SLS的结果（系数0.3059，5%水平显著）宜作为稳健性参考，而非唯一的因果证据。</w:t>
      </w:r>
    </w:p>
    <w:p w14:paraId="61F408F5">
      <w:pPr>
        <w:spacing w:before="0" w:after="0" w:line="240" w:lineRule="auto"/>
        <w:ind w:firstLine="420" w:firstLineChars="200"/>
        <w:jc w:val="both"/>
      </w:pPr>
      <w:r>
        <w:rPr>
          <w:rFonts w:ascii="Times New Roman" w:hAnsi="Times New Roman" w:eastAsia="宋体"/>
          <w:b w:val="0"/>
          <w:sz w:val="21"/>
        </w:rPr>
        <w:t>4.滞后检验。把数智赋能滞后1期与2期重新估计，系数分别为0.0166（t=1.051）与0.0227（t=1.312），方向为正但都不显著。这一结果不宜简单读作“效应不存在”，更可能是三方面原因叠加：其一，数字化投入要经过流程改造、设备调试与研发尝试才能转化为绿色产出，一两年的滞后期未必覆盖完整传导；其二，样本期内企业数字化水平整体上行，滞后项与年份固定效应高度共线，估计精度被明显削弱；其三，绿色专利从申请到形成减排效果还隔着更长的时滞。因此本文把滞后检验的结论限定为“持续性尚未确认”，当期效应仍以基准回归与机制检验为准。</w:t>
      </w:r>
    </w:p>
    <w:p w14:paraId="65A59956">
      <w:pPr>
        <w:spacing w:before="0" w:after="0" w:line="240" w:lineRule="auto"/>
        <w:ind w:firstLine="420" w:firstLineChars="200"/>
        <w:jc w:val="both"/>
      </w:pPr>
      <w:r>
        <w:rPr>
          <w:rFonts w:ascii="Times New Roman" w:hAnsi="Times New Roman" w:eastAsia="宋体"/>
          <w:b w:val="0"/>
          <w:sz w:val="21"/>
        </w:rPr>
        <w:t>5.样本调整。考虑到2024年绿色专利申请数据因公开时滞尚不完整，剔除2024年样本重新估计，系数为0.0182（t=1.171），与基准结果一致（均不显著），表明基准结论不受该年度数据质量影响。</w:t>
      </w:r>
    </w:p>
    <w:p w14:paraId="75AA0FAB">
      <w:pPr>
        <w:spacing w:before="0" w:after="0" w:line="240" w:lineRule="auto"/>
        <w:ind w:firstLine="420" w:firstLineChars="200"/>
        <w:jc w:val="both"/>
      </w:pPr>
      <w:r>
        <w:rPr>
          <w:rFonts w:ascii="Times New Roman" w:hAnsi="Times New Roman" w:eastAsia="宋体"/>
          <w:b w:val="0"/>
          <w:sz w:val="21"/>
        </w:rPr>
        <w:t>本文另做三项计量诊断。一是标准误的聚类方式。地区变量在省份—年度内取值相同，若仅按企业聚类会低估其标准误，故补充按省份—年度聚类以及企业、省份—年度双向聚类的估计，核心系数为0.020（t=1.345），与基准结果一致。二是多重共线性。解释变量的VIF最大值为2.951，均值1.619，远低于经验阈值；剔除任一控制变量后核心系数变动幅度不超过0.004，说明变量间不存在严重共线性。三是权重矩阵的敏感性。行业与省份两类权重下ρ均显著为正，同群联动效应稳健；而间接效应在两类权重下均不显著，进一步支持"未发现稳健溢出证据"的判断。</w:t>
      </w:r>
    </w:p>
    <w:p w14:paraId="4747ECE0">
      <w:pPr>
        <w:spacing w:before="0" w:after="0" w:line="240" w:lineRule="auto"/>
        <w:ind w:firstLine="420" w:firstLineChars="200"/>
        <w:jc w:val="both"/>
      </w:pPr>
      <w:r>
        <w:rPr>
          <w:rFonts w:ascii="Times New Roman" w:hAnsi="Times New Roman" w:eastAsia="宋体"/>
          <w:b w:val="0"/>
          <w:sz w:val="21"/>
        </w:rPr>
        <w:t>稳健性检验与内生性处理的结果汇总于表13。</w:t>
      </w:r>
    </w:p>
    <w:p w14:paraId="380FB47D">
      <w:pPr>
        <w:spacing w:before="120" w:after="20" w:line="240" w:lineRule="auto"/>
        <w:jc w:val="center"/>
      </w:pPr>
      <w:r>
        <w:rPr>
          <w:rFonts w:ascii="Times New Roman" w:hAnsi="Times New Roman" w:eastAsia="黑体"/>
          <w:b w:val="0"/>
          <w:sz w:val="18"/>
        </w:rPr>
        <w:t>表13 稳健性检验与内生性处理结果</w:t>
      </w:r>
    </w:p>
    <w:p w14:paraId="5285493B">
      <w:pPr>
        <w:spacing w:before="0" w:after="60" w:line="240" w:lineRule="auto"/>
        <w:jc w:val="center"/>
      </w:pPr>
      <w:r>
        <w:rPr>
          <w:rFonts w:ascii="Times New Roman" w:hAnsi="Times New Roman" w:eastAsia="宋体"/>
          <w:b w:val="0"/>
          <w:sz w:val="16"/>
        </w:rPr>
        <w:t>Table 13 Robustness checks and endogeneity treatment</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365"/>
        <w:gridCol w:w="2482"/>
        <w:gridCol w:w="981"/>
        <w:gridCol w:w="880"/>
        <w:gridCol w:w="900"/>
        <w:gridCol w:w="2030"/>
      </w:tblGrid>
      <w:tr w14:paraId="412005E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Borders>
              <w:bottom w:val="single" w:color="auto" w:sz="8" w:space="0"/>
            </w:tcBorders>
          </w:tcPr>
          <w:p w14:paraId="3C60D005">
            <w:pPr>
              <w:spacing w:before="0" w:after="0" w:line="240" w:lineRule="auto"/>
              <w:jc w:val="center"/>
            </w:pPr>
            <w:r>
              <w:rPr>
                <w:rFonts w:ascii="Times New Roman" w:hAnsi="Times New Roman" w:eastAsia="宋体"/>
                <w:b/>
                <w:sz w:val="15"/>
              </w:rPr>
              <w:t>检验方式</w:t>
            </w:r>
          </w:p>
        </w:tc>
        <w:tc>
          <w:tcPr>
            <w:tcW w:w="2482" w:type="dxa"/>
            <w:tcBorders>
              <w:bottom w:val="single" w:color="auto" w:sz="8" w:space="0"/>
            </w:tcBorders>
          </w:tcPr>
          <w:p w14:paraId="26EF486E">
            <w:pPr>
              <w:spacing w:before="0" w:after="0" w:line="240" w:lineRule="auto"/>
              <w:jc w:val="center"/>
            </w:pPr>
            <w:r>
              <w:rPr>
                <w:rFonts w:ascii="Times New Roman" w:hAnsi="Times New Roman" w:eastAsia="宋体"/>
                <w:b/>
                <w:sz w:val="15"/>
              </w:rPr>
              <w:t>具体设定</w:t>
            </w:r>
          </w:p>
        </w:tc>
        <w:tc>
          <w:tcPr>
            <w:tcW w:w="981" w:type="dxa"/>
            <w:tcBorders>
              <w:bottom w:val="single" w:color="auto" w:sz="8" w:space="0"/>
            </w:tcBorders>
          </w:tcPr>
          <w:p w14:paraId="7E1F471A">
            <w:pPr>
              <w:spacing w:before="0" w:after="0" w:line="240" w:lineRule="auto"/>
              <w:jc w:val="center"/>
            </w:pPr>
            <w:r>
              <w:rPr>
                <w:rFonts w:ascii="Times New Roman" w:hAnsi="Times New Roman" w:eastAsia="宋体"/>
                <w:b/>
                <w:sz w:val="15"/>
              </w:rPr>
              <w:t>系数</w:t>
            </w:r>
          </w:p>
        </w:tc>
        <w:tc>
          <w:tcPr>
            <w:tcW w:w="880" w:type="dxa"/>
            <w:tcBorders>
              <w:bottom w:val="single" w:color="auto" w:sz="8" w:space="0"/>
            </w:tcBorders>
          </w:tcPr>
          <w:p w14:paraId="7A19081C">
            <w:pPr>
              <w:spacing w:before="0" w:after="0" w:line="240" w:lineRule="auto"/>
              <w:jc w:val="center"/>
            </w:pPr>
            <w:r>
              <w:rPr>
                <w:rFonts w:ascii="Times New Roman" w:hAnsi="Times New Roman" w:eastAsia="宋体"/>
                <w:b/>
                <w:sz w:val="15"/>
              </w:rPr>
              <w:t>t值</w:t>
            </w:r>
          </w:p>
        </w:tc>
        <w:tc>
          <w:tcPr>
            <w:tcW w:w="900" w:type="dxa"/>
            <w:tcBorders>
              <w:bottom w:val="single" w:color="auto" w:sz="8" w:space="0"/>
            </w:tcBorders>
          </w:tcPr>
          <w:p w14:paraId="3542A14C">
            <w:pPr>
              <w:spacing w:before="0" w:after="0" w:line="240" w:lineRule="auto"/>
              <w:jc w:val="center"/>
            </w:pPr>
            <w:r>
              <w:rPr>
                <w:rFonts w:ascii="Times New Roman" w:hAnsi="Times New Roman" w:eastAsia="宋体"/>
                <w:b/>
                <w:sz w:val="15"/>
              </w:rPr>
              <w:t>N</w:t>
            </w:r>
          </w:p>
        </w:tc>
        <w:tc>
          <w:tcPr>
            <w:tcW w:w="2030" w:type="dxa"/>
            <w:tcBorders>
              <w:bottom w:val="single" w:color="auto" w:sz="8" w:space="0"/>
            </w:tcBorders>
          </w:tcPr>
          <w:p w14:paraId="478E9854">
            <w:pPr>
              <w:spacing w:before="0" w:after="0" w:line="240" w:lineRule="auto"/>
              <w:jc w:val="center"/>
            </w:pPr>
            <w:r>
              <w:rPr>
                <w:rFonts w:ascii="Times New Roman" w:hAnsi="Times New Roman" w:eastAsia="宋体"/>
                <w:b/>
                <w:sz w:val="15"/>
              </w:rPr>
              <w:t>结论</w:t>
            </w:r>
          </w:p>
        </w:tc>
      </w:tr>
      <w:tr w14:paraId="4E6AC3C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025893DF">
            <w:pPr>
              <w:spacing w:before="0" w:after="0" w:line="240" w:lineRule="auto"/>
              <w:jc w:val="center"/>
            </w:pPr>
            <w:r>
              <w:rPr>
                <w:rFonts w:ascii="Times New Roman" w:hAnsi="Times New Roman" w:eastAsia="宋体"/>
                <w:b w:val="0"/>
                <w:sz w:val="15"/>
              </w:rPr>
              <w:t>替换被解释变量</w:t>
            </w:r>
          </w:p>
        </w:tc>
        <w:tc>
          <w:tcPr>
            <w:tcW w:w="2482" w:type="dxa"/>
          </w:tcPr>
          <w:p w14:paraId="153E7173">
            <w:pPr>
              <w:spacing w:before="0" w:after="0" w:line="240" w:lineRule="auto"/>
              <w:jc w:val="center"/>
            </w:pPr>
            <w:r>
              <w:rPr>
                <w:rFonts w:ascii="Times New Roman" w:hAnsi="Times New Roman" w:eastAsia="宋体"/>
                <w:b w:val="0"/>
                <w:sz w:val="15"/>
              </w:rPr>
              <w:t>绿色专利申请量对数</w:t>
            </w:r>
          </w:p>
        </w:tc>
        <w:tc>
          <w:tcPr>
            <w:tcW w:w="981" w:type="dxa"/>
          </w:tcPr>
          <w:p w14:paraId="38C8CCC1">
            <w:pPr>
              <w:spacing w:before="0" w:after="0" w:line="240" w:lineRule="auto"/>
              <w:jc w:val="center"/>
            </w:pPr>
            <w:r>
              <w:rPr>
                <w:rFonts w:ascii="Times New Roman" w:hAnsi="Times New Roman" w:eastAsia="宋体"/>
                <w:b w:val="0"/>
                <w:sz w:val="15"/>
              </w:rPr>
              <w:t>0.0873</w:t>
            </w:r>
          </w:p>
        </w:tc>
        <w:tc>
          <w:tcPr>
            <w:tcW w:w="880" w:type="dxa"/>
          </w:tcPr>
          <w:p w14:paraId="121DFAD7">
            <w:pPr>
              <w:spacing w:before="0" w:after="0" w:line="240" w:lineRule="auto"/>
              <w:jc w:val="center"/>
            </w:pPr>
            <w:r>
              <w:rPr>
                <w:rFonts w:ascii="Times New Roman" w:hAnsi="Times New Roman" w:eastAsia="宋体"/>
                <w:b w:val="0"/>
                <w:sz w:val="15"/>
              </w:rPr>
              <w:t>3.481</w:t>
            </w:r>
          </w:p>
        </w:tc>
        <w:tc>
          <w:tcPr>
            <w:tcW w:w="900" w:type="dxa"/>
          </w:tcPr>
          <w:p w14:paraId="27AF2AA5">
            <w:pPr>
              <w:spacing w:before="0" w:after="0" w:line="240" w:lineRule="auto"/>
              <w:jc w:val="center"/>
            </w:pPr>
            <w:r>
              <w:rPr>
                <w:rFonts w:ascii="Times New Roman" w:hAnsi="Times New Roman" w:eastAsia="宋体"/>
                <w:b w:val="0"/>
                <w:sz w:val="15"/>
              </w:rPr>
              <w:t>11571</w:t>
            </w:r>
          </w:p>
        </w:tc>
        <w:tc>
          <w:tcPr>
            <w:tcW w:w="2030" w:type="dxa"/>
          </w:tcPr>
          <w:p w14:paraId="4F635098">
            <w:pPr>
              <w:spacing w:before="0" w:after="0" w:line="240" w:lineRule="auto"/>
              <w:jc w:val="center"/>
            </w:pPr>
            <w:r>
              <w:rPr>
                <w:rFonts w:ascii="Times New Roman" w:hAnsi="Times New Roman" w:eastAsia="宋体"/>
                <w:b w:val="0"/>
                <w:sz w:val="15"/>
              </w:rPr>
              <w:t>1%水平显著为正</w:t>
            </w:r>
          </w:p>
        </w:tc>
      </w:tr>
      <w:tr w14:paraId="406038E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6EDE7225">
            <w:pPr>
              <w:spacing w:before="0" w:after="0" w:line="240" w:lineRule="auto"/>
              <w:jc w:val="center"/>
            </w:pPr>
            <w:r>
              <w:rPr>
                <w:rFonts w:ascii="Times New Roman" w:hAnsi="Times New Roman" w:eastAsia="宋体"/>
                <w:b w:val="0"/>
                <w:sz w:val="15"/>
              </w:rPr>
              <w:t>替换被解释变量</w:t>
            </w:r>
          </w:p>
        </w:tc>
        <w:tc>
          <w:tcPr>
            <w:tcW w:w="2482" w:type="dxa"/>
          </w:tcPr>
          <w:p w14:paraId="11C25C23">
            <w:pPr>
              <w:spacing w:before="0" w:after="0" w:line="240" w:lineRule="auto"/>
              <w:jc w:val="center"/>
            </w:pPr>
            <w:r>
              <w:rPr>
                <w:rFonts w:ascii="Times New Roman" w:hAnsi="Times New Roman" w:eastAsia="宋体"/>
                <w:b w:val="0"/>
                <w:sz w:val="15"/>
              </w:rPr>
              <w:t>绿色专利获得量对数</w:t>
            </w:r>
          </w:p>
        </w:tc>
        <w:tc>
          <w:tcPr>
            <w:tcW w:w="981" w:type="dxa"/>
          </w:tcPr>
          <w:p w14:paraId="38266658">
            <w:pPr>
              <w:spacing w:before="0" w:after="0" w:line="240" w:lineRule="auto"/>
              <w:jc w:val="center"/>
            </w:pPr>
            <w:r>
              <w:rPr>
                <w:rFonts w:ascii="Times New Roman" w:hAnsi="Times New Roman" w:eastAsia="宋体"/>
                <w:b w:val="0"/>
                <w:sz w:val="15"/>
              </w:rPr>
              <w:t>0.0549</w:t>
            </w:r>
          </w:p>
        </w:tc>
        <w:tc>
          <w:tcPr>
            <w:tcW w:w="880" w:type="dxa"/>
          </w:tcPr>
          <w:p w14:paraId="4D77033E">
            <w:pPr>
              <w:spacing w:before="0" w:after="0" w:line="240" w:lineRule="auto"/>
              <w:jc w:val="center"/>
            </w:pPr>
            <w:r>
              <w:rPr>
                <w:rFonts w:ascii="Times New Roman" w:hAnsi="Times New Roman" w:eastAsia="宋体"/>
                <w:b w:val="0"/>
                <w:sz w:val="15"/>
              </w:rPr>
              <w:t>2.477</w:t>
            </w:r>
          </w:p>
        </w:tc>
        <w:tc>
          <w:tcPr>
            <w:tcW w:w="900" w:type="dxa"/>
          </w:tcPr>
          <w:p w14:paraId="159AECFC">
            <w:pPr>
              <w:spacing w:before="0" w:after="0" w:line="240" w:lineRule="auto"/>
              <w:jc w:val="center"/>
            </w:pPr>
            <w:r>
              <w:rPr>
                <w:rFonts w:ascii="Times New Roman" w:hAnsi="Times New Roman" w:eastAsia="宋体"/>
                <w:b w:val="0"/>
                <w:sz w:val="15"/>
              </w:rPr>
              <w:t>11571</w:t>
            </w:r>
          </w:p>
        </w:tc>
        <w:tc>
          <w:tcPr>
            <w:tcW w:w="2030" w:type="dxa"/>
          </w:tcPr>
          <w:p w14:paraId="1ED58B6C">
            <w:pPr>
              <w:spacing w:before="0" w:after="0" w:line="240" w:lineRule="auto"/>
              <w:jc w:val="center"/>
            </w:pPr>
            <w:r>
              <w:rPr>
                <w:rFonts w:ascii="Times New Roman" w:hAnsi="Times New Roman" w:eastAsia="宋体"/>
                <w:b w:val="0"/>
                <w:sz w:val="15"/>
              </w:rPr>
              <w:t>5%水平显著为正</w:t>
            </w:r>
          </w:p>
        </w:tc>
      </w:tr>
      <w:tr w14:paraId="7175A77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365" w:type="dxa"/>
          </w:tcPr>
          <w:p w14:paraId="1ACF3536">
            <w:pPr>
              <w:spacing w:before="0" w:after="0" w:line="240" w:lineRule="auto"/>
              <w:jc w:val="center"/>
            </w:pPr>
            <w:r>
              <w:rPr>
                <w:rFonts w:ascii="Times New Roman" w:hAnsi="Times New Roman" w:eastAsia="宋体"/>
                <w:b w:val="0"/>
                <w:sz w:val="15"/>
              </w:rPr>
              <w:t>替换被解释变量</w:t>
            </w:r>
          </w:p>
        </w:tc>
        <w:tc>
          <w:tcPr>
            <w:tcW w:w="2482" w:type="dxa"/>
          </w:tcPr>
          <w:p w14:paraId="3881DDBF">
            <w:pPr>
              <w:spacing w:before="0" w:after="0" w:line="240" w:lineRule="auto"/>
              <w:jc w:val="center"/>
            </w:pPr>
            <w:r>
              <w:rPr>
                <w:rFonts w:ascii="Times New Roman" w:hAnsi="Times New Roman" w:eastAsia="宋体"/>
                <w:b w:val="0"/>
                <w:sz w:val="15"/>
              </w:rPr>
              <w:t>环境绩效指数（剔除碳披露维度）</w:t>
            </w:r>
          </w:p>
        </w:tc>
        <w:tc>
          <w:tcPr>
            <w:tcW w:w="981" w:type="dxa"/>
          </w:tcPr>
          <w:p w14:paraId="0A55B0A4">
            <w:pPr>
              <w:spacing w:before="0" w:after="0" w:line="240" w:lineRule="auto"/>
              <w:jc w:val="center"/>
            </w:pPr>
            <w:r>
              <w:rPr>
                <w:rFonts w:ascii="Times New Roman" w:hAnsi="Times New Roman" w:eastAsia="宋体"/>
                <w:b w:val="0"/>
                <w:sz w:val="15"/>
              </w:rPr>
              <w:t>0.0328</w:t>
            </w:r>
          </w:p>
        </w:tc>
        <w:tc>
          <w:tcPr>
            <w:tcW w:w="880" w:type="dxa"/>
          </w:tcPr>
          <w:p w14:paraId="4E721166">
            <w:pPr>
              <w:spacing w:before="0" w:after="0" w:line="240" w:lineRule="auto"/>
              <w:jc w:val="center"/>
            </w:pPr>
            <w:r>
              <w:rPr>
                <w:rFonts w:ascii="Times New Roman" w:hAnsi="Times New Roman" w:eastAsia="宋体"/>
                <w:b w:val="0"/>
                <w:sz w:val="15"/>
              </w:rPr>
              <w:t>1.799</w:t>
            </w:r>
          </w:p>
        </w:tc>
        <w:tc>
          <w:tcPr>
            <w:tcW w:w="900" w:type="dxa"/>
          </w:tcPr>
          <w:p w14:paraId="43E52AC2">
            <w:pPr>
              <w:spacing w:before="0" w:after="0" w:line="240" w:lineRule="auto"/>
              <w:jc w:val="center"/>
            </w:pPr>
            <w:r>
              <w:rPr>
                <w:rFonts w:ascii="Times New Roman" w:hAnsi="Times New Roman" w:eastAsia="宋体"/>
                <w:b w:val="0"/>
                <w:sz w:val="15"/>
              </w:rPr>
              <w:t>11571</w:t>
            </w:r>
          </w:p>
        </w:tc>
        <w:tc>
          <w:tcPr>
            <w:tcW w:w="2030" w:type="dxa"/>
          </w:tcPr>
          <w:p w14:paraId="22368153">
            <w:pPr>
              <w:spacing w:before="0" w:after="0" w:line="240" w:lineRule="auto"/>
              <w:jc w:val="center"/>
            </w:pPr>
            <w:r>
              <w:rPr>
                <w:rFonts w:ascii="Times New Roman" w:hAnsi="Times New Roman" w:eastAsia="宋体"/>
                <w:b w:val="0"/>
                <w:sz w:val="15"/>
              </w:rPr>
              <w:t>10%水平显著为正</w:t>
            </w:r>
          </w:p>
        </w:tc>
      </w:tr>
      <w:tr w14:paraId="06490A1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22607E41">
            <w:pPr>
              <w:spacing w:before="0" w:after="0" w:line="240" w:lineRule="auto"/>
              <w:jc w:val="center"/>
            </w:pPr>
            <w:r>
              <w:rPr>
                <w:rFonts w:ascii="Times New Roman" w:hAnsi="Times New Roman" w:eastAsia="宋体"/>
                <w:b w:val="0"/>
                <w:sz w:val="15"/>
              </w:rPr>
              <w:t>替换核心解释变量</w:t>
            </w:r>
          </w:p>
        </w:tc>
        <w:tc>
          <w:tcPr>
            <w:tcW w:w="2482" w:type="dxa"/>
          </w:tcPr>
          <w:p w14:paraId="14ECA0F4">
            <w:pPr>
              <w:spacing w:before="0" w:after="0" w:line="240" w:lineRule="auto"/>
              <w:jc w:val="center"/>
            </w:pPr>
            <w:r>
              <w:rPr>
                <w:rFonts w:ascii="Times New Roman" w:hAnsi="Times New Roman" w:eastAsia="宋体"/>
                <w:b w:val="0"/>
                <w:sz w:val="15"/>
              </w:rPr>
              <w:t>数字化无形资产占比</w:t>
            </w:r>
          </w:p>
        </w:tc>
        <w:tc>
          <w:tcPr>
            <w:tcW w:w="981" w:type="dxa"/>
          </w:tcPr>
          <w:p w14:paraId="5330B084">
            <w:pPr>
              <w:spacing w:before="0" w:after="0" w:line="240" w:lineRule="auto"/>
              <w:jc w:val="center"/>
            </w:pPr>
            <w:r>
              <w:rPr>
                <w:rFonts w:ascii="Times New Roman" w:hAnsi="Times New Roman" w:eastAsia="宋体"/>
                <w:b w:val="0"/>
                <w:sz w:val="15"/>
              </w:rPr>
              <w:t>-0.0260</w:t>
            </w:r>
          </w:p>
        </w:tc>
        <w:tc>
          <w:tcPr>
            <w:tcW w:w="880" w:type="dxa"/>
          </w:tcPr>
          <w:p w14:paraId="294C52CC">
            <w:pPr>
              <w:spacing w:before="0" w:after="0" w:line="240" w:lineRule="auto"/>
              <w:jc w:val="center"/>
            </w:pPr>
            <w:r>
              <w:rPr>
                <w:rFonts w:ascii="Times New Roman" w:hAnsi="Times New Roman" w:eastAsia="宋体"/>
                <w:b w:val="0"/>
                <w:sz w:val="15"/>
              </w:rPr>
              <w:t>-0.578</w:t>
            </w:r>
          </w:p>
        </w:tc>
        <w:tc>
          <w:tcPr>
            <w:tcW w:w="900" w:type="dxa"/>
          </w:tcPr>
          <w:p w14:paraId="26C960B9">
            <w:pPr>
              <w:spacing w:before="0" w:after="0" w:line="240" w:lineRule="auto"/>
              <w:jc w:val="center"/>
            </w:pPr>
            <w:r>
              <w:rPr>
                <w:rFonts w:ascii="Times New Roman" w:hAnsi="Times New Roman" w:eastAsia="宋体"/>
                <w:b w:val="0"/>
                <w:sz w:val="15"/>
              </w:rPr>
              <w:t>11571</w:t>
            </w:r>
          </w:p>
        </w:tc>
        <w:tc>
          <w:tcPr>
            <w:tcW w:w="2030" w:type="dxa"/>
          </w:tcPr>
          <w:p w14:paraId="43A3E883">
            <w:pPr>
              <w:spacing w:before="0" w:after="0" w:line="240" w:lineRule="auto"/>
              <w:jc w:val="center"/>
            </w:pPr>
            <w:r>
              <w:rPr>
                <w:rFonts w:ascii="Times New Roman" w:hAnsi="Times New Roman" w:eastAsia="宋体"/>
                <w:b w:val="0"/>
                <w:sz w:val="15"/>
              </w:rPr>
              <w:t>不显著</w:t>
            </w:r>
          </w:p>
        </w:tc>
      </w:tr>
      <w:tr w14:paraId="6A53EDE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45F98DA3">
            <w:pPr>
              <w:spacing w:before="0" w:after="0" w:line="240" w:lineRule="auto"/>
              <w:jc w:val="center"/>
            </w:pPr>
            <w:r>
              <w:rPr>
                <w:rFonts w:ascii="Times New Roman" w:hAnsi="Times New Roman" w:eastAsia="宋体"/>
                <w:b w:val="0"/>
                <w:sz w:val="15"/>
              </w:rPr>
              <w:t>替换核心解释变量</w:t>
            </w:r>
          </w:p>
        </w:tc>
        <w:tc>
          <w:tcPr>
            <w:tcW w:w="2482" w:type="dxa"/>
          </w:tcPr>
          <w:p w14:paraId="797623F7">
            <w:pPr>
              <w:spacing w:before="0" w:after="0" w:line="240" w:lineRule="auto"/>
              <w:jc w:val="center"/>
            </w:pPr>
            <w:r>
              <w:rPr>
                <w:rFonts w:ascii="Times New Roman" w:hAnsi="Times New Roman" w:eastAsia="宋体"/>
                <w:b w:val="0"/>
                <w:sz w:val="15"/>
              </w:rPr>
              <w:t>数据要素开发利用指数（2013—2024年）</w:t>
            </w:r>
          </w:p>
        </w:tc>
        <w:tc>
          <w:tcPr>
            <w:tcW w:w="981" w:type="dxa"/>
          </w:tcPr>
          <w:p w14:paraId="193C9980">
            <w:pPr>
              <w:spacing w:before="0" w:after="0" w:line="240" w:lineRule="auto"/>
              <w:jc w:val="center"/>
            </w:pPr>
            <w:r>
              <w:rPr>
                <w:rFonts w:ascii="Times New Roman" w:hAnsi="Times New Roman" w:eastAsia="宋体"/>
                <w:b w:val="0"/>
                <w:sz w:val="15"/>
              </w:rPr>
              <w:t>0.1505</w:t>
            </w:r>
          </w:p>
        </w:tc>
        <w:tc>
          <w:tcPr>
            <w:tcW w:w="880" w:type="dxa"/>
          </w:tcPr>
          <w:p w14:paraId="45A8CB6D">
            <w:pPr>
              <w:spacing w:before="0" w:after="0" w:line="240" w:lineRule="auto"/>
              <w:jc w:val="center"/>
            </w:pPr>
            <w:r>
              <w:rPr>
                <w:rFonts w:ascii="Times New Roman" w:hAnsi="Times New Roman" w:eastAsia="宋体"/>
                <w:b w:val="0"/>
                <w:sz w:val="15"/>
              </w:rPr>
              <w:t>2.504</w:t>
            </w:r>
          </w:p>
        </w:tc>
        <w:tc>
          <w:tcPr>
            <w:tcW w:w="900" w:type="dxa"/>
          </w:tcPr>
          <w:p w14:paraId="4511F4B7">
            <w:pPr>
              <w:spacing w:before="0" w:after="0" w:line="240" w:lineRule="auto"/>
              <w:jc w:val="center"/>
            </w:pPr>
            <w:r>
              <w:rPr>
                <w:rFonts w:ascii="Times New Roman" w:hAnsi="Times New Roman" w:eastAsia="宋体"/>
                <w:b w:val="0"/>
                <w:sz w:val="15"/>
              </w:rPr>
              <w:t>9569</w:t>
            </w:r>
          </w:p>
        </w:tc>
        <w:tc>
          <w:tcPr>
            <w:tcW w:w="2030" w:type="dxa"/>
          </w:tcPr>
          <w:p w14:paraId="0ECD8215">
            <w:pPr>
              <w:spacing w:before="0" w:after="0" w:line="240" w:lineRule="auto"/>
              <w:jc w:val="center"/>
            </w:pPr>
            <w:r>
              <w:rPr>
                <w:rFonts w:ascii="Times New Roman" w:hAnsi="Times New Roman" w:eastAsia="宋体"/>
                <w:b w:val="0"/>
                <w:sz w:val="15"/>
              </w:rPr>
              <w:t>5%水平显著为正</w:t>
            </w:r>
          </w:p>
        </w:tc>
      </w:tr>
      <w:tr w14:paraId="4FD5CCD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1F58C651">
            <w:pPr>
              <w:spacing w:before="0" w:after="0" w:line="240" w:lineRule="auto"/>
              <w:jc w:val="center"/>
            </w:pPr>
            <w:r>
              <w:rPr>
                <w:rFonts w:ascii="Times New Roman" w:hAnsi="Times New Roman" w:eastAsia="宋体"/>
                <w:b w:val="0"/>
                <w:sz w:val="15"/>
              </w:rPr>
              <w:t>样本调整</w:t>
            </w:r>
          </w:p>
        </w:tc>
        <w:tc>
          <w:tcPr>
            <w:tcW w:w="2482" w:type="dxa"/>
          </w:tcPr>
          <w:p w14:paraId="50B06E65">
            <w:pPr>
              <w:spacing w:before="0" w:after="0" w:line="240" w:lineRule="auto"/>
              <w:jc w:val="center"/>
            </w:pPr>
            <w:r>
              <w:rPr>
                <w:rFonts w:ascii="Times New Roman" w:hAnsi="Times New Roman" w:eastAsia="宋体"/>
                <w:b w:val="0"/>
                <w:sz w:val="15"/>
              </w:rPr>
              <w:t>剔除2024年（专利数据不完整）</w:t>
            </w:r>
          </w:p>
        </w:tc>
        <w:tc>
          <w:tcPr>
            <w:tcW w:w="981" w:type="dxa"/>
          </w:tcPr>
          <w:p w14:paraId="5731E671">
            <w:pPr>
              <w:spacing w:before="0" w:after="0" w:line="240" w:lineRule="auto"/>
              <w:jc w:val="center"/>
            </w:pPr>
            <w:r>
              <w:rPr>
                <w:rFonts w:ascii="Times New Roman" w:hAnsi="Times New Roman" w:eastAsia="宋体"/>
                <w:b w:val="0"/>
                <w:sz w:val="15"/>
              </w:rPr>
              <w:t>0.0182</w:t>
            </w:r>
          </w:p>
        </w:tc>
        <w:tc>
          <w:tcPr>
            <w:tcW w:w="880" w:type="dxa"/>
          </w:tcPr>
          <w:p w14:paraId="4FFBB866">
            <w:pPr>
              <w:spacing w:before="0" w:after="0" w:line="240" w:lineRule="auto"/>
              <w:jc w:val="center"/>
            </w:pPr>
            <w:r>
              <w:rPr>
                <w:rFonts w:ascii="Times New Roman" w:hAnsi="Times New Roman" w:eastAsia="宋体"/>
                <w:b w:val="0"/>
                <w:sz w:val="15"/>
              </w:rPr>
              <w:t>1.171</w:t>
            </w:r>
          </w:p>
        </w:tc>
        <w:tc>
          <w:tcPr>
            <w:tcW w:w="900" w:type="dxa"/>
          </w:tcPr>
          <w:p w14:paraId="7351B1E2">
            <w:pPr>
              <w:spacing w:before="0" w:after="0" w:line="240" w:lineRule="auto"/>
              <w:jc w:val="center"/>
            </w:pPr>
            <w:r>
              <w:rPr>
                <w:rFonts w:ascii="Times New Roman" w:hAnsi="Times New Roman" w:eastAsia="宋体"/>
                <w:b w:val="0"/>
                <w:sz w:val="15"/>
              </w:rPr>
              <w:t>10410</w:t>
            </w:r>
          </w:p>
        </w:tc>
        <w:tc>
          <w:tcPr>
            <w:tcW w:w="2030" w:type="dxa"/>
          </w:tcPr>
          <w:p w14:paraId="106C2012">
            <w:pPr>
              <w:spacing w:before="0" w:after="0" w:line="240" w:lineRule="auto"/>
              <w:jc w:val="center"/>
            </w:pPr>
            <w:r>
              <w:rPr>
                <w:rFonts w:ascii="Times New Roman" w:hAnsi="Times New Roman" w:eastAsia="宋体"/>
                <w:b w:val="0"/>
                <w:sz w:val="15"/>
              </w:rPr>
              <w:t>不显著</w:t>
            </w:r>
          </w:p>
        </w:tc>
      </w:tr>
      <w:tr w14:paraId="5B89D15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365" w:type="dxa"/>
          </w:tcPr>
          <w:p w14:paraId="4F234D33">
            <w:pPr>
              <w:spacing w:before="0" w:after="0" w:line="240" w:lineRule="auto"/>
              <w:jc w:val="center"/>
            </w:pPr>
            <w:r>
              <w:rPr>
                <w:rFonts w:ascii="Times New Roman" w:hAnsi="Times New Roman" w:eastAsia="宋体"/>
                <w:b w:val="0"/>
                <w:sz w:val="15"/>
              </w:rPr>
              <w:t>滞后解释变量（1期）</w:t>
            </w:r>
          </w:p>
        </w:tc>
        <w:tc>
          <w:tcPr>
            <w:tcW w:w="2482" w:type="dxa"/>
          </w:tcPr>
          <w:p w14:paraId="2F2EFC70">
            <w:pPr>
              <w:spacing w:before="0" w:after="0" w:line="240" w:lineRule="auto"/>
              <w:jc w:val="center"/>
            </w:pPr>
            <w:r>
              <w:rPr>
                <w:rFonts w:ascii="Times New Roman" w:hAnsi="Times New Roman" w:eastAsia="宋体"/>
                <w:b w:val="0"/>
                <w:sz w:val="15"/>
              </w:rPr>
              <w:t>L1.Digit</w:t>
            </w:r>
          </w:p>
        </w:tc>
        <w:tc>
          <w:tcPr>
            <w:tcW w:w="981" w:type="dxa"/>
          </w:tcPr>
          <w:p w14:paraId="76BA7BF5">
            <w:pPr>
              <w:spacing w:before="0" w:after="0" w:line="240" w:lineRule="auto"/>
              <w:jc w:val="center"/>
            </w:pPr>
            <w:r>
              <w:rPr>
                <w:rFonts w:ascii="Times New Roman" w:hAnsi="Times New Roman" w:eastAsia="宋体"/>
                <w:b w:val="0"/>
                <w:sz w:val="15"/>
              </w:rPr>
              <w:t>0.0166</w:t>
            </w:r>
          </w:p>
        </w:tc>
        <w:tc>
          <w:tcPr>
            <w:tcW w:w="880" w:type="dxa"/>
          </w:tcPr>
          <w:p w14:paraId="33449DF9">
            <w:pPr>
              <w:spacing w:before="0" w:after="0" w:line="240" w:lineRule="auto"/>
              <w:jc w:val="center"/>
            </w:pPr>
            <w:r>
              <w:rPr>
                <w:rFonts w:ascii="Times New Roman" w:hAnsi="Times New Roman" w:eastAsia="宋体"/>
                <w:b w:val="0"/>
                <w:sz w:val="15"/>
              </w:rPr>
              <w:t>1.051</w:t>
            </w:r>
          </w:p>
        </w:tc>
        <w:tc>
          <w:tcPr>
            <w:tcW w:w="900" w:type="dxa"/>
          </w:tcPr>
          <w:p w14:paraId="0D52FA12">
            <w:pPr>
              <w:spacing w:before="0" w:after="0" w:line="240" w:lineRule="auto"/>
              <w:jc w:val="center"/>
            </w:pPr>
            <w:r>
              <w:rPr>
                <w:rFonts w:ascii="Times New Roman" w:hAnsi="Times New Roman" w:eastAsia="宋体"/>
                <w:b w:val="0"/>
                <w:sz w:val="15"/>
              </w:rPr>
              <w:t>10285</w:t>
            </w:r>
          </w:p>
        </w:tc>
        <w:tc>
          <w:tcPr>
            <w:tcW w:w="2030" w:type="dxa"/>
          </w:tcPr>
          <w:p w14:paraId="09B6732B">
            <w:pPr>
              <w:spacing w:before="0" w:after="0" w:line="240" w:lineRule="auto"/>
              <w:jc w:val="center"/>
            </w:pPr>
            <w:r>
              <w:rPr>
                <w:rFonts w:ascii="Times New Roman" w:hAnsi="Times New Roman" w:eastAsia="宋体"/>
                <w:b w:val="0"/>
                <w:sz w:val="15"/>
              </w:rPr>
              <w:t>不显著</w:t>
            </w:r>
          </w:p>
        </w:tc>
      </w:tr>
      <w:tr w14:paraId="6D148C0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2D28B2BA">
            <w:pPr>
              <w:spacing w:before="0" w:after="0" w:line="240" w:lineRule="auto"/>
              <w:jc w:val="center"/>
            </w:pPr>
            <w:r>
              <w:rPr>
                <w:rFonts w:ascii="Times New Roman" w:hAnsi="Times New Roman" w:eastAsia="宋体"/>
                <w:b w:val="0"/>
                <w:sz w:val="15"/>
              </w:rPr>
              <w:t>滞后解释变量（2期）</w:t>
            </w:r>
          </w:p>
        </w:tc>
        <w:tc>
          <w:tcPr>
            <w:tcW w:w="2482" w:type="dxa"/>
          </w:tcPr>
          <w:p w14:paraId="01C7C3E7">
            <w:pPr>
              <w:spacing w:before="0" w:after="0" w:line="240" w:lineRule="auto"/>
              <w:jc w:val="center"/>
            </w:pPr>
            <w:r>
              <w:rPr>
                <w:rFonts w:ascii="Times New Roman" w:hAnsi="Times New Roman" w:eastAsia="宋体"/>
                <w:b w:val="0"/>
                <w:sz w:val="15"/>
              </w:rPr>
              <w:t>L2.Digit</w:t>
            </w:r>
          </w:p>
        </w:tc>
        <w:tc>
          <w:tcPr>
            <w:tcW w:w="981" w:type="dxa"/>
          </w:tcPr>
          <w:p w14:paraId="3B57B395">
            <w:pPr>
              <w:spacing w:before="0" w:after="0" w:line="240" w:lineRule="auto"/>
              <w:jc w:val="center"/>
            </w:pPr>
            <w:r>
              <w:rPr>
                <w:rFonts w:ascii="Times New Roman" w:hAnsi="Times New Roman" w:eastAsia="宋体"/>
                <w:b w:val="0"/>
                <w:sz w:val="15"/>
              </w:rPr>
              <w:t>0.0227</w:t>
            </w:r>
          </w:p>
        </w:tc>
        <w:tc>
          <w:tcPr>
            <w:tcW w:w="880" w:type="dxa"/>
          </w:tcPr>
          <w:p w14:paraId="1ABC8B81">
            <w:pPr>
              <w:spacing w:before="0" w:after="0" w:line="240" w:lineRule="auto"/>
              <w:jc w:val="center"/>
            </w:pPr>
            <w:r>
              <w:rPr>
                <w:rFonts w:ascii="Times New Roman" w:hAnsi="Times New Roman" w:eastAsia="宋体"/>
                <w:b w:val="0"/>
                <w:sz w:val="15"/>
              </w:rPr>
              <w:t>1.312</w:t>
            </w:r>
          </w:p>
        </w:tc>
        <w:tc>
          <w:tcPr>
            <w:tcW w:w="900" w:type="dxa"/>
          </w:tcPr>
          <w:p w14:paraId="1ACCAAB8">
            <w:pPr>
              <w:spacing w:before="0" w:after="0" w:line="240" w:lineRule="auto"/>
              <w:jc w:val="center"/>
            </w:pPr>
            <w:r>
              <w:rPr>
                <w:rFonts w:ascii="Times New Roman" w:hAnsi="Times New Roman" w:eastAsia="宋体"/>
                <w:b w:val="0"/>
                <w:sz w:val="15"/>
              </w:rPr>
              <w:t>9065</w:t>
            </w:r>
          </w:p>
        </w:tc>
        <w:tc>
          <w:tcPr>
            <w:tcW w:w="2030" w:type="dxa"/>
          </w:tcPr>
          <w:p w14:paraId="63167453">
            <w:pPr>
              <w:spacing w:before="0" w:after="0" w:line="240" w:lineRule="auto"/>
              <w:jc w:val="center"/>
            </w:pPr>
            <w:r>
              <w:rPr>
                <w:rFonts w:ascii="Times New Roman" w:hAnsi="Times New Roman" w:eastAsia="宋体"/>
                <w:b w:val="0"/>
                <w:sz w:val="15"/>
              </w:rPr>
              <w:t>不显著</w:t>
            </w:r>
          </w:p>
        </w:tc>
      </w:tr>
      <w:tr w14:paraId="7DE0859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365" w:type="dxa"/>
          </w:tcPr>
          <w:p w14:paraId="009BA683">
            <w:pPr>
              <w:spacing w:before="0" w:after="0" w:line="240" w:lineRule="auto"/>
              <w:jc w:val="center"/>
            </w:pPr>
            <w:r>
              <w:rPr>
                <w:rFonts w:ascii="Times New Roman" w:hAnsi="Times New Roman" w:eastAsia="宋体"/>
                <w:b w:val="0"/>
                <w:sz w:val="15"/>
              </w:rPr>
              <w:t>工具变量法（2SLS第二阶段）</w:t>
            </w:r>
          </w:p>
        </w:tc>
        <w:tc>
          <w:tcPr>
            <w:tcW w:w="2482" w:type="dxa"/>
          </w:tcPr>
          <w:p w14:paraId="79C8A6C9">
            <w:pPr>
              <w:spacing w:before="0" w:after="0" w:line="240" w:lineRule="auto"/>
              <w:jc w:val="center"/>
            </w:pPr>
            <w:r>
              <w:rPr>
                <w:rFonts w:ascii="Times New Roman" w:hAnsi="Times New Roman" w:eastAsia="宋体"/>
                <w:b w:val="0"/>
                <w:sz w:val="15"/>
              </w:rPr>
              <w:t>省级数字经济政策词频对数（第一阶段F=32.13）</w:t>
            </w:r>
          </w:p>
        </w:tc>
        <w:tc>
          <w:tcPr>
            <w:tcW w:w="981" w:type="dxa"/>
          </w:tcPr>
          <w:p w14:paraId="25F75904">
            <w:pPr>
              <w:spacing w:before="0" w:after="0" w:line="240" w:lineRule="auto"/>
              <w:jc w:val="center"/>
            </w:pPr>
            <w:r>
              <w:rPr>
                <w:rFonts w:ascii="Times New Roman" w:hAnsi="Times New Roman" w:eastAsia="宋体"/>
                <w:b w:val="0"/>
                <w:sz w:val="15"/>
              </w:rPr>
              <w:t>0.3059</w:t>
            </w:r>
          </w:p>
        </w:tc>
        <w:tc>
          <w:tcPr>
            <w:tcW w:w="880" w:type="dxa"/>
          </w:tcPr>
          <w:p w14:paraId="423CD8B9">
            <w:pPr>
              <w:spacing w:before="0" w:after="0" w:line="240" w:lineRule="auto"/>
              <w:jc w:val="center"/>
            </w:pPr>
            <w:r>
              <w:rPr>
                <w:rFonts w:ascii="Times New Roman" w:hAnsi="Times New Roman" w:eastAsia="宋体"/>
                <w:b w:val="0"/>
                <w:sz w:val="15"/>
              </w:rPr>
              <w:t>2.502</w:t>
            </w:r>
          </w:p>
        </w:tc>
        <w:tc>
          <w:tcPr>
            <w:tcW w:w="900" w:type="dxa"/>
          </w:tcPr>
          <w:p w14:paraId="4D3EBE2D">
            <w:pPr>
              <w:spacing w:before="0" w:after="0" w:line="240" w:lineRule="auto"/>
              <w:jc w:val="center"/>
            </w:pPr>
            <w:r>
              <w:rPr>
                <w:rFonts w:ascii="Times New Roman" w:hAnsi="Times New Roman" w:eastAsia="宋体"/>
                <w:b w:val="0"/>
                <w:sz w:val="15"/>
              </w:rPr>
              <w:t>11571</w:t>
            </w:r>
          </w:p>
        </w:tc>
        <w:tc>
          <w:tcPr>
            <w:tcW w:w="2030" w:type="dxa"/>
          </w:tcPr>
          <w:p w14:paraId="264E7B36">
            <w:pPr>
              <w:spacing w:before="0" w:after="0" w:line="240" w:lineRule="auto"/>
              <w:jc w:val="center"/>
            </w:pPr>
            <w:r>
              <w:rPr>
                <w:rFonts w:ascii="Times New Roman" w:hAnsi="Times New Roman" w:eastAsia="宋体"/>
                <w:b w:val="0"/>
                <w:sz w:val="15"/>
              </w:rPr>
              <w:t>5%水平显著为正；标准误需按残差生成法重估</w:t>
            </w:r>
          </w:p>
        </w:tc>
      </w:tr>
    </w:tbl>
    <w:p w14:paraId="5F72854D">
      <w:pPr>
        <w:spacing w:before="40" w:after="120" w:line="240" w:lineRule="auto"/>
        <w:ind w:firstLine="180" w:firstLineChars="100"/>
        <w:jc w:val="left"/>
      </w:pPr>
      <w:r>
        <w:rPr>
          <w:rFonts w:ascii="Times New Roman" w:hAnsi="Times New Roman" w:eastAsia="宋体"/>
          <w:b w:val="0"/>
          <w:sz w:val="18"/>
        </w:rPr>
        <w:t>注：全部模型均控制企业个体与时间固定效应及前述控制变量；工具变量标准误按两阶段残差生成法复核更稳健。</w:t>
      </w:r>
    </w:p>
    <w:p w14:paraId="208C0905">
      <w:pPr>
        <w:spacing w:before="0" w:after="0" w:line="240" w:lineRule="auto"/>
        <w:ind w:firstLine="420" w:firstLineChars="200"/>
        <w:jc w:val="both"/>
      </w:pPr>
      <w:r>
        <w:rPr>
          <w:rFonts w:ascii="Times New Roman" w:hAnsi="Times New Roman" w:eastAsia="宋体"/>
          <w:b w:val="0"/>
          <w:sz w:val="21"/>
        </w:rPr>
        <w:t>基准回归与测量效度检验共同表明，数智技术赋能对环境绩效综合指数的直接效应有限，而绿色创新维度表现稳健。这一结果为深入识别传导路径提供了方向。本节依次检验传导机制、空间溢出、结果一致性、技术特异性与异质性。</w:t>
      </w:r>
    </w:p>
    <w:p w14:paraId="2ADFEC34">
      <w:pPr>
        <w:spacing w:before="240" w:after="120" w:line="240" w:lineRule="auto"/>
        <w:jc w:val="left"/>
      </w:pPr>
      <w:r>
        <w:rPr>
          <w:rFonts w:ascii="Times New Roman" w:hAnsi="Times New Roman" w:eastAsia="黑体"/>
          <w:b/>
          <w:sz w:val="24"/>
        </w:rPr>
        <w:t>6 进一步分析</w:t>
      </w:r>
    </w:p>
    <w:p w14:paraId="183E844C">
      <w:pPr>
        <w:spacing w:before="0" w:after="0" w:line="240" w:lineRule="auto"/>
        <w:ind w:firstLine="420" w:firstLineChars="200"/>
        <w:jc w:val="both"/>
      </w:pPr>
      <w:r>
        <w:rPr>
          <w:rFonts w:ascii="Times New Roman" w:hAnsi="Times New Roman" w:eastAsia="宋体"/>
          <w:b w:val="0"/>
          <w:sz w:val="21"/>
        </w:rPr>
        <w:t>前文结果显示，数智技术赋能对环境绩效综合指数的直接效应不显著。</w:t>
      </w:r>
    </w:p>
    <w:p w14:paraId="0FE92DA6">
      <w:pPr>
        <w:spacing w:before="0" w:after="0" w:line="240" w:lineRule="auto"/>
        <w:ind w:firstLine="420" w:firstLineChars="200"/>
        <w:jc w:val="both"/>
      </w:pPr>
      <w:r>
        <w:rPr>
          <w:rFonts w:ascii="Times New Roman" w:hAnsi="Times New Roman" w:eastAsia="宋体"/>
          <w:b w:val="0"/>
          <w:sz w:val="21"/>
        </w:rPr>
        <w:t>本部分从传导机制、空间溢出与异质性三个维度展开进一步分析，以识别数智技术赋能环境绩效的内在路径与适用情境。</w:t>
      </w:r>
    </w:p>
    <w:p w14:paraId="345A079A">
      <w:pPr>
        <w:spacing w:before="160" w:after="80" w:line="240" w:lineRule="auto"/>
        <w:jc w:val="left"/>
      </w:pPr>
      <w:r>
        <w:rPr>
          <w:rFonts w:ascii="Times New Roman" w:hAnsi="Times New Roman" w:eastAsia="黑体"/>
          <w:b/>
          <w:sz w:val="21"/>
        </w:rPr>
        <w:t>6.1 传导机制检验</w:t>
      </w:r>
    </w:p>
    <w:p w14:paraId="38CA796B">
      <w:pPr>
        <w:spacing w:before="0" w:after="0" w:line="240" w:lineRule="auto"/>
        <w:ind w:firstLine="420" w:firstLineChars="200"/>
        <w:jc w:val="both"/>
      </w:pPr>
      <w:r>
        <w:rPr>
          <w:rFonts w:ascii="Times New Roman" w:hAnsi="Times New Roman" w:eastAsia="宋体"/>
          <w:b w:val="0"/>
          <w:sz w:val="21"/>
        </w:rPr>
        <w:t>本部分依托中介效应模型的标准设定，依次对绿色技术创新、管理效率提升、资源配置优化三条传导路径进行分步回归检验，并报告Sobel检验结果。</w:t>
      </w:r>
    </w:p>
    <w:p w14:paraId="5A3A6552">
      <w:pPr>
        <w:spacing w:before="0" w:after="0" w:line="240" w:lineRule="auto"/>
        <w:ind w:firstLine="420" w:firstLineChars="200"/>
        <w:jc w:val="both"/>
      </w:pPr>
      <w:r>
        <w:rPr>
          <w:rFonts w:ascii="Times New Roman" w:hAnsi="Times New Roman" w:eastAsia="宋体"/>
          <w:b w:val="0"/>
          <w:sz w:val="21"/>
        </w:rPr>
        <w:t>绿色技术创新这条路径的证据最为充分。</w:t>
      </w:r>
    </w:p>
    <w:p w14:paraId="26C82991">
      <w:pPr>
        <w:spacing w:before="0" w:after="0" w:line="240" w:lineRule="auto"/>
        <w:ind w:firstLine="420" w:firstLineChars="200"/>
        <w:jc w:val="both"/>
      </w:pPr>
      <w:r>
        <w:rPr>
          <w:rFonts w:ascii="Times New Roman" w:hAnsi="Times New Roman" w:eastAsia="宋体"/>
          <w:b w:val="0"/>
          <w:sz w:val="21"/>
        </w:rPr>
        <w:t>第二步回归给出的是赋能对绿色技术创新的作用：系数0.0549，5%水平显著，数智化确实带来了绿色专利产出的增加。把绿色技术创新纳入第三步后，其对环境绩效的系数为0.1821，1%水平显著。</w:t>
      </w:r>
    </w:p>
    <w:p w14:paraId="257EE156">
      <w:pPr>
        <w:spacing w:before="0" w:after="0" w:line="240" w:lineRule="auto"/>
        <w:ind w:firstLine="420" w:firstLineChars="200"/>
        <w:jc w:val="both"/>
      </w:pPr>
      <w:r>
        <w:rPr>
          <w:rFonts w:ascii="Times New Roman" w:hAnsi="Times New Roman" w:eastAsia="宋体"/>
          <w:b w:val="0"/>
          <w:sz w:val="21"/>
        </w:rPr>
        <w:t>与此同时，数智技术赋能的直接效应降至0.0100，不再显著。</w:t>
      </w:r>
    </w:p>
    <w:p w14:paraId="5E3173F6">
      <w:pPr>
        <w:spacing w:before="0" w:after="0" w:line="240" w:lineRule="auto"/>
        <w:ind w:firstLine="420" w:firstLineChars="200"/>
        <w:jc w:val="both"/>
      </w:pPr>
      <w:r>
        <w:rPr>
          <w:rFonts w:ascii="Times New Roman" w:hAnsi="Times New Roman" w:eastAsia="宋体"/>
          <w:b w:val="0"/>
          <w:sz w:val="21"/>
        </w:rPr>
        <w:t>中介效应为0.0100，占总效应的50.05%，Sobel检验Z值2.451，5%水平显著。可见数智技术的环境红利主要通过绿色专利产出渠道释放，且该渠道解释力较强。</w:t>
      </w:r>
    </w:p>
    <w:p w14:paraId="17D68988">
      <w:pPr>
        <w:spacing w:before="0" w:after="0" w:line="240" w:lineRule="auto"/>
        <w:ind w:firstLine="420" w:firstLineChars="200"/>
        <w:jc w:val="both"/>
      </w:pPr>
      <w:r>
        <w:rPr>
          <w:rFonts w:ascii="Times New Roman" w:hAnsi="Times New Roman" w:eastAsia="宋体"/>
          <w:b w:val="0"/>
          <w:sz w:val="21"/>
        </w:rPr>
        <w:t>管理效率这条路没有得到支持，但需要把“机制无效”与“代理变量测不出”分开。</w:t>
      </w:r>
    </w:p>
    <w:p w14:paraId="6941EC59">
      <w:pPr>
        <w:spacing w:before="0" w:after="0" w:line="240" w:lineRule="auto"/>
        <w:ind w:firstLine="420" w:firstLineChars="200"/>
        <w:jc w:val="both"/>
      </w:pPr>
      <w:r>
        <w:rPr>
          <w:rFonts w:ascii="Times New Roman" w:hAnsi="Times New Roman" w:eastAsia="宋体"/>
          <w:b w:val="0"/>
          <w:sz w:val="21"/>
        </w:rPr>
        <w:t>以2010—2024年为样本期，数智技术赋能对内部控制质量的系数为0.0020，内控质量对环境绩效的系数为0.0015，均不显著，Sobel检验Z值仅为0.088。</w:t>
      </w:r>
    </w:p>
    <w:p w14:paraId="0FD8C6DF">
      <w:pPr>
        <w:spacing w:before="0" w:after="0" w:line="240" w:lineRule="auto"/>
        <w:ind w:firstLine="420" w:firstLineChars="200"/>
        <w:jc w:val="both"/>
      </w:pPr>
      <w:r>
        <w:rPr>
          <w:rFonts w:ascii="Times New Roman" w:hAnsi="Times New Roman" w:eastAsia="宋体"/>
          <w:b w:val="0"/>
          <w:sz w:val="21"/>
        </w:rPr>
        <w:t>内控质量得分集中在2—3分，标准差0.5171、变异系数仅21.5%，企业之间几乎没有区分度；换成总资产周转率后，中介效应也只有0.0003（Sobel Z=0.709）。两个代理指向同一结论——至少在现有可得的指标下，本文无法确认这条渠道，而不能据此断言管理效率机制不存在。</w:t>
      </w:r>
    </w:p>
    <w:p w14:paraId="2B6BD6EE">
      <w:pPr>
        <w:spacing w:before="0" w:after="0" w:line="240" w:lineRule="auto"/>
        <w:ind w:firstLine="420" w:firstLineChars="200"/>
        <w:jc w:val="both"/>
      </w:pPr>
      <w:r>
        <w:rPr>
          <w:rFonts w:ascii="Times New Roman" w:hAnsi="Times New Roman" w:eastAsia="宋体"/>
          <w:b w:val="0"/>
          <w:sz w:val="21"/>
        </w:rPr>
        <w:t>资源配置优化的情况类似，甚至更棘手：绿色并购事件在样本中高度零膨胀。</w:t>
      </w:r>
    </w:p>
    <w:p w14:paraId="3106602C">
      <w:pPr>
        <w:spacing w:before="0" w:after="0" w:line="240" w:lineRule="auto"/>
        <w:ind w:firstLine="420" w:firstLineChars="200"/>
        <w:jc w:val="both"/>
      </w:pPr>
      <w:r>
        <w:rPr>
          <w:rFonts w:ascii="Times New Roman" w:hAnsi="Times New Roman" w:eastAsia="宋体"/>
          <w:b w:val="0"/>
          <w:sz w:val="21"/>
        </w:rPr>
        <w:t>以2012—2024年为样本期，数智赋能对绿色并购频次的系数为0.0294，绿色并购对环境绩效的系数为0.0121，两者都在10%水平上显著。但中介效应仅为0.0004，占比1.40%，Sobel检验未通过。</w:t>
      </w:r>
    </w:p>
    <w:p w14:paraId="57E0FF8E">
      <w:pPr>
        <w:spacing w:before="0" w:after="0" w:line="240" w:lineRule="auto"/>
        <w:ind w:firstLine="420" w:firstLineChars="200"/>
        <w:jc w:val="both"/>
      </w:pPr>
      <w:r>
        <w:rPr>
          <w:rFonts w:ascii="Times New Roman" w:hAnsi="Times New Roman" w:eastAsia="宋体"/>
          <w:b w:val="0"/>
          <w:sz w:val="21"/>
        </w:rPr>
        <w:t>三条路径比较下来，只有绿色技术创新通过Sobel检验，且纳入该中介后直接效应不再显著。H1与H2得到支持；H3与H4未获支持——更准确地说，是在本文选用的代理变量下未获支持。</w:t>
      </w:r>
    </w:p>
    <w:p w14:paraId="7075F6D5">
      <w:pPr>
        <w:spacing w:before="0" w:after="0" w:line="240" w:lineRule="auto"/>
        <w:ind w:firstLine="420" w:firstLineChars="200"/>
        <w:jc w:val="both"/>
      </w:pPr>
      <w:r>
        <w:rPr>
          <w:rFonts w:ascii="Times New Roman" w:hAnsi="Times New Roman" w:eastAsia="宋体"/>
          <w:b w:val="0"/>
          <w:sz w:val="21"/>
        </w:rPr>
        <w:t>三条传导路径的中介效应检验结果汇总于表14。</w:t>
      </w:r>
    </w:p>
    <w:p w14:paraId="519F7D86">
      <w:pPr>
        <w:spacing w:before="120" w:after="20" w:line="240" w:lineRule="auto"/>
        <w:jc w:val="center"/>
      </w:pPr>
      <w:r>
        <w:rPr>
          <w:rFonts w:ascii="Times New Roman" w:hAnsi="Times New Roman" w:eastAsia="黑体"/>
          <w:b w:val="0"/>
          <w:sz w:val="18"/>
        </w:rPr>
        <w:t>表14 传导机制（中介效应）检验结果</w:t>
      </w:r>
    </w:p>
    <w:p w14:paraId="771E580F">
      <w:pPr>
        <w:spacing w:before="0" w:after="60" w:line="240" w:lineRule="auto"/>
        <w:jc w:val="center"/>
      </w:pPr>
      <w:r>
        <w:rPr>
          <w:rFonts w:ascii="Times New Roman" w:hAnsi="Times New Roman" w:eastAsia="宋体"/>
          <w:b w:val="0"/>
          <w:sz w:val="16"/>
        </w:rPr>
        <w:t>Table 14 Mediation test results of transmission channels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62"/>
        <w:gridCol w:w="1084"/>
        <w:gridCol w:w="778"/>
        <w:gridCol w:w="1248"/>
        <w:gridCol w:w="1063"/>
        <w:gridCol w:w="962"/>
        <w:gridCol w:w="865"/>
        <w:gridCol w:w="825"/>
        <w:gridCol w:w="744"/>
        <w:gridCol w:w="707"/>
      </w:tblGrid>
      <w:tr w14:paraId="796C6D1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362" w:type="dxa"/>
            <w:tcBorders>
              <w:bottom w:val="single" w:color="auto" w:sz="8" w:space="0"/>
            </w:tcBorders>
          </w:tcPr>
          <w:p w14:paraId="0223BCA7">
            <w:pPr>
              <w:spacing w:before="0" w:after="0" w:line="240" w:lineRule="auto"/>
              <w:jc w:val="center"/>
            </w:pPr>
            <w:r>
              <w:rPr>
                <w:rFonts w:ascii="Times New Roman" w:hAnsi="Times New Roman" w:eastAsia="宋体"/>
                <w:b/>
                <w:sz w:val="15"/>
              </w:rPr>
              <w:t>传导路径</w:t>
            </w:r>
          </w:p>
        </w:tc>
        <w:tc>
          <w:tcPr>
            <w:tcW w:w="1084" w:type="dxa"/>
            <w:tcBorders>
              <w:bottom w:val="single" w:color="auto" w:sz="8" w:space="0"/>
            </w:tcBorders>
          </w:tcPr>
          <w:p w14:paraId="636A9BA6">
            <w:pPr>
              <w:spacing w:before="0" w:after="0" w:line="240" w:lineRule="auto"/>
              <w:jc w:val="center"/>
            </w:pPr>
            <w:r>
              <w:rPr>
                <w:rFonts w:ascii="Times New Roman" w:hAnsi="Times New Roman" w:eastAsia="宋体"/>
                <w:b/>
                <w:sz w:val="15"/>
              </w:rPr>
              <w:t>中介变量</w:t>
            </w:r>
          </w:p>
        </w:tc>
        <w:tc>
          <w:tcPr>
            <w:tcW w:w="778" w:type="dxa"/>
            <w:tcBorders>
              <w:bottom w:val="single" w:color="auto" w:sz="8" w:space="0"/>
            </w:tcBorders>
          </w:tcPr>
          <w:p w14:paraId="44D12605">
            <w:pPr>
              <w:spacing w:before="0" w:after="0" w:line="240" w:lineRule="auto"/>
              <w:jc w:val="center"/>
            </w:pPr>
            <w:r>
              <w:rPr>
                <w:rFonts w:ascii="Times New Roman" w:hAnsi="Times New Roman" w:eastAsia="宋体"/>
                <w:b/>
                <w:sz w:val="15"/>
              </w:rPr>
              <w:t>总效应c</w:t>
            </w:r>
          </w:p>
        </w:tc>
        <w:tc>
          <w:tcPr>
            <w:tcW w:w="1248" w:type="dxa"/>
            <w:tcBorders>
              <w:bottom w:val="single" w:color="auto" w:sz="8" w:space="0"/>
            </w:tcBorders>
          </w:tcPr>
          <w:p w14:paraId="26B2C2A9">
            <w:pPr>
              <w:spacing w:before="0" w:after="0" w:line="240" w:lineRule="auto"/>
              <w:jc w:val="center"/>
            </w:pPr>
            <w:r>
              <w:rPr>
                <w:rFonts w:ascii="Times New Roman" w:hAnsi="Times New Roman" w:eastAsia="宋体"/>
                <w:b/>
                <w:sz w:val="15"/>
              </w:rPr>
              <w:t>a（Digit→M）</w:t>
            </w:r>
          </w:p>
        </w:tc>
        <w:tc>
          <w:tcPr>
            <w:tcW w:w="1063" w:type="dxa"/>
            <w:tcBorders>
              <w:bottom w:val="single" w:color="auto" w:sz="8" w:space="0"/>
            </w:tcBorders>
          </w:tcPr>
          <w:p w14:paraId="5D241607">
            <w:pPr>
              <w:spacing w:before="0" w:after="0" w:line="240" w:lineRule="auto"/>
              <w:jc w:val="center"/>
            </w:pPr>
            <w:r>
              <w:rPr>
                <w:rFonts w:ascii="Times New Roman" w:hAnsi="Times New Roman" w:eastAsia="宋体"/>
                <w:b/>
                <w:sz w:val="15"/>
              </w:rPr>
              <w:t>b（M→EP）</w:t>
            </w:r>
          </w:p>
        </w:tc>
        <w:tc>
          <w:tcPr>
            <w:tcW w:w="962" w:type="dxa"/>
            <w:tcBorders>
              <w:bottom w:val="single" w:color="auto" w:sz="8" w:space="0"/>
            </w:tcBorders>
          </w:tcPr>
          <w:p w14:paraId="1782A05B">
            <w:pPr>
              <w:spacing w:before="0" w:after="0" w:line="240" w:lineRule="auto"/>
              <w:jc w:val="center"/>
            </w:pPr>
            <w:r>
              <w:rPr>
                <w:rFonts w:ascii="Times New Roman" w:hAnsi="Times New Roman" w:eastAsia="宋体"/>
                <w:b/>
                <w:sz w:val="15"/>
              </w:rPr>
              <w:t>直接效应c′</w:t>
            </w:r>
          </w:p>
        </w:tc>
        <w:tc>
          <w:tcPr>
            <w:tcW w:w="865" w:type="dxa"/>
            <w:tcBorders>
              <w:bottom w:val="single" w:color="auto" w:sz="8" w:space="0"/>
            </w:tcBorders>
          </w:tcPr>
          <w:p w14:paraId="67C5865D">
            <w:pPr>
              <w:spacing w:before="0" w:after="0" w:line="240" w:lineRule="auto"/>
              <w:jc w:val="center"/>
            </w:pPr>
            <w:r>
              <w:rPr>
                <w:rFonts w:ascii="Times New Roman" w:hAnsi="Times New Roman" w:eastAsia="宋体"/>
                <w:b/>
                <w:sz w:val="15"/>
              </w:rPr>
              <w:t>中介效应a×b</w:t>
            </w:r>
          </w:p>
        </w:tc>
        <w:tc>
          <w:tcPr>
            <w:tcW w:w="825" w:type="dxa"/>
            <w:tcBorders>
              <w:bottom w:val="single" w:color="auto" w:sz="8" w:space="0"/>
            </w:tcBorders>
          </w:tcPr>
          <w:p w14:paraId="1D4FDEC8">
            <w:pPr>
              <w:spacing w:before="0" w:after="0" w:line="240" w:lineRule="auto"/>
              <w:jc w:val="center"/>
            </w:pPr>
            <w:r>
              <w:rPr>
                <w:rFonts w:ascii="Times New Roman" w:hAnsi="Times New Roman" w:eastAsia="宋体"/>
                <w:b/>
                <w:sz w:val="15"/>
              </w:rPr>
              <w:t>占比a×b/c</w:t>
            </w:r>
          </w:p>
        </w:tc>
        <w:tc>
          <w:tcPr>
            <w:tcW w:w="744" w:type="dxa"/>
            <w:tcBorders>
              <w:bottom w:val="single" w:color="auto" w:sz="8" w:space="0"/>
            </w:tcBorders>
          </w:tcPr>
          <w:p w14:paraId="71C6AC3B">
            <w:pPr>
              <w:spacing w:before="0" w:after="0" w:line="240" w:lineRule="auto"/>
              <w:jc w:val="center"/>
            </w:pPr>
            <w:r>
              <w:rPr>
                <w:rFonts w:ascii="Times New Roman" w:hAnsi="Times New Roman" w:eastAsia="宋体"/>
                <w:b/>
                <w:sz w:val="15"/>
              </w:rPr>
              <w:t>Sobel Z</w:t>
            </w:r>
          </w:p>
        </w:tc>
        <w:tc>
          <w:tcPr>
            <w:tcW w:w="707" w:type="dxa"/>
            <w:tcBorders>
              <w:bottom w:val="single" w:color="auto" w:sz="8" w:space="0"/>
            </w:tcBorders>
          </w:tcPr>
          <w:p w14:paraId="60CDFE09">
            <w:pPr>
              <w:spacing w:before="0" w:after="0" w:line="240" w:lineRule="auto"/>
              <w:jc w:val="center"/>
            </w:pPr>
            <w:r>
              <w:rPr>
                <w:rFonts w:ascii="Times New Roman" w:hAnsi="Times New Roman" w:eastAsia="宋体"/>
                <w:b/>
                <w:sz w:val="15"/>
              </w:rPr>
              <w:t>N</w:t>
            </w:r>
          </w:p>
        </w:tc>
      </w:tr>
      <w:tr w14:paraId="78F809C4">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362" w:type="dxa"/>
          </w:tcPr>
          <w:p w14:paraId="23D63A74">
            <w:pPr>
              <w:spacing w:before="0" w:after="0" w:line="240" w:lineRule="auto"/>
              <w:jc w:val="center"/>
            </w:pPr>
            <w:r>
              <w:rPr>
                <w:rFonts w:ascii="Times New Roman" w:hAnsi="Times New Roman" w:eastAsia="宋体"/>
                <w:b w:val="0"/>
                <w:sz w:val="15"/>
              </w:rPr>
              <w:t>绿色技术创新</w:t>
            </w:r>
          </w:p>
        </w:tc>
        <w:tc>
          <w:tcPr>
            <w:tcW w:w="1084" w:type="dxa"/>
          </w:tcPr>
          <w:p w14:paraId="507064AA">
            <w:pPr>
              <w:spacing w:before="0" w:after="0" w:line="240" w:lineRule="auto"/>
              <w:jc w:val="center"/>
            </w:pPr>
            <w:r>
              <w:rPr>
                <w:rFonts w:ascii="Times New Roman" w:hAnsi="Times New Roman" w:eastAsia="宋体"/>
                <w:b w:val="0"/>
                <w:sz w:val="15"/>
              </w:rPr>
              <w:t>GreenTech</w:t>
            </w:r>
          </w:p>
        </w:tc>
        <w:tc>
          <w:tcPr>
            <w:tcW w:w="778" w:type="dxa"/>
          </w:tcPr>
          <w:p w14:paraId="25AA17D5">
            <w:pPr>
              <w:spacing w:before="0" w:after="0" w:line="240" w:lineRule="auto"/>
              <w:jc w:val="center"/>
            </w:pPr>
            <w:r>
              <w:rPr>
                <w:rFonts w:ascii="Times New Roman" w:hAnsi="Times New Roman" w:eastAsia="宋体"/>
                <w:b w:val="0"/>
                <w:sz w:val="15"/>
              </w:rPr>
              <w:t>0.0200 (1.33)</w:t>
            </w:r>
          </w:p>
        </w:tc>
        <w:tc>
          <w:tcPr>
            <w:tcW w:w="1248" w:type="dxa"/>
          </w:tcPr>
          <w:p w14:paraId="4CBEF45B">
            <w:pPr>
              <w:spacing w:before="0" w:after="0" w:line="240" w:lineRule="auto"/>
              <w:jc w:val="center"/>
            </w:pPr>
            <w:r>
              <w:rPr>
                <w:rFonts w:ascii="Times New Roman" w:hAnsi="Times New Roman" w:eastAsia="宋体"/>
                <w:b w:val="0"/>
                <w:sz w:val="15"/>
              </w:rPr>
              <w:t>0.0549** (2.48)</w:t>
            </w:r>
          </w:p>
        </w:tc>
        <w:tc>
          <w:tcPr>
            <w:tcW w:w="1063" w:type="dxa"/>
          </w:tcPr>
          <w:p w14:paraId="21AEEABA">
            <w:pPr>
              <w:spacing w:before="0" w:after="0" w:line="240" w:lineRule="auto"/>
              <w:jc w:val="center"/>
            </w:pPr>
            <w:r>
              <w:rPr>
                <w:rFonts w:ascii="Times New Roman" w:hAnsi="Times New Roman" w:eastAsia="宋体"/>
                <w:b w:val="0"/>
                <w:sz w:val="15"/>
              </w:rPr>
              <w:t>0.1821*** (16.97)</w:t>
            </w:r>
          </w:p>
        </w:tc>
        <w:tc>
          <w:tcPr>
            <w:tcW w:w="962" w:type="dxa"/>
          </w:tcPr>
          <w:p w14:paraId="0C5FF8F0">
            <w:pPr>
              <w:spacing w:before="0" w:after="0" w:line="240" w:lineRule="auto"/>
              <w:jc w:val="center"/>
            </w:pPr>
            <w:r>
              <w:rPr>
                <w:rFonts w:ascii="Times New Roman" w:hAnsi="Times New Roman" w:eastAsia="宋体"/>
                <w:b w:val="0"/>
                <w:sz w:val="15"/>
              </w:rPr>
              <w:t>0.0100 (0.75)</w:t>
            </w:r>
          </w:p>
        </w:tc>
        <w:tc>
          <w:tcPr>
            <w:tcW w:w="865" w:type="dxa"/>
          </w:tcPr>
          <w:p w14:paraId="059B6C9D">
            <w:pPr>
              <w:spacing w:before="0" w:after="0" w:line="240" w:lineRule="auto"/>
              <w:jc w:val="center"/>
            </w:pPr>
            <w:r>
              <w:rPr>
                <w:rFonts w:ascii="Times New Roman" w:hAnsi="Times New Roman" w:eastAsia="宋体"/>
                <w:b w:val="0"/>
                <w:sz w:val="15"/>
              </w:rPr>
              <w:t>0.0100</w:t>
            </w:r>
          </w:p>
        </w:tc>
        <w:tc>
          <w:tcPr>
            <w:tcW w:w="825" w:type="dxa"/>
          </w:tcPr>
          <w:p w14:paraId="6F42BA8E">
            <w:pPr>
              <w:spacing w:before="0" w:after="0" w:line="240" w:lineRule="auto"/>
              <w:jc w:val="center"/>
            </w:pPr>
            <w:r>
              <w:rPr>
                <w:rFonts w:ascii="Times New Roman" w:hAnsi="Times New Roman" w:eastAsia="宋体"/>
                <w:b w:val="0"/>
                <w:sz w:val="15"/>
              </w:rPr>
              <w:t>50.05%</w:t>
            </w:r>
          </w:p>
        </w:tc>
        <w:tc>
          <w:tcPr>
            <w:tcW w:w="744" w:type="dxa"/>
          </w:tcPr>
          <w:p w14:paraId="2DEC9BE4">
            <w:pPr>
              <w:spacing w:before="0" w:after="0" w:line="240" w:lineRule="auto"/>
              <w:jc w:val="center"/>
            </w:pPr>
            <w:r>
              <w:rPr>
                <w:rFonts w:ascii="Times New Roman" w:hAnsi="Times New Roman" w:eastAsia="宋体"/>
                <w:b w:val="0"/>
                <w:sz w:val="15"/>
              </w:rPr>
              <w:t>2.451</w:t>
            </w:r>
          </w:p>
        </w:tc>
        <w:tc>
          <w:tcPr>
            <w:tcW w:w="707" w:type="dxa"/>
          </w:tcPr>
          <w:p w14:paraId="4DD24FF0">
            <w:pPr>
              <w:spacing w:before="0" w:after="0" w:line="240" w:lineRule="auto"/>
              <w:jc w:val="center"/>
            </w:pPr>
            <w:r>
              <w:rPr>
                <w:rFonts w:ascii="Times New Roman" w:hAnsi="Times New Roman" w:eastAsia="宋体"/>
                <w:b w:val="0"/>
                <w:sz w:val="15"/>
              </w:rPr>
              <w:t>11571</w:t>
            </w:r>
          </w:p>
        </w:tc>
      </w:tr>
      <w:tr w14:paraId="7862F58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362" w:type="dxa"/>
          </w:tcPr>
          <w:p w14:paraId="788F3C6C">
            <w:pPr>
              <w:spacing w:before="0" w:after="0" w:line="240" w:lineRule="auto"/>
              <w:jc w:val="center"/>
            </w:pPr>
            <w:r>
              <w:rPr>
                <w:rFonts w:ascii="Times New Roman" w:hAnsi="Times New Roman" w:eastAsia="宋体"/>
                <w:b w:val="0"/>
                <w:sz w:val="15"/>
              </w:rPr>
              <w:t>管理效率（内控质量）</w:t>
            </w:r>
          </w:p>
        </w:tc>
        <w:tc>
          <w:tcPr>
            <w:tcW w:w="1084" w:type="dxa"/>
          </w:tcPr>
          <w:p w14:paraId="70F51F74">
            <w:pPr>
              <w:spacing w:before="0" w:after="0" w:line="240" w:lineRule="auto"/>
              <w:jc w:val="center"/>
            </w:pPr>
            <w:r>
              <w:rPr>
                <w:rFonts w:ascii="Times New Roman" w:hAnsi="Times New Roman" w:eastAsia="宋体"/>
                <w:b w:val="0"/>
                <w:sz w:val="15"/>
              </w:rPr>
              <w:t>IC</w:t>
            </w:r>
          </w:p>
        </w:tc>
        <w:tc>
          <w:tcPr>
            <w:tcW w:w="778" w:type="dxa"/>
          </w:tcPr>
          <w:p w14:paraId="6CD30929">
            <w:pPr>
              <w:spacing w:before="0" w:after="0" w:line="240" w:lineRule="auto"/>
              <w:jc w:val="center"/>
            </w:pPr>
            <w:r>
              <w:rPr>
                <w:rFonts w:ascii="Times New Roman" w:hAnsi="Times New Roman" w:eastAsia="宋体"/>
                <w:b w:val="0"/>
                <w:sz w:val="15"/>
              </w:rPr>
              <w:t>0.0219 (1.42)</w:t>
            </w:r>
          </w:p>
        </w:tc>
        <w:tc>
          <w:tcPr>
            <w:tcW w:w="1248" w:type="dxa"/>
          </w:tcPr>
          <w:p w14:paraId="71C5BC95">
            <w:pPr>
              <w:spacing w:before="0" w:after="0" w:line="240" w:lineRule="auto"/>
              <w:jc w:val="center"/>
            </w:pPr>
            <w:r>
              <w:rPr>
                <w:rFonts w:ascii="Times New Roman" w:hAnsi="Times New Roman" w:eastAsia="宋体"/>
                <w:b w:val="0"/>
                <w:sz w:val="15"/>
              </w:rPr>
              <w:t>0.0020 (0.13)</w:t>
            </w:r>
          </w:p>
        </w:tc>
        <w:tc>
          <w:tcPr>
            <w:tcW w:w="1063" w:type="dxa"/>
          </w:tcPr>
          <w:p w14:paraId="2B23D649">
            <w:pPr>
              <w:spacing w:before="0" w:after="0" w:line="240" w:lineRule="auto"/>
              <w:jc w:val="center"/>
            </w:pPr>
            <w:r>
              <w:rPr>
                <w:rFonts w:ascii="Times New Roman" w:hAnsi="Times New Roman" w:eastAsia="宋体"/>
                <w:b w:val="0"/>
                <w:sz w:val="15"/>
              </w:rPr>
              <w:t>0.0015 (0.12)</w:t>
            </w:r>
          </w:p>
        </w:tc>
        <w:tc>
          <w:tcPr>
            <w:tcW w:w="962" w:type="dxa"/>
          </w:tcPr>
          <w:p w14:paraId="72D7C32F">
            <w:pPr>
              <w:spacing w:before="0" w:after="0" w:line="240" w:lineRule="auto"/>
              <w:jc w:val="center"/>
            </w:pPr>
            <w:r>
              <w:rPr>
                <w:rFonts w:ascii="Times New Roman" w:hAnsi="Times New Roman" w:eastAsia="宋体"/>
                <w:b w:val="0"/>
                <w:sz w:val="15"/>
              </w:rPr>
              <w:t>0.0249 (1.56)</w:t>
            </w:r>
          </w:p>
        </w:tc>
        <w:tc>
          <w:tcPr>
            <w:tcW w:w="865" w:type="dxa"/>
          </w:tcPr>
          <w:p w14:paraId="126155D7">
            <w:pPr>
              <w:spacing w:before="0" w:after="0" w:line="240" w:lineRule="auto"/>
              <w:jc w:val="center"/>
            </w:pPr>
            <w:r>
              <w:rPr>
                <w:rFonts w:ascii="Times New Roman" w:hAnsi="Times New Roman" w:eastAsia="宋体"/>
                <w:b w:val="0"/>
                <w:sz w:val="15"/>
              </w:rPr>
              <w:t>0.0000</w:t>
            </w:r>
          </w:p>
        </w:tc>
        <w:tc>
          <w:tcPr>
            <w:tcW w:w="825" w:type="dxa"/>
          </w:tcPr>
          <w:p w14:paraId="4EF34577">
            <w:pPr>
              <w:spacing w:before="0" w:after="0" w:line="240" w:lineRule="auto"/>
              <w:jc w:val="center"/>
            </w:pPr>
            <w:r>
              <w:rPr>
                <w:rFonts w:ascii="Times New Roman" w:hAnsi="Times New Roman" w:eastAsia="宋体"/>
                <w:b w:val="0"/>
                <w:sz w:val="15"/>
              </w:rPr>
              <w:t>0.01%</w:t>
            </w:r>
          </w:p>
        </w:tc>
        <w:tc>
          <w:tcPr>
            <w:tcW w:w="744" w:type="dxa"/>
          </w:tcPr>
          <w:p w14:paraId="2D9C155C">
            <w:pPr>
              <w:spacing w:before="0" w:after="0" w:line="240" w:lineRule="auto"/>
              <w:jc w:val="center"/>
            </w:pPr>
            <w:r>
              <w:rPr>
                <w:rFonts w:ascii="Times New Roman" w:hAnsi="Times New Roman" w:eastAsia="宋体"/>
                <w:b w:val="0"/>
                <w:sz w:val="15"/>
              </w:rPr>
              <w:t>0.088</w:t>
            </w:r>
          </w:p>
        </w:tc>
        <w:tc>
          <w:tcPr>
            <w:tcW w:w="707" w:type="dxa"/>
          </w:tcPr>
          <w:p w14:paraId="74231100">
            <w:pPr>
              <w:spacing w:before="0" w:after="0" w:line="240" w:lineRule="auto"/>
              <w:jc w:val="center"/>
            </w:pPr>
            <w:r>
              <w:rPr>
                <w:rFonts w:ascii="Times New Roman" w:hAnsi="Times New Roman" w:eastAsia="宋体"/>
                <w:b w:val="0"/>
                <w:sz w:val="15"/>
              </w:rPr>
              <w:t>9982</w:t>
            </w:r>
          </w:p>
        </w:tc>
      </w:tr>
      <w:tr w14:paraId="11BB88C8">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1362" w:type="dxa"/>
          </w:tcPr>
          <w:p w14:paraId="67E96308">
            <w:pPr>
              <w:spacing w:before="0" w:after="0" w:line="240" w:lineRule="auto"/>
              <w:jc w:val="center"/>
            </w:pPr>
            <w:r>
              <w:rPr>
                <w:rFonts w:ascii="Times New Roman" w:hAnsi="Times New Roman" w:eastAsia="宋体"/>
                <w:b w:val="0"/>
                <w:sz w:val="15"/>
              </w:rPr>
              <w:t>资源配置优化（绿色并购）</w:t>
            </w:r>
          </w:p>
        </w:tc>
        <w:tc>
          <w:tcPr>
            <w:tcW w:w="1084" w:type="dxa"/>
          </w:tcPr>
          <w:p w14:paraId="737F94E8">
            <w:pPr>
              <w:spacing w:before="0" w:after="0" w:line="240" w:lineRule="auto"/>
              <w:jc w:val="center"/>
            </w:pPr>
            <w:r>
              <w:rPr>
                <w:rFonts w:ascii="Times New Roman" w:hAnsi="Times New Roman" w:eastAsia="宋体"/>
                <w:b w:val="0"/>
                <w:sz w:val="15"/>
              </w:rPr>
              <w:t>MA</w:t>
            </w:r>
          </w:p>
        </w:tc>
        <w:tc>
          <w:tcPr>
            <w:tcW w:w="778" w:type="dxa"/>
          </w:tcPr>
          <w:p w14:paraId="1763E754">
            <w:pPr>
              <w:spacing w:before="0" w:after="0" w:line="240" w:lineRule="auto"/>
              <w:jc w:val="center"/>
            </w:pPr>
            <w:r>
              <w:rPr>
                <w:rFonts w:ascii="Times New Roman" w:hAnsi="Times New Roman" w:eastAsia="宋体"/>
                <w:b w:val="0"/>
                <w:sz w:val="15"/>
              </w:rPr>
              <w:t>0.0253 (1.61)</w:t>
            </w:r>
          </w:p>
        </w:tc>
        <w:tc>
          <w:tcPr>
            <w:tcW w:w="1248" w:type="dxa"/>
          </w:tcPr>
          <w:p w14:paraId="10D89F62">
            <w:pPr>
              <w:spacing w:before="0" w:after="0" w:line="240" w:lineRule="auto"/>
              <w:jc w:val="center"/>
            </w:pPr>
            <w:r>
              <w:rPr>
                <w:rFonts w:ascii="Times New Roman" w:hAnsi="Times New Roman" w:eastAsia="宋体"/>
                <w:b w:val="0"/>
                <w:sz w:val="15"/>
              </w:rPr>
              <w:t>0.0294* (1.68)</w:t>
            </w:r>
          </w:p>
        </w:tc>
        <w:tc>
          <w:tcPr>
            <w:tcW w:w="1063" w:type="dxa"/>
          </w:tcPr>
          <w:p w14:paraId="22EAB18F">
            <w:pPr>
              <w:spacing w:before="0" w:after="0" w:line="240" w:lineRule="auto"/>
              <w:jc w:val="center"/>
            </w:pPr>
            <w:r>
              <w:rPr>
                <w:rFonts w:ascii="Times New Roman" w:hAnsi="Times New Roman" w:eastAsia="宋体"/>
                <w:b w:val="0"/>
                <w:sz w:val="15"/>
              </w:rPr>
              <w:t>0.0121* (1.69)</w:t>
            </w:r>
          </w:p>
        </w:tc>
        <w:tc>
          <w:tcPr>
            <w:tcW w:w="962" w:type="dxa"/>
          </w:tcPr>
          <w:p w14:paraId="4D927785">
            <w:pPr>
              <w:spacing w:before="0" w:after="0" w:line="240" w:lineRule="auto"/>
              <w:jc w:val="center"/>
            </w:pPr>
            <w:r>
              <w:rPr>
                <w:rFonts w:ascii="Times New Roman" w:hAnsi="Times New Roman" w:eastAsia="宋体"/>
                <w:b w:val="0"/>
                <w:sz w:val="15"/>
              </w:rPr>
              <w:t>0.0250 (1.59)</w:t>
            </w:r>
          </w:p>
        </w:tc>
        <w:tc>
          <w:tcPr>
            <w:tcW w:w="865" w:type="dxa"/>
          </w:tcPr>
          <w:p w14:paraId="650D135A">
            <w:pPr>
              <w:spacing w:before="0" w:after="0" w:line="240" w:lineRule="auto"/>
              <w:jc w:val="center"/>
            </w:pPr>
            <w:r>
              <w:rPr>
                <w:rFonts w:ascii="Times New Roman" w:hAnsi="Times New Roman" w:eastAsia="宋体"/>
                <w:b w:val="0"/>
                <w:sz w:val="15"/>
              </w:rPr>
              <w:t>0.0004</w:t>
            </w:r>
          </w:p>
        </w:tc>
        <w:tc>
          <w:tcPr>
            <w:tcW w:w="825" w:type="dxa"/>
          </w:tcPr>
          <w:p w14:paraId="0D8198A9">
            <w:pPr>
              <w:spacing w:before="0" w:after="0" w:line="240" w:lineRule="auto"/>
              <w:jc w:val="center"/>
            </w:pPr>
            <w:r>
              <w:rPr>
                <w:rFonts w:ascii="Times New Roman" w:hAnsi="Times New Roman" w:eastAsia="宋体"/>
                <w:b w:val="0"/>
                <w:sz w:val="15"/>
              </w:rPr>
              <w:t>1.40%</w:t>
            </w:r>
          </w:p>
        </w:tc>
        <w:tc>
          <w:tcPr>
            <w:tcW w:w="744" w:type="dxa"/>
          </w:tcPr>
          <w:p w14:paraId="7CBFD87A">
            <w:pPr>
              <w:spacing w:before="0" w:after="0" w:line="240" w:lineRule="auto"/>
              <w:jc w:val="center"/>
            </w:pPr>
            <w:r>
              <w:rPr>
                <w:rFonts w:ascii="Times New Roman" w:hAnsi="Times New Roman" w:eastAsia="宋体"/>
                <w:b w:val="0"/>
                <w:sz w:val="15"/>
              </w:rPr>
              <w:t>1.193</w:t>
            </w:r>
          </w:p>
        </w:tc>
        <w:tc>
          <w:tcPr>
            <w:tcW w:w="707" w:type="dxa"/>
          </w:tcPr>
          <w:p w14:paraId="41EE79EA">
            <w:pPr>
              <w:spacing w:before="0" w:after="0" w:line="240" w:lineRule="auto"/>
              <w:jc w:val="center"/>
            </w:pPr>
            <w:r>
              <w:rPr>
                <w:rFonts w:ascii="Times New Roman" w:hAnsi="Times New Roman" w:eastAsia="宋体"/>
                <w:b w:val="0"/>
                <w:sz w:val="15"/>
              </w:rPr>
              <w:t>10142</w:t>
            </w:r>
          </w:p>
        </w:tc>
      </w:tr>
    </w:tbl>
    <w:p w14:paraId="37A891A6">
      <w:pPr>
        <w:spacing w:before="40" w:after="120" w:line="240" w:lineRule="auto"/>
        <w:ind w:firstLine="180" w:firstLineChars="100"/>
        <w:jc w:val="left"/>
      </w:pPr>
      <w:r>
        <w:rPr>
          <w:rFonts w:ascii="Times New Roman" w:hAnsi="Times New Roman" w:eastAsia="宋体"/>
          <w:b w:val="0"/>
          <w:sz w:val="18"/>
        </w:rPr>
        <w:t>注：N为对应路径三条回归方程的实际估计样本量（取a、b方程中受中介变量可得性约束的样本）；中介效应=a×b，占比=a×b/c；Sobel检验Z值基于一阶泰勒展开标准误；管理效率样本期为2010—2024年（受内控数据可得性约束）、绿色并购样本期为2012—2024年；仅绿色技术创新通过Sobel检验（5%水平）。</w:t>
      </w:r>
    </w:p>
    <w:p w14:paraId="2332FA63">
      <w:pPr>
        <w:spacing w:before="160" w:after="80" w:line="240" w:lineRule="auto"/>
        <w:jc w:val="left"/>
      </w:pPr>
      <w:r>
        <w:rPr>
          <w:rFonts w:ascii="Times New Roman" w:hAnsi="Times New Roman" w:eastAsia="黑体"/>
          <w:b/>
          <w:sz w:val="21"/>
        </w:rPr>
        <w:t>6.2 溢出效应检验</w:t>
      </w:r>
    </w:p>
    <w:p w14:paraId="7EDF28DE">
      <w:pPr>
        <w:spacing w:before="0" w:after="0" w:line="240" w:lineRule="auto"/>
        <w:ind w:firstLine="420" w:firstLineChars="200"/>
        <w:jc w:val="both"/>
      </w:pPr>
      <w:r>
        <w:rPr>
          <w:rFonts w:ascii="Times New Roman" w:hAnsi="Times New Roman" w:eastAsia="宋体"/>
          <w:b w:val="0"/>
          <w:sz w:val="21"/>
        </w:rPr>
        <w:t>本部分以同行业（行业代码—年份）和同省份（省份—年份）其他企业的数智技术赋能与环境绩效均值构造空间滞后项，检验跨主体溢出效应，并将结果分解为直接效应与间接效应。</w:t>
      </w:r>
    </w:p>
    <w:p w14:paraId="753FDAFD">
      <w:pPr>
        <w:spacing w:before="0" w:after="0" w:line="240" w:lineRule="auto"/>
        <w:ind w:firstLine="420" w:firstLineChars="200"/>
        <w:jc w:val="both"/>
      </w:pPr>
      <w:r>
        <w:rPr>
          <w:rFonts w:ascii="Times New Roman" w:hAnsi="Times New Roman" w:eastAsia="宋体"/>
          <w:b w:val="0"/>
          <w:sz w:val="21"/>
        </w:rPr>
        <w:t>两类权重矩阵的结果有同有异。</w:t>
      </w:r>
    </w:p>
    <w:p w14:paraId="363C60FC">
      <w:pPr>
        <w:spacing w:before="0" w:after="0" w:line="240" w:lineRule="auto"/>
        <w:ind w:firstLine="420" w:firstLineChars="200"/>
        <w:jc w:val="both"/>
      </w:pPr>
      <w:r>
        <w:rPr>
          <w:rFonts w:ascii="Times New Roman" w:hAnsi="Times New Roman" w:eastAsia="宋体"/>
          <w:b w:val="0"/>
          <w:sz w:val="21"/>
        </w:rPr>
        <w:t>行业权重下，直接效应为0.0137，间接效应为0.0275，方向都为正，但均未达显著。不过同行业环境绩效的空间滞后项系数为0.4451，1%水平显著。这说明行业内企业的环境表现确实存在联动。</w:t>
      </w:r>
    </w:p>
    <w:p w14:paraId="7F8CF7F6">
      <w:pPr>
        <w:spacing w:before="0" w:after="0" w:line="240" w:lineRule="auto"/>
        <w:ind w:firstLine="420" w:firstLineChars="200"/>
        <w:jc w:val="both"/>
      </w:pPr>
      <w:r>
        <w:rPr>
          <w:rFonts w:ascii="Times New Roman" w:hAnsi="Times New Roman" w:eastAsia="宋体"/>
          <w:b w:val="0"/>
          <w:sz w:val="21"/>
        </w:rPr>
        <w:t>省份权重下，直接效应0.0192仍不显著，间接效应-0.0047已接近于零。同区域环境绩效的滞后项系数为0.1898，1%水平显著，但联动强度弱于行业口径。</w:t>
      </w:r>
    </w:p>
    <w:p w14:paraId="2DD2FC4E">
      <w:pPr>
        <w:spacing w:before="0" w:after="0" w:line="240" w:lineRule="auto"/>
        <w:ind w:firstLine="420" w:firstLineChars="200"/>
        <w:jc w:val="both"/>
      </w:pPr>
      <w:r>
        <w:rPr>
          <w:rFonts w:ascii="Times New Roman" w:hAnsi="Times New Roman" w:eastAsia="宋体"/>
          <w:b w:val="0"/>
          <w:sz w:val="21"/>
        </w:rPr>
        <w:t>本文的权重仅以行业与省份的组内均值为构造依据，未纳入供应链上下游、技术相似性或地理距离，也未估计空间误差项与反馈乘数。因此，本节结论应理解为“在这一设定下未发现稳健溢出”，而非对所有溢出渠道的否定。</w:t>
      </w:r>
    </w:p>
    <w:p w14:paraId="10755AB7">
      <w:pPr>
        <w:spacing w:before="0" w:after="0" w:line="240" w:lineRule="auto"/>
        <w:ind w:firstLine="420" w:firstLineChars="200"/>
        <w:jc w:val="both"/>
      </w:pPr>
      <w:r>
        <w:rPr>
          <w:rFonts w:ascii="Times New Roman" w:hAnsi="Times New Roman" w:eastAsia="宋体"/>
          <w:b w:val="0"/>
          <w:sz w:val="21"/>
        </w:rPr>
        <w:t>综合两类权重矩阵的结果，同群企业的环境绩效存在显著联动，但未发现数智技术赋能通过空间渠道影响其他企业环境绩效的稳健证据。可能的原因有三：一是企业间绿色技术的流动依赖于供应链与技术交易关系，单纯的行业或地域邻近不足以刻画溢出的真实通道；二是样本期内数智化投入的绝对水平仍然较低，尚未形成足以外溢的技术势能；三是本文采用的组内均值权重设定较为简化，未纳入反馈乘数。上述判断提示，H5在本样本期内未获支持。</w:t>
      </w:r>
    </w:p>
    <w:p w14:paraId="1E031DC9">
      <w:pPr>
        <w:spacing w:before="0" w:after="0" w:line="240" w:lineRule="auto"/>
        <w:ind w:firstLine="420" w:firstLineChars="200"/>
        <w:jc w:val="both"/>
      </w:pPr>
      <w:r>
        <w:rPr>
          <w:rFonts w:ascii="Times New Roman" w:hAnsi="Times New Roman" w:eastAsia="宋体"/>
          <w:b w:val="0"/>
          <w:sz w:val="21"/>
        </w:rPr>
        <w:t>图5呈现数智赋能水平与绿色专利产出的同步趋势，图6、图7与图8则分别报告绿色专利申请的东中西部差异、省域累计分布与行业区域分组对比。</w:t>
      </w:r>
    </w:p>
    <w:p w14:paraId="14520414">
      <w:pPr>
        <w:spacing w:before="0" w:after="0" w:line="240" w:lineRule="auto"/>
        <w:ind w:firstLine="420" w:firstLineChars="200"/>
        <w:jc w:val="both"/>
      </w:pPr>
      <w:r>
        <w:rPr>
          <w:rFonts w:ascii="Times New Roman" w:hAnsi="Times New Roman" w:eastAsia="宋体"/>
          <w:b w:val="0"/>
          <w:sz w:val="21"/>
        </w:rPr>
        <w:t>两类空间权重矩阵下的回归结果如表15所示。</w:t>
      </w:r>
    </w:p>
    <w:p w14:paraId="34D81168">
      <w:pPr>
        <w:spacing w:before="120" w:after="20" w:line="240" w:lineRule="auto"/>
        <w:jc w:val="center"/>
      </w:pPr>
      <w:r>
        <w:rPr>
          <w:rFonts w:ascii="Times New Roman" w:hAnsi="Times New Roman" w:eastAsia="黑体"/>
          <w:b w:val="0"/>
          <w:sz w:val="18"/>
        </w:rPr>
        <w:t>表15 空间权重回归结果</w:t>
      </w:r>
    </w:p>
    <w:p w14:paraId="57202EF1">
      <w:pPr>
        <w:spacing w:before="0" w:after="60" w:line="240" w:lineRule="auto"/>
        <w:jc w:val="center"/>
      </w:pPr>
      <w:r>
        <w:rPr>
          <w:rFonts w:ascii="Times New Roman" w:hAnsi="Times New Roman" w:eastAsia="宋体"/>
          <w:b w:val="0"/>
          <w:sz w:val="16"/>
        </w:rPr>
        <w:t>Table 15 Spatial weight regression results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51"/>
        <w:gridCol w:w="1057"/>
        <w:gridCol w:w="879"/>
        <w:gridCol w:w="1187"/>
        <w:gridCol w:w="995"/>
        <w:gridCol w:w="1023"/>
        <w:gridCol w:w="798"/>
        <w:gridCol w:w="900"/>
        <w:gridCol w:w="748"/>
      </w:tblGrid>
      <w:tr w14:paraId="1131799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51" w:type="dxa"/>
            <w:tcBorders>
              <w:bottom w:val="single" w:color="auto" w:sz="8" w:space="0"/>
            </w:tcBorders>
          </w:tcPr>
          <w:p w14:paraId="5BC08250">
            <w:pPr>
              <w:spacing w:before="0" w:after="0" w:line="240" w:lineRule="auto"/>
              <w:jc w:val="center"/>
            </w:pPr>
            <w:r>
              <w:rPr>
                <w:rFonts w:ascii="Times New Roman" w:hAnsi="Times New Roman" w:eastAsia="宋体"/>
                <w:b/>
                <w:sz w:val="15"/>
              </w:rPr>
              <w:t>空间权重矩阵</w:t>
            </w:r>
          </w:p>
        </w:tc>
        <w:tc>
          <w:tcPr>
            <w:tcW w:w="1057" w:type="dxa"/>
            <w:tcBorders>
              <w:bottom w:val="single" w:color="auto" w:sz="8" w:space="0"/>
            </w:tcBorders>
          </w:tcPr>
          <w:p w14:paraId="72098FA9">
            <w:pPr>
              <w:spacing w:before="0" w:after="0" w:line="240" w:lineRule="auto"/>
              <w:jc w:val="center"/>
            </w:pPr>
            <w:r>
              <w:rPr>
                <w:rFonts w:ascii="Times New Roman" w:hAnsi="Times New Roman" w:eastAsia="宋体"/>
                <w:b/>
                <w:sz w:val="15"/>
              </w:rPr>
              <w:t>直接效应</w:t>
            </w:r>
          </w:p>
        </w:tc>
        <w:tc>
          <w:tcPr>
            <w:tcW w:w="879" w:type="dxa"/>
            <w:tcBorders>
              <w:bottom w:val="single" w:color="auto" w:sz="8" w:space="0"/>
            </w:tcBorders>
          </w:tcPr>
          <w:p w14:paraId="51ECED75">
            <w:pPr>
              <w:spacing w:before="0" w:after="0" w:line="240" w:lineRule="auto"/>
              <w:jc w:val="center"/>
            </w:pPr>
            <w:r>
              <w:rPr>
                <w:rFonts w:ascii="Times New Roman" w:hAnsi="Times New Roman" w:eastAsia="宋体"/>
                <w:b/>
                <w:sz w:val="15"/>
              </w:rPr>
              <w:t>t值</w:t>
            </w:r>
          </w:p>
        </w:tc>
        <w:tc>
          <w:tcPr>
            <w:tcW w:w="1187" w:type="dxa"/>
            <w:tcBorders>
              <w:bottom w:val="single" w:color="auto" w:sz="8" w:space="0"/>
            </w:tcBorders>
          </w:tcPr>
          <w:p w14:paraId="6EF7209B">
            <w:pPr>
              <w:spacing w:before="0" w:after="0" w:line="240" w:lineRule="auto"/>
              <w:jc w:val="center"/>
            </w:pPr>
            <w:r>
              <w:rPr>
                <w:rFonts w:ascii="Times New Roman" w:hAnsi="Times New Roman" w:eastAsia="宋体"/>
                <w:b/>
                <w:sz w:val="15"/>
              </w:rPr>
              <w:t>间接效应</w:t>
            </w:r>
          </w:p>
        </w:tc>
        <w:tc>
          <w:tcPr>
            <w:tcW w:w="995" w:type="dxa"/>
            <w:tcBorders>
              <w:bottom w:val="single" w:color="auto" w:sz="8" w:space="0"/>
            </w:tcBorders>
          </w:tcPr>
          <w:p w14:paraId="31A36870">
            <w:pPr>
              <w:spacing w:before="0" w:after="0" w:line="240" w:lineRule="auto"/>
              <w:jc w:val="center"/>
            </w:pPr>
            <w:r>
              <w:rPr>
                <w:rFonts w:ascii="Times New Roman" w:hAnsi="Times New Roman" w:eastAsia="宋体"/>
                <w:b/>
                <w:sz w:val="15"/>
              </w:rPr>
              <w:t>t值</w:t>
            </w:r>
          </w:p>
        </w:tc>
        <w:tc>
          <w:tcPr>
            <w:tcW w:w="1023" w:type="dxa"/>
            <w:tcBorders>
              <w:bottom w:val="single" w:color="auto" w:sz="8" w:space="0"/>
            </w:tcBorders>
          </w:tcPr>
          <w:p w14:paraId="09074D45">
            <w:pPr>
              <w:spacing w:before="0" w:after="0" w:line="240" w:lineRule="auto"/>
              <w:jc w:val="center"/>
            </w:pPr>
            <w:r>
              <w:rPr>
                <w:rFonts w:ascii="Times New Roman" w:hAnsi="Times New Roman" w:eastAsia="宋体"/>
                <w:b/>
                <w:sz w:val="15"/>
              </w:rPr>
              <w:t>总效应</w:t>
            </w:r>
          </w:p>
        </w:tc>
        <w:tc>
          <w:tcPr>
            <w:tcW w:w="798" w:type="dxa"/>
            <w:tcBorders>
              <w:bottom w:val="single" w:color="auto" w:sz="8" w:space="0"/>
            </w:tcBorders>
          </w:tcPr>
          <w:p w14:paraId="1CEB628B">
            <w:pPr>
              <w:spacing w:before="0" w:after="0" w:line="240" w:lineRule="auto"/>
              <w:jc w:val="center"/>
            </w:pPr>
            <w:r>
              <w:rPr>
                <w:rFonts w:ascii="Times New Roman" w:hAnsi="Times New Roman" w:eastAsia="宋体"/>
                <w:b/>
                <w:sz w:val="15"/>
              </w:rPr>
              <w:t>ρ</w:t>
            </w:r>
          </w:p>
        </w:tc>
        <w:tc>
          <w:tcPr>
            <w:tcW w:w="900" w:type="dxa"/>
            <w:tcBorders>
              <w:bottom w:val="single" w:color="auto" w:sz="8" w:space="0"/>
            </w:tcBorders>
          </w:tcPr>
          <w:p w14:paraId="6A4609E4">
            <w:pPr>
              <w:spacing w:before="0" w:after="0" w:line="240" w:lineRule="auto"/>
              <w:jc w:val="center"/>
            </w:pPr>
            <w:r>
              <w:rPr>
                <w:rFonts w:ascii="Times New Roman" w:hAnsi="Times New Roman" w:eastAsia="宋体"/>
                <w:b/>
                <w:sz w:val="15"/>
              </w:rPr>
              <w:t>t值</w:t>
            </w:r>
          </w:p>
        </w:tc>
        <w:tc>
          <w:tcPr>
            <w:tcW w:w="748" w:type="dxa"/>
            <w:tcBorders>
              <w:bottom w:val="single" w:color="auto" w:sz="8" w:space="0"/>
            </w:tcBorders>
          </w:tcPr>
          <w:p w14:paraId="076CF33B">
            <w:pPr>
              <w:spacing w:before="0" w:after="0" w:line="240" w:lineRule="auto"/>
              <w:jc w:val="center"/>
            </w:pPr>
            <w:r>
              <w:rPr>
                <w:rFonts w:ascii="Times New Roman" w:hAnsi="Times New Roman" w:eastAsia="宋体"/>
                <w:b/>
                <w:sz w:val="15"/>
              </w:rPr>
              <w:t>N</w:t>
            </w:r>
          </w:p>
        </w:tc>
      </w:tr>
      <w:tr w14:paraId="3FBF104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51" w:type="dxa"/>
          </w:tcPr>
          <w:p w14:paraId="5975F6AE">
            <w:pPr>
              <w:spacing w:before="0" w:after="0" w:line="240" w:lineRule="auto"/>
              <w:jc w:val="center"/>
            </w:pPr>
            <w:r>
              <w:rPr>
                <w:rFonts w:ascii="Times New Roman" w:hAnsi="Times New Roman" w:eastAsia="宋体"/>
                <w:b w:val="0"/>
                <w:sz w:val="15"/>
              </w:rPr>
              <w:t>行业空间权重矩阵</w:t>
            </w:r>
          </w:p>
        </w:tc>
        <w:tc>
          <w:tcPr>
            <w:tcW w:w="1057" w:type="dxa"/>
          </w:tcPr>
          <w:p w14:paraId="232A271B">
            <w:pPr>
              <w:spacing w:before="0" w:after="0" w:line="240" w:lineRule="auto"/>
              <w:jc w:val="center"/>
            </w:pPr>
            <w:r>
              <w:rPr>
                <w:rFonts w:ascii="Times New Roman" w:hAnsi="Times New Roman" w:eastAsia="宋体"/>
                <w:b w:val="0"/>
                <w:sz w:val="15"/>
              </w:rPr>
              <w:t>0.0137</w:t>
            </w:r>
          </w:p>
        </w:tc>
        <w:tc>
          <w:tcPr>
            <w:tcW w:w="879" w:type="dxa"/>
          </w:tcPr>
          <w:p w14:paraId="7D675176">
            <w:pPr>
              <w:spacing w:before="0" w:after="0" w:line="240" w:lineRule="auto"/>
              <w:jc w:val="center"/>
            </w:pPr>
            <w:r>
              <w:rPr>
                <w:rFonts w:ascii="Times New Roman" w:hAnsi="Times New Roman" w:eastAsia="宋体"/>
                <w:b w:val="0"/>
                <w:sz w:val="15"/>
              </w:rPr>
              <w:t>0.932</w:t>
            </w:r>
          </w:p>
        </w:tc>
        <w:tc>
          <w:tcPr>
            <w:tcW w:w="1187" w:type="dxa"/>
          </w:tcPr>
          <w:p w14:paraId="6CD5A822">
            <w:pPr>
              <w:spacing w:before="0" w:after="0" w:line="240" w:lineRule="auto"/>
              <w:jc w:val="center"/>
            </w:pPr>
            <w:r>
              <w:rPr>
                <w:rFonts w:ascii="Times New Roman" w:hAnsi="Times New Roman" w:eastAsia="宋体"/>
                <w:b w:val="0"/>
                <w:sz w:val="15"/>
              </w:rPr>
              <w:t>0.0275</w:t>
            </w:r>
          </w:p>
        </w:tc>
        <w:tc>
          <w:tcPr>
            <w:tcW w:w="995" w:type="dxa"/>
          </w:tcPr>
          <w:p w14:paraId="47CF9F0C">
            <w:pPr>
              <w:spacing w:before="0" w:after="0" w:line="240" w:lineRule="auto"/>
              <w:jc w:val="center"/>
            </w:pPr>
            <w:r>
              <w:rPr>
                <w:rFonts w:ascii="Times New Roman" w:hAnsi="Times New Roman" w:eastAsia="宋体"/>
                <w:b w:val="0"/>
                <w:sz w:val="15"/>
              </w:rPr>
              <w:t>0.812</w:t>
            </w:r>
          </w:p>
        </w:tc>
        <w:tc>
          <w:tcPr>
            <w:tcW w:w="1023" w:type="dxa"/>
          </w:tcPr>
          <w:p w14:paraId="3B3A8022">
            <w:pPr>
              <w:spacing w:before="0" w:after="0" w:line="240" w:lineRule="auto"/>
              <w:jc w:val="center"/>
            </w:pPr>
            <w:r>
              <w:rPr>
                <w:rFonts w:ascii="Times New Roman" w:hAnsi="Times New Roman" w:eastAsia="宋体"/>
                <w:b w:val="0"/>
                <w:sz w:val="15"/>
              </w:rPr>
              <w:t>0.0413</w:t>
            </w:r>
          </w:p>
        </w:tc>
        <w:tc>
          <w:tcPr>
            <w:tcW w:w="798" w:type="dxa"/>
          </w:tcPr>
          <w:p w14:paraId="4B2A610D">
            <w:pPr>
              <w:spacing w:before="0" w:after="0" w:line="240" w:lineRule="auto"/>
              <w:jc w:val="center"/>
            </w:pPr>
            <w:r>
              <w:rPr>
                <w:rFonts w:ascii="Times New Roman" w:hAnsi="Times New Roman" w:eastAsia="宋体"/>
                <w:b w:val="0"/>
                <w:sz w:val="15"/>
              </w:rPr>
              <w:t>0.4451</w:t>
            </w:r>
          </w:p>
        </w:tc>
        <w:tc>
          <w:tcPr>
            <w:tcW w:w="900" w:type="dxa"/>
          </w:tcPr>
          <w:p w14:paraId="4B0B393B">
            <w:pPr>
              <w:spacing w:before="0" w:after="0" w:line="240" w:lineRule="auto"/>
              <w:jc w:val="center"/>
            </w:pPr>
            <w:r>
              <w:rPr>
                <w:rFonts w:ascii="Times New Roman" w:hAnsi="Times New Roman" w:eastAsia="宋体"/>
                <w:b w:val="0"/>
                <w:sz w:val="15"/>
              </w:rPr>
              <w:t>11.249</w:t>
            </w:r>
          </w:p>
        </w:tc>
        <w:tc>
          <w:tcPr>
            <w:tcW w:w="748" w:type="dxa"/>
          </w:tcPr>
          <w:p w14:paraId="61DF8E5C">
            <w:pPr>
              <w:spacing w:before="0" w:after="0" w:line="240" w:lineRule="auto"/>
              <w:jc w:val="center"/>
            </w:pPr>
            <w:r>
              <w:rPr>
                <w:rFonts w:ascii="Times New Roman" w:hAnsi="Times New Roman" w:eastAsia="宋体"/>
                <w:b w:val="0"/>
                <w:sz w:val="15"/>
              </w:rPr>
              <w:t>11352</w:t>
            </w:r>
          </w:p>
        </w:tc>
      </w:tr>
      <w:tr w14:paraId="34677C2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51" w:type="dxa"/>
          </w:tcPr>
          <w:p w14:paraId="78C9392C">
            <w:pPr>
              <w:spacing w:before="0" w:after="0" w:line="240" w:lineRule="auto"/>
              <w:jc w:val="center"/>
            </w:pPr>
            <w:r>
              <w:rPr>
                <w:rFonts w:ascii="Times New Roman" w:hAnsi="Times New Roman" w:eastAsia="宋体"/>
                <w:b w:val="0"/>
                <w:sz w:val="15"/>
              </w:rPr>
              <w:t>区域（省份）空间权重矩阵</w:t>
            </w:r>
          </w:p>
        </w:tc>
        <w:tc>
          <w:tcPr>
            <w:tcW w:w="1057" w:type="dxa"/>
          </w:tcPr>
          <w:p w14:paraId="3E0D084C">
            <w:pPr>
              <w:spacing w:before="0" w:after="0" w:line="240" w:lineRule="auto"/>
              <w:jc w:val="center"/>
            </w:pPr>
            <w:r>
              <w:rPr>
                <w:rFonts w:ascii="Times New Roman" w:hAnsi="Times New Roman" w:eastAsia="宋体"/>
                <w:b w:val="0"/>
                <w:sz w:val="15"/>
              </w:rPr>
              <w:t>0.0192</w:t>
            </w:r>
          </w:p>
        </w:tc>
        <w:tc>
          <w:tcPr>
            <w:tcW w:w="879" w:type="dxa"/>
          </w:tcPr>
          <w:p w14:paraId="47E2A8CD">
            <w:pPr>
              <w:spacing w:before="0" w:after="0" w:line="240" w:lineRule="auto"/>
              <w:jc w:val="center"/>
            </w:pPr>
            <w:r>
              <w:rPr>
                <w:rFonts w:ascii="Times New Roman" w:hAnsi="Times New Roman" w:eastAsia="宋体"/>
                <w:b w:val="0"/>
                <w:sz w:val="15"/>
              </w:rPr>
              <w:t>1.296</w:t>
            </w:r>
          </w:p>
        </w:tc>
        <w:tc>
          <w:tcPr>
            <w:tcW w:w="1187" w:type="dxa"/>
          </w:tcPr>
          <w:p w14:paraId="4BBD6CDE">
            <w:pPr>
              <w:spacing w:before="0" w:after="0" w:line="240" w:lineRule="auto"/>
              <w:jc w:val="center"/>
            </w:pPr>
            <w:r>
              <w:rPr>
                <w:rFonts w:ascii="Times New Roman" w:hAnsi="Times New Roman" w:eastAsia="宋体"/>
                <w:b w:val="0"/>
                <w:sz w:val="15"/>
              </w:rPr>
              <w:t>-0.0047</w:t>
            </w:r>
          </w:p>
        </w:tc>
        <w:tc>
          <w:tcPr>
            <w:tcW w:w="995" w:type="dxa"/>
          </w:tcPr>
          <w:p w14:paraId="39E93A1E">
            <w:pPr>
              <w:spacing w:before="0" w:after="0" w:line="240" w:lineRule="auto"/>
              <w:jc w:val="center"/>
            </w:pPr>
            <w:r>
              <w:rPr>
                <w:rFonts w:ascii="Times New Roman" w:hAnsi="Times New Roman" w:eastAsia="宋体"/>
                <w:b w:val="0"/>
                <w:sz w:val="15"/>
              </w:rPr>
              <w:t>-0.092</w:t>
            </w:r>
          </w:p>
        </w:tc>
        <w:tc>
          <w:tcPr>
            <w:tcW w:w="1023" w:type="dxa"/>
          </w:tcPr>
          <w:p w14:paraId="65A73595">
            <w:pPr>
              <w:spacing w:before="0" w:after="0" w:line="240" w:lineRule="auto"/>
              <w:jc w:val="center"/>
            </w:pPr>
            <w:r>
              <w:rPr>
                <w:rFonts w:ascii="Times New Roman" w:hAnsi="Times New Roman" w:eastAsia="宋体"/>
                <w:b w:val="0"/>
                <w:sz w:val="15"/>
              </w:rPr>
              <w:t>0.0145</w:t>
            </w:r>
          </w:p>
        </w:tc>
        <w:tc>
          <w:tcPr>
            <w:tcW w:w="798" w:type="dxa"/>
          </w:tcPr>
          <w:p w14:paraId="71DBE4FE">
            <w:pPr>
              <w:spacing w:before="0" w:after="0" w:line="240" w:lineRule="auto"/>
              <w:jc w:val="center"/>
            </w:pPr>
            <w:r>
              <w:rPr>
                <w:rFonts w:ascii="Times New Roman" w:hAnsi="Times New Roman" w:eastAsia="宋体"/>
                <w:b w:val="0"/>
                <w:sz w:val="15"/>
              </w:rPr>
              <w:t>0.1898</w:t>
            </w:r>
          </w:p>
        </w:tc>
        <w:tc>
          <w:tcPr>
            <w:tcW w:w="900" w:type="dxa"/>
          </w:tcPr>
          <w:p w14:paraId="4D17C56E">
            <w:pPr>
              <w:spacing w:before="0" w:after="0" w:line="240" w:lineRule="auto"/>
              <w:jc w:val="center"/>
            </w:pPr>
            <w:r>
              <w:rPr>
                <w:rFonts w:ascii="Times New Roman" w:hAnsi="Times New Roman" w:eastAsia="宋体"/>
                <w:b w:val="0"/>
                <w:sz w:val="15"/>
              </w:rPr>
              <w:t>3.320</w:t>
            </w:r>
          </w:p>
        </w:tc>
        <w:tc>
          <w:tcPr>
            <w:tcW w:w="748" w:type="dxa"/>
          </w:tcPr>
          <w:p w14:paraId="0D97C3E1">
            <w:pPr>
              <w:spacing w:before="0" w:after="0" w:line="240" w:lineRule="auto"/>
              <w:jc w:val="center"/>
            </w:pPr>
            <w:r>
              <w:rPr>
                <w:rFonts w:ascii="Times New Roman" w:hAnsi="Times New Roman" w:eastAsia="宋体"/>
                <w:b w:val="0"/>
                <w:sz w:val="15"/>
              </w:rPr>
              <w:t>11531</w:t>
            </w:r>
          </w:p>
        </w:tc>
      </w:tr>
    </w:tbl>
    <w:p w14:paraId="6D723B59">
      <w:pPr>
        <w:spacing w:before="40" w:after="120" w:line="240" w:lineRule="auto"/>
        <w:ind w:firstLine="180" w:firstLineChars="100"/>
        <w:jc w:val="left"/>
      </w:pPr>
      <w:r>
        <w:rPr>
          <w:rFonts w:ascii="Times New Roman" w:hAnsi="Times New Roman" w:eastAsia="宋体"/>
          <w:b w:val="0"/>
          <w:sz w:val="18"/>
        </w:rPr>
        <w:t>注：N为纳入空间权重回归的有效观测数；因空间滞后项由同组其他企业的均值构造，同行业—年份组或同省份—年份组内仅有1家企业的观测无法计算该均值，故被剔除（行业权重剔除219个、省份权重剔除40个）；括号内为t值；表中直接与间接效应为相应回归系数的简化分解，未计入ρ的空间反馈乘数；总效应=直接效应+间接效应。</w:t>
      </w:r>
    </w:p>
    <w:p w14:paraId="0443828D">
      <w:pPr>
        <w:spacing w:before="160" w:after="80" w:line="240" w:lineRule="auto"/>
        <w:jc w:val="left"/>
      </w:pPr>
      <w:r>
        <w:rPr>
          <w:rFonts w:ascii="Times New Roman" w:hAnsi="Times New Roman" w:eastAsia="黑体"/>
          <w:b/>
          <w:sz w:val="21"/>
        </w:rPr>
        <w:t>6.3 结果复核与一致性检验</w:t>
      </w:r>
    </w:p>
    <w:p w14:paraId="384C0121">
      <w:pPr>
        <w:spacing w:before="0" w:after="0" w:line="240" w:lineRule="auto"/>
        <w:ind w:firstLine="420" w:firstLineChars="200"/>
        <w:jc w:val="both"/>
      </w:pPr>
      <w:r>
        <w:rPr>
          <w:rFonts w:ascii="Times New Roman" w:hAnsi="Times New Roman" w:eastAsia="宋体"/>
          <w:b w:val="0"/>
          <w:sz w:val="21"/>
        </w:rPr>
        <w:t>结论的外部可验证性，靠三类复核检验支撑。先说随机子样本重复。以企业为抽样单位，随机抽取80%构成子样本，重复估计10次。数智赋能系数的均值为0.0177，标准差0.0103，取值区间[0.0059, 0.0367]，10次估计的符号全为正。系数的离散程度提示，样本构成会影响效应量级，但方向没有动摇。</w:t>
      </w:r>
    </w:p>
    <w:p w14:paraId="7212D7D3">
      <w:pPr>
        <w:spacing w:before="0" w:after="0" w:line="240" w:lineRule="auto"/>
        <w:ind w:firstLine="420" w:firstLineChars="200"/>
        <w:jc w:val="both"/>
      </w:pPr>
      <w:r>
        <w:rPr>
          <w:rFonts w:ascii="Times New Roman" w:hAnsi="Times New Roman" w:eastAsia="宋体"/>
          <w:b w:val="0"/>
          <w:sz w:val="21"/>
        </w:rPr>
        <w:t>随机子样本重复检验的结果如表16所示。</w:t>
      </w:r>
    </w:p>
    <w:p w14:paraId="06720FE4">
      <w:pPr>
        <w:spacing w:before="120" w:after="20" w:line="240" w:lineRule="auto"/>
        <w:jc w:val="center"/>
      </w:pPr>
      <w:r>
        <w:rPr>
          <w:rFonts w:ascii="Times New Roman" w:hAnsi="Times New Roman" w:eastAsia="黑体"/>
          <w:b w:val="0"/>
          <w:sz w:val="18"/>
        </w:rPr>
        <w:t>表16 随机子样本重复检验结果</w:t>
      </w:r>
    </w:p>
    <w:p w14:paraId="501A0165">
      <w:pPr>
        <w:spacing w:before="0" w:after="60" w:line="240" w:lineRule="auto"/>
        <w:jc w:val="center"/>
      </w:pPr>
      <w:r>
        <w:rPr>
          <w:rFonts w:ascii="Times New Roman" w:hAnsi="Times New Roman" w:eastAsia="宋体"/>
          <w:b w:val="0"/>
          <w:sz w:val="16"/>
        </w:rPr>
        <w:t>Table 16 Random subsample replication results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267"/>
        <w:gridCol w:w="4120"/>
        <w:gridCol w:w="1548"/>
        <w:gridCol w:w="1703"/>
      </w:tblGrid>
      <w:tr w14:paraId="621CF0EA">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7" w:type="dxa"/>
            <w:tcBorders>
              <w:bottom w:val="single" w:color="auto" w:sz="8" w:space="0"/>
            </w:tcBorders>
          </w:tcPr>
          <w:p w14:paraId="78D01D5B">
            <w:pPr>
              <w:spacing w:before="0" w:after="0" w:line="240" w:lineRule="auto"/>
              <w:jc w:val="center"/>
            </w:pPr>
            <w:r>
              <w:rPr>
                <w:rFonts w:ascii="Times New Roman" w:hAnsi="Times New Roman" w:eastAsia="宋体"/>
                <w:b/>
                <w:sz w:val="15"/>
              </w:rPr>
              <w:t>重复次数</w:t>
            </w:r>
          </w:p>
        </w:tc>
        <w:tc>
          <w:tcPr>
            <w:tcW w:w="4120" w:type="dxa"/>
            <w:tcBorders>
              <w:bottom w:val="single" w:color="auto" w:sz="8" w:space="0"/>
            </w:tcBorders>
          </w:tcPr>
          <w:p w14:paraId="34A02ACC">
            <w:pPr>
              <w:spacing w:before="0" w:after="0" w:line="240" w:lineRule="auto"/>
              <w:jc w:val="center"/>
            </w:pPr>
            <w:r>
              <w:rPr>
                <w:rFonts w:ascii="Times New Roman" w:hAnsi="Times New Roman" w:eastAsia="宋体"/>
                <w:b/>
                <w:sz w:val="15"/>
              </w:rPr>
              <w:t>Digit 系数</w:t>
            </w:r>
          </w:p>
        </w:tc>
        <w:tc>
          <w:tcPr>
            <w:tcW w:w="1548" w:type="dxa"/>
            <w:tcBorders>
              <w:bottom w:val="single" w:color="auto" w:sz="8" w:space="0"/>
            </w:tcBorders>
          </w:tcPr>
          <w:p w14:paraId="402B6145">
            <w:pPr>
              <w:spacing w:before="0" w:after="0" w:line="240" w:lineRule="auto"/>
              <w:jc w:val="center"/>
            </w:pPr>
            <w:r>
              <w:rPr>
                <w:rFonts w:ascii="Times New Roman" w:hAnsi="Times New Roman" w:eastAsia="宋体"/>
                <w:b/>
                <w:sz w:val="15"/>
              </w:rPr>
              <w:t>t值</w:t>
            </w:r>
          </w:p>
        </w:tc>
        <w:tc>
          <w:tcPr>
            <w:tcW w:w="1703" w:type="dxa"/>
            <w:tcBorders>
              <w:bottom w:val="single" w:color="auto" w:sz="8" w:space="0"/>
            </w:tcBorders>
          </w:tcPr>
          <w:p w14:paraId="2ACC2A05">
            <w:pPr>
              <w:spacing w:before="0" w:after="0" w:line="240" w:lineRule="auto"/>
              <w:jc w:val="center"/>
            </w:pPr>
            <w:r>
              <w:rPr>
                <w:rFonts w:ascii="Times New Roman" w:hAnsi="Times New Roman" w:eastAsia="宋体"/>
                <w:b/>
                <w:sz w:val="15"/>
              </w:rPr>
              <w:t>观测值</w:t>
            </w:r>
          </w:p>
        </w:tc>
      </w:tr>
      <w:tr w14:paraId="62E86833">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7" w:type="dxa"/>
          </w:tcPr>
          <w:p w14:paraId="0F17C742">
            <w:pPr>
              <w:spacing w:before="0" w:after="0" w:line="240" w:lineRule="auto"/>
              <w:jc w:val="center"/>
            </w:pPr>
            <w:r>
              <w:rPr>
                <w:rFonts w:ascii="Times New Roman" w:hAnsi="Times New Roman" w:eastAsia="宋体"/>
                <w:b w:val="0"/>
                <w:sz w:val="15"/>
              </w:rPr>
              <w:t>1—5次（均值）</w:t>
            </w:r>
          </w:p>
        </w:tc>
        <w:tc>
          <w:tcPr>
            <w:tcW w:w="4120" w:type="dxa"/>
          </w:tcPr>
          <w:p w14:paraId="4B6C7A03">
            <w:pPr>
              <w:spacing w:before="0" w:after="0" w:line="240" w:lineRule="auto"/>
              <w:jc w:val="center"/>
            </w:pPr>
            <w:r>
              <w:rPr>
                <w:rFonts w:ascii="Times New Roman" w:hAnsi="Times New Roman" w:eastAsia="宋体"/>
                <w:b w:val="0"/>
                <w:sz w:val="15"/>
              </w:rPr>
              <w:t>0.0171</w:t>
            </w:r>
          </w:p>
        </w:tc>
        <w:tc>
          <w:tcPr>
            <w:tcW w:w="1548" w:type="dxa"/>
          </w:tcPr>
          <w:p w14:paraId="7BF12A91">
            <w:pPr>
              <w:spacing w:before="0" w:after="0" w:line="240" w:lineRule="auto"/>
              <w:jc w:val="center"/>
            </w:pPr>
            <w:r>
              <w:rPr>
                <w:rFonts w:ascii="Times New Roman" w:hAnsi="Times New Roman" w:eastAsia="宋体"/>
                <w:b w:val="0"/>
                <w:sz w:val="15"/>
              </w:rPr>
              <w:t>1.128</w:t>
            </w:r>
          </w:p>
        </w:tc>
        <w:tc>
          <w:tcPr>
            <w:tcW w:w="1703" w:type="dxa"/>
          </w:tcPr>
          <w:p w14:paraId="7640524E">
            <w:pPr>
              <w:spacing w:before="0" w:after="0" w:line="240" w:lineRule="auto"/>
              <w:jc w:val="center"/>
            </w:pPr>
            <w:r>
              <w:rPr>
                <w:rFonts w:ascii="Times New Roman" w:hAnsi="Times New Roman" w:eastAsia="宋体"/>
                <w:b w:val="0"/>
                <w:sz w:val="15"/>
              </w:rPr>
              <w:t>9240</w:t>
            </w:r>
          </w:p>
        </w:tc>
      </w:tr>
      <w:tr w14:paraId="169D35F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7" w:type="dxa"/>
          </w:tcPr>
          <w:p w14:paraId="038BD901">
            <w:pPr>
              <w:spacing w:before="0" w:after="0" w:line="240" w:lineRule="auto"/>
              <w:jc w:val="center"/>
            </w:pPr>
            <w:r>
              <w:rPr>
                <w:rFonts w:ascii="Times New Roman" w:hAnsi="Times New Roman" w:eastAsia="宋体"/>
                <w:b w:val="0"/>
                <w:sz w:val="15"/>
              </w:rPr>
              <w:t>6—10次（均值）</w:t>
            </w:r>
          </w:p>
        </w:tc>
        <w:tc>
          <w:tcPr>
            <w:tcW w:w="4120" w:type="dxa"/>
          </w:tcPr>
          <w:p w14:paraId="1FFDB219">
            <w:pPr>
              <w:spacing w:before="0" w:after="0" w:line="240" w:lineRule="auto"/>
              <w:jc w:val="center"/>
            </w:pPr>
            <w:r>
              <w:rPr>
                <w:rFonts w:ascii="Times New Roman" w:hAnsi="Times New Roman" w:eastAsia="宋体"/>
                <w:b w:val="0"/>
                <w:sz w:val="15"/>
              </w:rPr>
              <w:t>0.0183</w:t>
            </w:r>
          </w:p>
        </w:tc>
        <w:tc>
          <w:tcPr>
            <w:tcW w:w="1548" w:type="dxa"/>
          </w:tcPr>
          <w:p w14:paraId="65DFE59D">
            <w:pPr>
              <w:spacing w:before="0" w:after="0" w:line="240" w:lineRule="auto"/>
              <w:jc w:val="center"/>
            </w:pPr>
            <w:r>
              <w:rPr>
                <w:rFonts w:ascii="Times New Roman" w:hAnsi="Times New Roman" w:eastAsia="宋体"/>
                <w:b w:val="0"/>
                <w:sz w:val="15"/>
              </w:rPr>
              <w:t>1.045</w:t>
            </w:r>
          </w:p>
        </w:tc>
        <w:tc>
          <w:tcPr>
            <w:tcW w:w="1703" w:type="dxa"/>
          </w:tcPr>
          <w:p w14:paraId="3395D86D">
            <w:pPr>
              <w:spacing w:before="0" w:after="0" w:line="240" w:lineRule="auto"/>
              <w:jc w:val="center"/>
            </w:pPr>
            <w:r>
              <w:rPr>
                <w:rFonts w:ascii="Times New Roman" w:hAnsi="Times New Roman" w:eastAsia="宋体"/>
                <w:b w:val="0"/>
                <w:sz w:val="15"/>
              </w:rPr>
              <w:t>9277</w:t>
            </w:r>
          </w:p>
        </w:tc>
      </w:tr>
      <w:tr w14:paraId="2267FC42">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267" w:type="dxa"/>
          </w:tcPr>
          <w:p w14:paraId="28B0FE13">
            <w:pPr>
              <w:spacing w:before="0" w:after="0" w:line="240" w:lineRule="auto"/>
              <w:jc w:val="center"/>
            </w:pPr>
            <w:r>
              <w:rPr>
                <w:rFonts w:ascii="Times New Roman" w:hAnsi="Times New Roman" w:eastAsia="宋体"/>
                <w:b w:val="0"/>
                <w:sz w:val="15"/>
              </w:rPr>
              <w:t>10次总均值</w:t>
            </w:r>
          </w:p>
        </w:tc>
        <w:tc>
          <w:tcPr>
            <w:tcW w:w="4120" w:type="dxa"/>
          </w:tcPr>
          <w:p w14:paraId="09CF3181">
            <w:pPr>
              <w:spacing w:before="0" w:after="0" w:line="240" w:lineRule="auto"/>
              <w:jc w:val="center"/>
            </w:pPr>
            <w:r>
              <w:rPr>
                <w:rFonts w:ascii="Times New Roman" w:hAnsi="Times New Roman" w:eastAsia="宋体"/>
                <w:b w:val="0"/>
                <w:sz w:val="15"/>
              </w:rPr>
              <w:t>0.0177</w:t>
            </w:r>
          </w:p>
        </w:tc>
        <w:tc>
          <w:tcPr>
            <w:tcW w:w="1548" w:type="dxa"/>
          </w:tcPr>
          <w:p w14:paraId="03B3FF1F">
            <w:pPr>
              <w:spacing w:before="0" w:after="0" w:line="240" w:lineRule="auto"/>
              <w:jc w:val="center"/>
            </w:pPr>
            <w:r>
              <w:rPr>
                <w:rFonts w:ascii="Times New Roman" w:hAnsi="Times New Roman" w:eastAsia="宋体"/>
                <w:b w:val="0"/>
                <w:sz w:val="15"/>
              </w:rPr>
              <w:t>1.087</w:t>
            </w:r>
          </w:p>
        </w:tc>
        <w:tc>
          <w:tcPr>
            <w:tcW w:w="1703" w:type="dxa"/>
          </w:tcPr>
          <w:p w14:paraId="44691149">
            <w:pPr>
              <w:spacing w:before="0" w:after="0" w:line="240" w:lineRule="auto"/>
              <w:jc w:val="center"/>
            </w:pPr>
            <w:r>
              <w:rPr>
                <w:rFonts w:ascii="Times New Roman" w:hAnsi="Times New Roman" w:eastAsia="宋体"/>
                <w:b w:val="0"/>
                <w:sz w:val="15"/>
              </w:rPr>
              <w:t>9259</w:t>
            </w:r>
          </w:p>
        </w:tc>
      </w:tr>
      <w:tr w14:paraId="6219800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7" w:type="dxa"/>
          </w:tcPr>
          <w:p w14:paraId="3E845ACB">
            <w:pPr>
              <w:spacing w:before="0" w:after="0" w:line="240" w:lineRule="auto"/>
              <w:jc w:val="center"/>
            </w:pPr>
            <w:r>
              <w:rPr>
                <w:rFonts w:ascii="Times New Roman" w:hAnsi="Times New Roman" w:eastAsia="宋体"/>
                <w:b w:val="0"/>
                <w:sz w:val="15"/>
              </w:rPr>
              <w:t>10次标准差</w:t>
            </w:r>
          </w:p>
        </w:tc>
        <w:tc>
          <w:tcPr>
            <w:tcW w:w="4120" w:type="dxa"/>
          </w:tcPr>
          <w:p w14:paraId="16B45186">
            <w:pPr>
              <w:spacing w:before="0" w:after="0" w:line="240" w:lineRule="auto"/>
              <w:jc w:val="center"/>
            </w:pPr>
            <w:r>
              <w:rPr>
                <w:rFonts w:ascii="Times New Roman" w:hAnsi="Times New Roman" w:eastAsia="宋体"/>
                <w:b w:val="0"/>
                <w:sz w:val="15"/>
              </w:rPr>
              <w:t>0.0103</w:t>
            </w:r>
          </w:p>
        </w:tc>
        <w:tc>
          <w:tcPr>
            <w:tcW w:w="1548" w:type="dxa"/>
          </w:tcPr>
          <w:p w14:paraId="14D58892">
            <w:pPr>
              <w:spacing w:before="0" w:after="0" w:line="240" w:lineRule="auto"/>
              <w:jc w:val="center"/>
            </w:pPr>
            <w:r>
              <w:rPr>
                <w:rFonts w:ascii="Times New Roman" w:hAnsi="Times New Roman" w:eastAsia="宋体"/>
                <w:b w:val="0"/>
                <w:sz w:val="15"/>
              </w:rPr>
              <w:t>0.633</w:t>
            </w:r>
          </w:p>
        </w:tc>
        <w:tc>
          <w:tcPr>
            <w:tcW w:w="1703" w:type="dxa"/>
          </w:tcPr>
          <w:p w14:paraId="3F03B99A">
            <w:pPr>
              <w:spacing w:before="0" w:after="0" w:line="240" w:lineRule="auto"/>
              <w:jc w:val="center"/>
            </w:pPr>
            <w:r>
              <w:rPr>
                <w:rFonts w:ascii="Times New Roman" w:hAnsi="Times New Roman" w:eastAsia="宋体"/>
                <w:b w:val="0"/>
                <w:sz w:val="15"/>
              </w:rPr>
              <w:t>—</w:t>
            </w:r>
          </w:p>
        </w:tc>
      </w:tr>
      <w:tr w14:paraId="03BFB59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7" w:type="dxa"/>
          </w:tcPr>
          <w:p w14:paraId="4F6AFAD4">
            <w:pPr>
              <w:spacing w:before="0" w:after="0" w:line="240" w:lineRule="auto"/>
              <w:jc w:val="center"/>
            </w:pPr>
            <w:r>
              <w:rPr>
                <w:rFonts w:ascii="Times New Roman" w:hAnsi="Times New Roman" w:eastAsia="宋体"/>
                <w:b w:val="0"/>
                <w:sz w:val="15"/>
              </w:rPr>
              <w:t>取值区间</w:t>
            </w:r>
          </w:p>
        </w:tc>
        <w:tc>
          <w:tcPr>
            <w:tcW w:w="4120" w:type="dxa"/>
          </w:tcPr>
          <w:p w14:paraId="3A968D59">
            <w:pPr>
              <w:spacing w:before="0" w:after="0" w:line="240" w:lineRule="auto"/>
              <w:jc w:val="center"/>
            </w:pPr>
            <w:r>
              <w:rPr>
                <w:rFonts w:ascii="Times New Roman" w:hAnsi="Times New Roman" w:eastAsia="宋体"/>
                <w:b w:val="0"/>
                <w:sz w:val="15"/>
              </w:rPr>
              <w:t>[0.0059, 0.0367]</w:t>
            </w:r>
          </w:p>
        </w:tc>
        <w:tc>
          <w:tcPr>
            <w:tcW w:w="1548" w:type="dxa"/>
          </w:tcPr>
          <w:p w14:paraId="3FB42977">
            <w:pPr>
              <w:spacing w:before="0" w:after="0" w:line="240" w:lineRule="auto"/>
              <w:jc w:val="center"/>
            </w:pPr>
            <w:r>
              <w:rPr>
                <w:rFonts w:ascii="Times New Roman" w:hAnsi="Times New Roman" w:eastAsia="宋体"/>
                <w:b w:val="0"/>
                <w:sz w:val="15"/>
              </w:rPr>
              <w:t>[0.356, 2.168]</w:t>
            </w:r>
          </w:p>
        </w:tc>
        <w:tc>
          <w:tcPr>
            <w:tcW w:w="1703" w:type="dxa"/>
          </w:tcPr>
          <w:p w14:paraId="3CFAE019">
            <w:pPr>
              <w:spacing w:before="0" w:after="0" w:line="240" w:lineRule="auto"/>
              <w:jc w:val="center"/>
            </w:pPr>
            <w:r>
              <w:rPr>
                <w:rFonts w:ascii="Times New Roman" w:hAnsi="Times New Roman" w:eastAsia="宋体"/>
                <w:b w:val="0"/>
                <w:sz w:val="15"/>
              </w:rPr>
              <w:t>—</w:t>
            </w:r>
          </w:p>
        </w:tc>
      </w:tr>
    </w:tbl>
    <w:p w14:paraId="123326F2">
      <w:pPr>
        <w:spacing w:before="40" w:after="120" w:line="240" w:lineRule="auto"/>
        <w:ind w:firstLine="180" w:firstLineChars="100"/>
        <w:jc w:val="left"/>
      </w:pPr>
      <w:r>
        <w:rPr>
          <w:rFonts w:ascii="Times New Roman" w:hAnsi="Times New Roman" w:eastAsia="宋体"/>
          <w:b w:val="0"/>
          <w:sz w:val="18"/>
        </w:rPr>
        <w:t>注：以企业为单位每次随机抽取80%的子样本重新估计，重复10次，10次估计的系数符号均为正。</w:t>
      </w:r>
    </w:p>
    <w:p w14:paraId="3D5BCBD4">
      <w:pPr>
        <w:spacing w:before="0" w:after="0" w:line="240" w:lineRule="auto"/>
        <w:ind w:firstLine="420" w:firstLineChars="200"/>
        <w:jc w:val="both"/>
      </w:pPr>
      <w:r>
        <w:rPr>
          <w:rFonts w:ascii="Times New Roman" w:hAnsi="Times New Roman" w:eastAsia="宋体"/>
          <w:b w:val="0"/>
          <w:sz w:val="21"/>
        </w:rPr>
        <w:t>2.Bootstrap中介检验。采用企业层面聚类Bootstrap（重复1000次）对绿色技术创新路径的中介效应作区间估计。中介效应a×b的均值为0.0101，95%置信区间为[0.0022, 0.0174]，不含零，与Sobel检验结论一致。</w:t>
      </w:r>
    </w:p>
    <w:p w14:paraId="1A85DA10">
      <w:pPr>
        <w:spacing w:before="0" w:after="0" w:line="240" w:lineRule="auto"/>
        <w:ind w:firstLine="420" w:firstLineChars="200"/>
        <w:jc w:val="both"/>
      </w:pPr>
      <w:r>
        <w:rPr>
          <w:rFonts w:ascii="Times New Roman" w:hAnsi="Times New Roman" w:eastAsia="宋体"/>
          <w:b w:val="0"/>
          <w:sz w:val="21"/>
        </w:rPr>
        <w:t>3.代理变量敏感性。</w:t>
      </w:r>
    </w:p>
    <w:p w14:paraId="28963A90">
      <w:pPr>
        <w:spacing w:before="0" w:after="0" w:line="240" w:lineRule="auto"/>
        <w:ind w:firstLine="420" w:firstLineChars="200"/>
        <w:jc w:val="both"/>
      </w:pPr>
      <w:r>
        <w:rPr>
          <w:rFonts w:ascii="Times New Roman" w:hAnsi="Times New Roman" w:eastAsia="宋体"/>
          <w:b w:val="0"/>
          <w:sz w:val="21"/>
        </w:rPr>
        <w:t>以总资产周转率替换内控质量得分，中介效应为0.0003，占比1.70%，Sobel Z值0.709，仍不显著。以剔除绿色创新维度后的环境绩效作为资源配置的替代口径，中介效应-0.0069，同样不显著。</w:t>
      </w:r>
    </w:p>
    <w:p w14:paraId="44D8C200">
      <w:pPr>
        <w:spacing w:before="0" w:after="0" w:line="240" w:lineRule="auto"/>
        <w:ind w:firstLine="420" w:firstLineChars="200"/>
        <w:jc w:val="both"/>
      </w:pPr>
      <w:r>
        <w:rPr>
          <w:rFonts w:ascii="Times New Roman" w:hAnsi="Times New Roman" w:eastAsia="宋体"/>
          <w:b w:val="0"/>
          <w:sz w:val="21"/>
        </w:rPr>
        <w:t>替换代理后结论没有翻转，说明结果不依赖某一具体指标；但两个代理本身都存在测度短板，因此更稳妥的表述是：基于现有代理变量，样本期内未能确认这两条路径，而非它们客观不存在。绿色技术创新仍是唯一稳健的传导渠道。</w:t>
      </w:r>
    </w:p>
    <w:p w14:paraId="2EF3C27D">
      <w:pPr>
        <w:spacing w:before="160" w:after="80" w:line="240" w:lineRule="auto"/>
        <w:jc w:val="left"/>
      </w:pPr>
      <w:r>
        <w:rPr>
          <w:rFonts w:ascii="Times New Roman" w:hAnsi="Times New Roman" w:eastAsia="黑体"/>
          <w:b/>
          <w:sz w:val="21"/>
        </w:rPr>
        <w:t>6.4 AI专属技术强度的检验</w:t>
      </w:r>
    </w:p>
    <w:p w14:paraId="310C7815">
      <w:pPr>
        <w:spacing w:before="0" w:after="0" w:line="240" w:lineRule="auto"/>
        <w:ind w:firstLine="420" w:firstLineChars="200"/>
        <w:jc w:val="both"/>
      </w:pPr>
      <w:r>
        <w:rPr>
          <w:rFonts w:ascii="Times New Roman" w:hAnsi="Times New Roman" w:eastAsia="宋体"/>
          <w:b w:val="0"/>
          <w:sz w:val="21"/>
        </w:rPr>
        <w:t>表17进一步报告AI专属技术强度的检验结果（见表17）。为回应“测度是否体现数智技术特异性”的质疑，本文以仅包含人工智能与智能计算类术语的“AI专属技术强度”指标（AI）替换核心解释变量重新估计。结果显示：AI专属强度对环境绩效的系数为0.0376（t=4.483，1%水平显著），对绿色技术创新的系数为0.0437（t=3.360，1%水平显著），二者均显著为正且量级高于综合指数口径（见表18）。这一结果表明：本文的结论并非由通用信息化词频驱动，而是真实反映了人工智能与智能计算技术的专属效应；同时也说明，将AI专属术语与泛数字化术语混合的合成指数确实存在信号稀释问题，与前述子维度平行检验的发现相互印证。</w:t>
      </w:r>
    </w:p>
    <w:p w14:paraId="6D70C48B">
      <w:pPr>
        <w:spacing w:before="120" w:after="20" w:line="240" w:lineRule="auto"/>
        <w:jc w:val="center"/>
      </w:pPr>
      <w:r>
        <w:rPr>
          <w:rFonts w:ascii="Times New Roman" w:hAnsi="Times New Roman" w:eastAsia="黑体"/>
          <w:b w:val="0"/>
          <w:sz w:val="18"/>
        </w:rPr>
        <w:t>表17 AI专属技术强度的检验结果</w:t>
      </w:r>
    </w:p>
    <w:p w14:paraId="660ADFC4">
      <w:pPr>
        <w:spacing w:before="0" w:after="60" w:line="240" w:lineRule="auto"/>
        <w:jc w:val="center"/>
      </w:pPr>
      <w:r>
        <w:rPr>
          <w:rFonts w:ascii="Times New Roman" w:hAnsi="Times New Roman" w:eastAsia="宋体"/>
          <w:b w:val="0"/>
          <w:sz w:val="16"/>
        </w:rPr>
        <w:t>Table 17 Test results of AI-specific technology intensity</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294"/>
        <w:gridCol w:w="3671"/>
        <w:gridCol w:w="917"/>
        <w:gridCol w:w="1376"/>
        <w:gridCol w:w="1380"/>
      </w:tblGrid>
      <w:tr w14:paraId="4B731EE6">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94" w:type="dxa"/>
            <w:tcBorders>
              <w:bottom w:val="single" w:color="auto" w:sz="8" w:space="0"/>
            </w:tcBorders>
          </w:tcPr>
          <w:p w14:paraId="3DD6D8DD">
            <w:pPr>
              <w:spacing w:before="0" w:after="0" w:line="240" w:lineRule="auto"/>
              <w:jc w:val="center"/>
            </w:pPr>
            <w:r>
              <w:rPr>
                <w:rFonts w:ascii="Times New Roman" w:hAnsi="Times New Roman" w:eastAsia="宋体"/>
                <w:b/>
                <w:sz w:val="15"/>
              </w:rPr>
              <w:t>被解释变量</w:t>
            </w:r>
          </w:p>
        </w:tc>
        <w:tc>
          <w:tcPr>
            <w:tcW w:w="3671" w:type="dxa"/>
            <w:tcBorders>
              <w:bottom w:val="single" w:color="auto" w:sz="8" w:space="0"/>
            </w:tcBorders>
          </w:tcPr>
          <w:p w14:paraId="55AA642D">
            <w:pPr>
              <w:spacing w:before="0" w:after="0" w:line="240" w:lineRule="auto"/>
              <w:jc w:val="center"/>
            </w:pPr>
            <w:r>
              <w:rPr>
                <w:rFonts w:ascii="Times New Roman" w:hAnsi="Times New Roman" w:eastAsia="宋体"/>
                <w:b/>
                <w:sz w:val="15"/>
              </w:rPr>
              <w:t>AI专属强度系数</w:t>
            </w:r>
          </w:p>
        </w:tc>
        <w:tc>
          <w:tcPr>
            <w:tcW w:w="917" w:type="dxa"/>
            <w:tcBorders>
              <w:bottom w:val="single" w:color="auto" w:sz="8" w:space="0"/>
            </w:tcBorders>
          </w:tcPr>
          <w:p w14:paraId="409C7E72">
            <w:pPr>
              <w:spacing w:before="0" w:after="0" w:line="240" w:lineRule="auto"/>
              <w:jc w:val="center"/>
            </w:pPr>
            <w:r>
              <w:rPr>
                <w:rFonts w:ascii="Times New Roman" w:hAnsi="Times New Roman" w:eastAsia="宋体"/>
                <w:b/>
                <w:sz w:val="15"/>
              </w:rPr>
              <w:t>t值</w:t>
            </w:r>
          </w:p>
        </w:tc>
        <w:tc>
          <w:tcPr>
            <w:tcW w:w="1376" w:type="dxa"/>
            <w:tcBorders>
              <w:bottom w:val="single" w:color="auto" w:sz="8" w:space="0"/>
            </w:tcBorders>
          </w:tcPr>
          <w:p w14:paraId="5C478089">
            <w:pPr>
              <w:spacing w:before="0" w:after="0" w:line="240" w:lineRule="auto"/>
              <w:jc w:val="center"/>
            </w:pPr>
            <w:r>
              <w:rPr>
                <w:rFonts w:ascii="Times New Roman" w:hAnsi="Times New Roman" w:eastAsia="宋体"/>
                <w:b/>
                <w:sz w:val="15"/>
              </w:rPr>
              <w:t>显著性</w:t>
            </w:r>
          </w:p>
        </w:tc>
        <w:tc>
          <w:tcPr>
            <w:tcW w:w="1380" w:type="dxa"/>
            <w:tcBorders>
              <w:bottom w:val="single" w:color="auto" w:sz="8" w:space="0"/>
            </w:tcBorders>
          </w:tcPr>
          <w:p w14:paraId="050F79BD">
            <w:pPr>
              <w:spacing w:before="0" w:after="0" w:line="240" w:lineRule="auto"/>
              <w:jc w:val="center"/>
            </w:pPr>
            <w:r>
              <w:rPr>
                <w:rFonts w:ascii="Times New Roman" w:hAnsi="Times New Roman" w:eastAsia="宋体"/>
                <w:b/>
                <w:sz w:val="15"/>
              </w:rPr>
              <w:t>观测值</w:t>
            </w:r>
          </w:p>
        </w:tc>
      </w:tr>
      <w:tr w14:paraId="069B225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94" w:type="dxa"/>
          </w:tcPr>
          <w:p w14:paraId="500270A3">
            <w:pPr>
              <w:spacing w:before="0" w:after="0" w:line="240" w:lineRule="auto"/>
              <w:jc w:val="center"/>
            </w:pPr>
            <w:r>
              <w:rPr>
                <w:rFonts w:ascii="Times New Roman" w:hAnsi="Times New Roman" w:eastAsia="宋体"/>
                <w:b w:val="0"/>
                <w:sz w:val="15"/>
              </w:rPr>
              <w:t>企业环境绩效（EP）</w:t>
            </w:r>
          </w:p>
        </w:tc>
        <w:tc>
          <w:tcPr>
            <w:tcW w:w="3671" w:type="dxa"/>
          </w:tcPr>
          <w:p w14:paraId="19BD277F">
            <w:pPr>
              <w:spacing w:before="0" w:after="0" w:line="240" w:lineRule="auto"/>
              <w:jc w:val="center"/>
            </w:pPr>
            <w:r>
              <w:rPr>
                <w:rFonts w:ascii="Times New Roman" w:hAnsi="Times New Roman" w:eastAsia="宋体"/>
                <w:b w:val="0"/>
                <w:sz w:val="15"/>
              </w:rPr>
              <w:t>0.0376</w:t>
            </w:r>
          </w:p>
        </w:tc>
        <w:tc>
          <w:tcPr>
            <w:tcW w:w="917" w:type="dxa"/>
          </w:tcPr>
          <w:p w14:paraId="6DA94C46">
            <w:pPr>
              <w:spacing w:before="0" w:after="0" w:line="240" w:lineRule="auto"/>
              <w:jc w:val="center"/>
            </w:pPr>
            <w:r>
              <w:rPr>
                <w:rFonts w:ascii="Times New Roman" w:hAnsi="Times New Roman" w:eastAsia="宋体"/>
                <w:b w:val="0"/>
                <w:sz w:val="15"/>
              </w:rPr>
              <w:t>4.483</w:t>
            </w:r>
          </w:p>
        </w:tc>
        <w:tc>
          <w:tcPr>
            <w:tcW w:w="1376" w:type="dxa"/>
          </w:tcPr>
          <w:p w14:paraId="3352DC40">
            <w:pPr>
              <w:spacing w:before="0" w:after="0" w:line="240" w:lineRule="auto"/>
              <w:jc w:val="center"/>
            </w:pPr>
            <w:r>
              <w:rPr>
                <w:rFonts w:ascii="Times New Roman" w:hAnsi="Times New Roman" w:eastAsia="宋体"/>
                <w:b w:val="0"/>
                <w:sz w:val="15"/>
              </w:rPr>
              <w:t>***</w:t>
            </w:r>
          </w:p>
        </w:tc>
        <w:tc>
          <w:tcPr>
            <w:tcW w:w="1380" w:type="dxa"/>
          </w:tcPr>
          <w:p w14:paraId="1BDCAB73">
            <w:pPr>
              <w:spacing w:before="0" w:after="0" w:line="240" w:lineRule="auto"/>
              <w:jc w:val="center"/>
            </w:pPr>
            <w:r>
              <w:rPr>
                <w:rFonts w:ascii="Times New Roman" w:hAnsi="Times New Roman" w:eastAsia="宋体"/>
                <w:b w:val="0"/>
                <w:sz w:val="15"/>
              </w:rPr>
              <w:t>11571</w:t>
            </w:r>
          </w:p>
        </w:tc>
      </w:tr>
      <w:tr w14:paraId="5474528E">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94" w:type="dxa"/>
          </w:tcPr>
          <w:p w14:paraId="3F7EE69C">
            <w:pPr>
              <w:spacing w:before="0" w:after="0" w:line="240" w:lineRule="auto"/>
              <w:jc w:val="center"/>
            </w:pPr>
            <w:r>
              <w:rPr>
                <w:rFonts w:ascii="Times New Roman" w:hAnsi="Times New Roman" w:eastAsia="宋体"/>
                <w:b w:val="0"/>
                <w:sz w:val="15"/>
              </w:rPr>
              <w:t>绿色技术创新（GreenTech）</w:t>
            </w:r>
          </w:p>
        </w:tc>
        <w:tc>
          <w:tcPr>
            <w:tcW w:w="3671" w:type="dxa"/>
          </w:tcPr>
          <w:p w14:paraId="7B8486C3">
            <w:pPr>
              <w:spacing w:before="0" w:after="0" w:line="240" w:lineRule="auto"/>
              <w:jc w:val="center"/>
            </w:pPr>
            <w:r>
              <w:rPr>
                <w:rFonts w:ascii="Times New Roman" w:hAnsi="Times New Roman" w:eastAsia="宋体"/>
                <w:b w:val="0"/>
                <w:sz w:val="15"/>
              </w:rPr>
              <w:t>0.0437</w:t>
            </w:r>
          </w:p>
        </w:tc>
        <w:tc>
          <w:tcPr>
            <w:tcW w:w="917" w:type="dxa"/>
          </w:tcPr>
          <w:p w14:paraId="2AE29714">
            <w:pPr>
              <w:spacing w:before="0" w:after="0" w:line="240" w:lineRule="auto"/>
              <w:jc w:val="center"/>
            </w:pPr>
            <w:r>
              <w:rPr>
                <w:rFonts w:ascii="Times New Roman" w:hAnsi="Times New Roman" w:eastAsia="宋体"/>
                <w:b w:val="0"/>
                <w:sz w:val="15"/>
              </w:rPr>
              <w:t>3.360</w:t>
            </w:r>
          </w:p>
        </w:tc>
        <w:tc>
          <w:tcPr>
            <w:tcW w:w="1376" w:type="dxa"/>
          </w:tcPr>
          <w:p w14:paraId="0535F2DA">
            <w:pPr>
              <w:spacing w:before="0" w:after="0" w:line="240" w:lineRule="auto"/>
              <w:jc w:val="center"/>
            </w:pPr>
            <w:r>
              <w:rPr>
                <w:rFonts w:ascii="Times New Roman" w:hAnsi="Times New Roman" w:eastAsia="宋体"/>
                <w:b w:val="0"/>
                <w:sz w:val="15"/>
              </w:rPr>
              <w:t>***</w:t>
            </w:r>
          </w:p>
        </w:tc>
        <w:tc>
          <w:tcPr>
            <w:tcW w:w="1380" w:type="dxa"/>
          </w:tcPr>
          <w:p w14:paraId="2DE99720">
            <w:pPr>
              <w:spacing w:before="0" w:after="0" w:line="240" w:lineRule="auto"/>
              <w:jc w:val="center"/>
            </w:pPr>
            <w:r>
              <w:rPr>
                <w:rFonts w:ascii="Times New Roman" w:hAnsi="Times New Roman" w:eastAsia="宋体"/>
                <w:b w:val="0"/>
                <w:sz w:val="15"/>
              </w:rPr>
              <w:t>11571</w:t>
            </w:r>
          </w:p>
        </w:tc>
      </w:tr>
    </w:tbl>
    <w:p w14:paraId="038B7ED9">
      <w:pPr>
        <w:spacing w:before="40" w:after="120" w:line="240" w:lineRule="auto"/>
        <w:ind w:firstLine="180" w:firstLineChars="100"/>
        <w:jc w:val="left"/>
      </w:pPr>
      <w:r>
        <w:rPr>
          <w:rFonts w:ascii="Times New Roman" w:hAnsi="Times New Roman" w:eastAsia="宋体"/>
          <w:b w:val="0"/>
          <w:sz w:val="18"/>
        </w:rPr>
        <w:t>注：***表示1%水平显著；AI专属技术强度按年报中18类人工智能与智能计算术语的词频加1取对数构造，覆盖机器学习、深度学习、自然语言处理、计算机视觉与智能机器人等方向；均控制企业、年份固定效应及全部控制变量。</w:t>
      </w:r>
    </w:p>
    <w:p w14:paraId="2D8F152D">
      <w:pPr>
        <w:spacing w:before="160" w:after="80" w:line="240" w:lineRule="auto"/>
        <w:jc w:val="left"/>
      </w:pPr>
      <w:r>
        <w:rPr>
          <w:rFonts w:ascii="Times New Roman" w:hAnsi="Times New Roman" w:eastAsia="黑体"/>
          <w:b/>
          <w:sz w:val="21"/>
        </w:rPr>
        <w:t>6.5 异质性分析</w:t>
      </w:r>
    </w:p>
    <w:p w14:paraId="39A6303B">
      <w:pPr>
        <w:spacing w:before="0" w:after="0" w:line="240" w:lineRule="auto"/>
        <w:ind w:firstLine="420" w:firstLineChars="200"/>
        <w:jc w:val="both"/>
      </w:pPr>
      <w:r>
        <w:rPr>
          <w:rFonts w:ascii="Times New Roman" w:hAnsi="Times New Roman" w:eastAsia="宋体"/>
          <w:b w:val="0"/>
          <w:sz w:val="21"/>
        </w:rPr>
        <w:t>1.行业异质性。重污染行业子样本的系数为-0.0032（t=-0.089），非重污染行业为0.0076（t=0.501），单独看均不显著。引入分组交互项后，非重污染行业的系数显著高于重污染行业，交互项t值-3.291，5%水平显著。</w:t>
      </w:r>
    </w:p>
    <w:p w14:paraId="5C7AF680">
      <w:pPr>
        <w:spacing w:before="0" w:after="0" w:line="240" w:lineRule="auto"/>
        <w:ind w:firstLine="420" w:firstLineChars="200"/>
        <w:jc w:val="both"/>
      </w:pPr>
      <w:r>
        <w:rPr>
          <w:rFonts w:ascii="Times New Roman" w:hAnsi="Times New Roman" w:eastAsia="宋体"/>
          <w:b w:val="0"/>
          <w:sz w:val="21"/>
        </w:rPr>
        <w:t>行业异质性的检验结果如表18所示。</w:t>
      </w:r>
    </w:p>
    <w:p w14:paraId="47B11977">
      <w:pPr>
        <w:spacing w:before="120" w:after="20" w:line="240" w:lineRule="auto"/>
        <w:jc w:val="center"/>
      </w:pPr>
      <w:r>
        <w:rPr>
          <w:rFonts w:ascii="Times New Roman" w:hAnsi="Times New Roman" w:eastAsia="黑体"/>
          <w:b w:val="0"/>
          <w:sz w:val="18"/>
        </w:rPr>
        <w:t>表18 行业异质性检验结果</w:t>
      </w:r>
    </w:p>
    <w:p w14:paraId="0AB1AA14">
      <w:pPr>
        <w:spacing w:before="0" w:after="60" w:line="240" w:lineRule="auto"/>
        <w:jc w:val="center"/>
      </w:pPr>
      <w:r>
        <w:rPr>
          <w:rFonts w:ascii="Times New Roman" w:hAnsi="Times New Roman" w:eastAsia="宋体"/>
          <w:b w:val="0"/>
          <w:sz w:val="16"/>
        </w:rPr>
        <w:t>Table 18 Industry heterogeneity test results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65"/>
        <w:gridCol w:w="1376"/>
        <w:gridCol w:w="1376"/>
        <w:gridCol w:w="688"/>
        <w:gridCol w:w="4133"/>
      </w:tblGrid>
      <w:tr w14:paraId="38868A70">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14:paraId="63DF24BB">
            <w:pPr>
              <w:spacing w:before="0" w:after="0" w:line="240" w:lineRule="auto"/>
              <w:jc w:val="center"/>
            </w:pPr>
            <w:r>
              <w:rPr>
                <w:rFonts w:ascii="Times New Roman" w:hAnsi="Times New Roman" w:eastAsia="宋体"/>
                <w:b/>
                <w:sz w:val="15"/>
              </w:rPr>
              <w:t>子样本</w:t>
            </w:r>
          </w:p>
        </w:tc>
        <w:tc>
          <w:tcPr>
            <w:tcW w:w="1376" w:type="dxa"/>
            <w:tcBorders>
              <w:bottom w:val="single" w:color="auto" w:sz="8" w:space="0"/>
            </w:tcBorders>
          </w:tcPr>
          <w:p w14:paraId="1AC67EB1">
            <w:pPr>
              <w:spacing w:before="0" w:after="0" w:line="240" w:lineRule="auto"/>
              <w:jc w:val="center"/>
            </w:pPr>
            <w:r>
              <w:rPr>
                <w:rFonts w:ascii="Times New Roman" w:hAnsi="Times New Roman" w:eastAsia="宋体"/>
                <w:b/>
                <w:sz w:val="15"/>
              </w:rPr>
              <w:t>系数</w:t>
            </w:r>
          </w:p>
        </w:tc>
        <w:tc>
          <w:tcPr>
            <w:tcW w:w="1376" w:type="dxa"/>
            <w:tcBorders>
              <w:bottom w:val="single" w:color="auto" w:sz="8" w:space="0"/>
            </w:tcBorders>
          </w:tcPr>
          <w:p w14:paraId="210168EE">
            <w:pPr>
              <w:spacing w:before="0" w:after="0" w:line="240" w:lineRule="auto"/>
              <w:jc w:val="center"/>
            </w:pPr>
            <w:r>
              <w:rPr>
                <w:rFonts w:ascii="Times New Roman" w:hAnsi="Times New Roman" w:eastAsia="宋体"/>
                <w:b/>
                <w:sz w:val="15"/>
              </w:rPr>
              <w:t>t值</w:t>
            </w:r>
          </w:p>
        </w:tc>
        <w:tc>
          <w:tcPr>
            <w:tcW w:w="688" w:type="dxa"/>
            <w:tcBorders>
              <w:bottom w:val="single" w:color="auto" w:sz="8" w:space="0"/>
            </w:tcBorders>
          </w:tcPr>
          <w:p w14:paraId="55CB1007">
            <w:pPr>
              <w:spacing w:before="0" w:after="0" w:line="240" w:lineRule="auto"/>
              <w:jc w:val="center"/>
            </w:pPr>
            <w:r>
              <w:rPr>
                <w:rFonts w:ascii="Times New Roman" w:hAnsi="Times New Roman" w:eastAsia="宋体"/>
                <w:b/>
                <w:sz w:val="15"/>
              </w:rPr>
              <w:t>N</w:t>
            </w:r>
          </w:p>
        </w:tc>
        <w:tc>
          <w:tcPr>
            <w:tcW w:w="4133" w:type="dxa"/>
            <w:tcBorders>
              <w:bottom w:val="single" w:color="auto" w:sz="8" w:space="0"/>
            </w:tcBorders>
          </w:tcPr>
          <w:p w14:paraId="7C0FA30C">
            <w:pPr>
              <w:spacing w:before="0" w:after="0" w:line="240" w:lineRule="auto"/>
              <w:jc w:val="center"/>
            </w:pPr>
            <w:r>
              <w:rPr>
                <w:rFonts w:ascii="Times New Roman" w:hAnsi="Times New Roman" w:eastAsia="宋体"/>
                <w:b/>
                <w:sz w:val="15"/>
              </w:rPr>
              <w:t>组间差异检验</w:t>
            </w:r>
          </w:p>
        </w:tc>
      </w:tr>
      <w:tr w14:paraId="041B1A87">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65" w:type="dxa"/>
          </w:tcPr>
          <w:p w14:paraId="3AE81489">
            <w:pPr>
              <w:spacing w:before="0" w:after="0" w:line="240" w:lineRule="auto"/>
              <w:jc w:val="center"/>
            </w:pPr>
            <w:r>
              <w:rPr>
                <w:rFonts w:ascii="Times New Roman" w:hAnsi="Times New Roman" w:eastAsia="宋体"/>
                <w:b w:val="0"/>
                <w:sz w:val="15"/>
              </w:rPr>
              <w:t>重污染行业</w:t>
            </w:r>
          </w:p>
        </w:tc>
        <w:tc>
          <w:tcPr>
            <w:tcW w:w="1376" w:type="dxa"/>
          </w:tcPr>
          <w:p w14:paraId="4772242E">
            <w:pPr>
              <w:spacing w:before="0" w:after="0" w:line="240" w:lineRule="auto"/>
              <w:jc w:val="center"/>
            </w:pPr>
            <w:r>
              <w:rPr>
                <w:rFonts w:ascii="Times New Roman" w:hAnsi="Times New Roman" w:eastAsia="宋体"/>
                <w:b w:val="0"/>
                <w:sz w:val="15"/>
              </w:rPr>
              <w:t>-0.0032</w:t>
            </w:r>
          </w:p>
        </w:tc>
        <w:tc>
          <w:tcPr>
            <w:tcW w:w="1376" w:type="dxa"/>
          </w:tcPr>
          <w:p w14:paraId="38311430">
            <w:pPr>
              <w:spacing w:before="0" w:after="0" w:line="240" w:lineRule="auto"/>
              <w:jc w:val="center"/>
            </w:pPr>
            <w:r>
              <w:rPr>
                <w:rFonts w:ascii="Times New Roman" w:hAnsi="Times New Roman" w:eastAsia="宋体"/>
                <w:b w:val="0"/>
                <w:sz w:val="15"/>
              </w:rPr>
              <w:t>-0.089</w:t>
            </w:r>
          </w:p>
        </w:tc>
        <w:tc>
          <w:tcPr>
            <w:tcW w:w="688" w:type="dxa"/>
          </w:tcPr>
          <w:p w14:paraId="108C6009">
            <w:pPr>
              <w:spacing w:before="0" w:after="0" w:line="240" w:lineRule="auto"/>
              <w:jc w:val="center"/>
            </w:pPr>
            <w:r>
              <w:rPr>
                <w:rFonts w:ascii="Times New Roman" w:hAnsi="Times New Roman" w:eastAsia="宋体"/>
                <w:b w:val="0"/>
                <w:sz w:val="15"/>
              </w:rPr>
              <w:t>4380</w:t>
            </w:r>
          </w:p>
        </w:tc>
        <w:tc>
          <w:tcPr>
            <w:tcW w:w="4133" w:type="dxa"/>
          </w:tcPr>
          <w:p w14:paraId="11D55C86">
            <w:pPr>
              <w:spacing w:before="0" w:after="0" w:line="240" w:lineRule="auto"/>
              <w:jc w:val="center"/>
            </w:pPr>
            <w:r>
              <w:rPr>
                <w:rFonts w:ascii="Times New Roman" w:hAnsi="Times New Roman" w:eastAsia="宋体"/>
                <w:b w:val="0"/>
                <w:sz w:val="15"/>
              </w:rPr>
              <w:t>-3.291 (t)</w:t>
            </w:r>
          </w:p>
        </w:tc>
      </w:tr>
      <w:tr w14:paraId="69277F2B">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65" w:type="dxa"/>
          </w:tcPr>
          <w:p w14:paraId="02ECC9A9">
            <w:pPr>
              <w:spacing w:before="0" w:after="0" w:line="240" w:lineRule="auto"/>
              <w:jc w:val="center"/>
            </w:pPr>
            <w:r>
              <w:rPr>
                <w:rFonts w:ascii="Times New Roman" w:hAnsi="Times New Roman" w:eastAsia="宋体"/>
                <w:b w:val="0"/>
                <w:sz w:val="15"/>
              </w:rPr>
              <w:t>非重污染行业</w:t>
            </w:r>
          </w:p>
        </w:tc>
        <w:tc>
          <w:tcPr>
            <w:tcW w:w="1376" w:type="dxa"/>
          </w:tcPr>
          <w:p w14:paraId="30D504AC">
            <w:pPr>
              <w:spacing w:before="0" w:after="0" w:line="240" w:lineRule="auto"/>
              <w:jc w:val="center"/>
            </w:pPr>
            <w:r>
              <w:rPr>
                <w:rFonts w:ascii="Times New Roman" w:hAnsi="Times New Roman" w:eastAsia="宋体"/>
                <w:b w:val="0"/>
                <w:sz w:val="15"/>
              </w:rPr>
              <w:t>0.0076</w:t>
            </w:r>
          </w:p>
        </w:tc>
        <w:tc>
          <w:tcPr>
            <w:tcW w:w="1376" w:type="dxa"/>
          </w:tcPr>
          <w:p w14:paraId="68890B92">
            <w:pPr>
              <w:spacing w:before="0" w:after="0" w:line="240" w:lineRule="auto"/>
              <w:jc w:val="center"/>
            </w:pPr>
            <w:r>
              <w:rPr>
                <w:rFonts w:ascii="Times New Roman" w:hAnsi="Times New Roman" w:eastAsia="宋体"/>
                <w:b w:val="0"/>
                <w:sz w:val="15"/>
              </w:rPr>
              <w:t>0.501</w:t>
            </w:r>
          </w:p>
        </w:tc>
        <w:tc>
          <w:tcPr>
            <w:tcW w:w="688" w:type="dxa"/>
          </w:tcPr>
          <w:p w14:paraId="3B084B68">
            <w:pPr>
              <w:spacing w:before="0" w:after="0" w:line="240" w:lineRule="auto"/>
              <w:jc w:val="center"/>
            </w:pPr>
            <w:r>
              <w:rPr>
                <w:rFonts w:ascii="Times New Roman" w:hAnsi="Times New Roman" w:eastAsia="宋体"/>
                <w:b w:val="0"/>
                <w:sz w:val="15"/>
              </w:rPr>
              <w:t>7191</w:t>
            </w:r>
          </w:p>
        </w:tc>
        <w:tc>
          <w:tcPr>
            <w:tcW w:w="4133" w:type="dxa"/>
          </w:tcPr>
          <w:p w14:paraId="648B0498">
            <w:pPr>
              <w:spacing w:before="0" w:after="0" w:line="240" w:lineRule="auto"/>
              <w:jc w:val="center"/>
            </w:pPr>
            <w:r>
              <w:rPr>
                <w:rFonts w:ascii="Times New Roman" w:hAnsi="Times New Roman" w:eastAsia="宋体"/>
                <w:b w:val="0"/>
                <w:sz w:val="15"/>
              </w:rPr>
              <w:t>—</w:t>
            </w:r>
          </w:p>
        </w:tc>
      </w:tr>
    </w:tbl>
    <w:p w14:paraId="40A76D13">
      <w:pPr>
        <w:spacing w:before="40" w:after="120" w:line="240" w:lineRule="auto"/>
        <w:ind w:firstLine="180" w:firstLineChars="100"/>
        <w:jc w:val="left"/>
      </w:pPr>
      <w:r>
        <w:rPr>
          <w:rFonts w:ascii="Times New Roman" w:hAnsi="Times New Roman" w:eastAsia="宋体"/>
          <w:b w:val="0"/>
          <w:sz w:val="18"/>
        </w:rPr>
        <w:t>注：组间差异检验为全样本中加入重污染行业虚拟变量及其与Digit交乘项后的t值；**表示5%水平显著。</w:t>
      </w:r>
    </w:p>
    <w:p w14:paraId="24A7DF79">
      <w:pPr>
        <w:spacing w:before="0" w:after="0" w:line="240" w:lineRule="auto"/>
        <w:ind w:firstLine="420" w:firstLineChars="200"/>
        <w:jc w:val="both"/>
      </w:pPr>
      <w:r>
        <w:rPr>
          <w:rFonts w:ascii="Times New Roman" w:hAnsi="Times New Roman" w:eastAsia="宋体"/>
          <w:b w:val="0"/>
          <w:sz w:val="21"/>
        </w:rPr>
        <w:t>2.区域异质性。东部地区系数0.0194（t=1.209），中部0.0286（t=0.518），西部0.0360（t=0.856），均未通过显著性检验。区域间不存在显著差异。</w:t>
      </w:r>
    </w:p>
    <w:p w14:paraId="315DFD43">
      <w:pPr>
        <w:spacing w:before="0" w:after="0" w:line="240" w:lineRule="auto"/>
        <w:ind w:firstLine="420" w:firstLineChars="200"/>
        <w:jc w:val="both"/>
      </w:pPr>
      <w:r>
        <w:rPr>
          <w:rFonts w:ascii="Times New Roman" w:hAnsi="Times New Roman" w:eastAsia="宋体"/>
          <w:b w:val="0"/>
          <w:sz w:val="21"/>
        </w:rPr>
        <w:t>区域异质性的检验结果如表19所示。</w:t>
      </w:r>
    </w:p>
    <w:p w14:paraId="026B0934">
      <w:pPr>
        <w:spacing w:before="120" w:after="20" w:line="240" w:lineRule="auto"/>
        <w:jc w:val="center"/>
      </w:pPr>
      <w:r>
        <w:rPr>
          <w:rFonts w:ascii="Times New Roman" w:hAnsi="Times New Roman" w:eastAsia="黑体"/>
          <w:b w:val="0"/>
          <w:sz w:val="18"/>
        </w:rPr>
        <w:t>表19 区域异质性检验结果</w:t>
      </w:r>
    </w:p>
    <w:p w14:paraId="7473E2DA">
      <w:pPr>
        <w:spacing w:before="0" w:after="60" w:line="240" w:lineRule="auto"/>
        <w:jc w:val="center"/>
      </w:pPr>
      <w:r>
        <w:rPr>
          <w:rFonts w:ascii="Times New Roman" w:hAnsi="Times New Roman" w:eastAsia="宋体"/>
          <w:b w:val="0"/>
          <w:sz w:val="16"/>
        </w:rPr>
        <w:t>Table 19 Regional heterogeneity test results</w:t>
      </w:r>
    </w:p>
    <w:tbl>
      <w:tblPr>
        <w:tblStyle w:val="32"/>
        <w:tblW w:w="9638" w:type="dxa"/>
        <w:jc w:val="center"/>
        <w:tblBorders>
          <w:top w:val="single" w:color="auto" w:sz="12" w:space="0"/>
          <w:left w:val="none" w:color="auto" w:sz="0" w:space="0"/>
          <w:bottom w:val="single" w:color="auto" w:sz="8"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65"/>
        <w:gridCol w:w="1376"/>
        <w:gridCol w:w="1376"/>
        <w:gridCol w:w="688"/>
        <w:gridCol w:w="4133"/>
      </w:tblGrid>
      <w:tr w14:paraId="4539EACF">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65" w:type="dxa"/>
            <w:tcBorders>
              <w:bottom w:val="single" w:color="auto" w:sz="8" w:space="0"/>
            </w:tcBorders>
          </w:tcPr>
          <w:p w14:paraId="5E715B98">
            <w:pPr>
              <w:spacing w:before="0" w:after="0" w:line="240" w:lineRule="auto"/>
              <w:jc w:val="center"/>
            </w:pPr>
            <w:r>
              <w:rPr>
                <w:rFonts w:ascii="Times New Roman" w:hAnsi="Times New Roman" w:eastAsia="宋体"/>
                <w:b/>
                <w:sz w:val="15"/>
              </w:rPr>
              <w:t>子样本</w:t>
            </w:r>
          </w:p>
        </w:tc>
        <w:tc>
          <w:tcPr>
            <w:tcW w:w="1376" w:type="dxa"/>
            <w:tcBorders>
              <w:bottom w:val="single" w:color="auto" w:sz="8" w:space="0"/>
            </w:tcBorders>
          </w:tcPr>
          <w:p w14:paraId="189F5056">
            <w:pPr>
              <w:spacing w:before="0" w:after="0" w:line="240" w:lineRule="auto"/>
              <w:jc w:val="center"/>
            </w:pPr>
            <w:r>
              <w:rPr>
                <w:rFonts w:ascii="Times New Roman" w:hAnsi="Times New Roman" w:eastAsia="宋体"/>
                <w:b/>
                <w:sz w:val="15"/>
              </w:rPr>
              <w:t>系数</w:t>
            </w:r>
          </w:p>
        </w:tc>
        <w:tc>
          <w:tcPr>
            <w:tcW w:w="1376" w:type="dxa"/>
            <w:tcBorders>
              <w:bottom w:val="single" w:color="auto" w:sz="8" w:space="0"/>
            </w:tcBorders>
          </w:tcPr>
          <w:p w14:paraId="3D15B790">
            <w:pPr>
              <w:spacing w:before="0" w:after="0" w:line="240" w:lineRule="auto"/>
              <w:jc w:val="center"/>
            </w:pPr>
            <w:r>
              <w:rPr>
                <w:rFonts w:ascii="Times New Roman" w:hAnsi="Times New Roman" w:eastAsia="宋体"/>
                <w:b/>
                <w:sz w:val="15"/>
              </w:rPr>
              <w:t>t值</w:t>
            </w:r>
          </w:p>
        </w:tc>
        <w:tc>
          <w:tcPr>
            <w:tcW w:w="688" w:type="dxa"/>
            <w:tcBorders>
              <w:bottom w:val="single" w:color="auto" w:sz="8" w:space="0"/>
            </w:tcBorders>
          </w:tcPr>
          <w:p w14:paraId="2DE1F952">
            <w:pPr>
              <w:spacing w:before="0" w:after="0" w:line="240" w:lineRule="auto"/>
              <w:jc w:val="center"/>
            </w:pPr>
            <w:r>
              <w:rPr>
                <w:rFonts w:ascii="Times New Roman" w:hAnsi="Times New Roman" w:eastAsia="宋体"/>
                <w:b/>
                <w:sz w:val="15"/>
              </w:rPr>
              <w:t>N</w:t>
            </w:r>
          </w:p>
        </w:tc>
        <w:tc>
          <w:tcPr>
            <w:tcW w:w="4133" w:type="dxa"/>
            <w:tcBorders>
              <w:bottom w:val="single" w:color="auto" w:sz="8" w:space="0"/>
            </w:tcBorders>
          </w:tcPr>
          <w:p w14:paraId="014DFF89">
            <w:pPr>
              <w:spacing w:before="0" w:after="0" w:line="240" w:lineRule="auto"/>
              <w:jc w:val="center"/>
            </w:pPr>
            <w:r>
              <w:rPr>
                <w:rFonts w:ascii="Times New Roman" w:hAnsi="Times New Roman" w:eastAsia="宋体"/>
                <w:b/>
                <w:sz w:val="15"/>
              </w:rPr>
              <w:t>组间差异检验</w:t>
            </w:r>
          </w:p>
        </w:tc>
      </w:tr>
      <w:tr w14:paraId="20018AD9">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65" w:type="dxa"/>
          </w:tcPr>
          <w:p w14:paraId="357BD3E8">
            <w:pPr>
              <w:spacing w:before="0" w:after="0" w:line="240" w:lineRule="auto"/>
              <w:jc w:val="center"/>
            </w:pPr>
            <w:r>
              <w:rPr>
                <w:rFonts w:ascii="Times New Roman" w:hAnsi="Times New Roman" w:eastAsia="宋体"/>
                <w:b w:val="0"/>
                <w:sz w:val="15"/>
              </w:rPr>
              <w:t>东部地区</w:t>
            </w:r>
          </w:p>
        </w:tc>
        <w:tc>
          <w:tcPr>
            <w:tcW w:w="1376" w:type="dxa"/>
          </w:tcPr>
          <w:p w14:paraId="3A2D13D6">
            <w:pPr>
              <w:spacing w:before="0" w:after="0" w:line="240" w:lineRule="auto"/>
              <w:jc w:val="center"/>
            </w:pPr>
            <w:r>
              <w:rPr>
                <w:rFonts w:ascii="Times New Roman" w:hAnsi="Times New Roman" w:eastAsia="宋体"/>
                <w:b w:val="0"/>
                <w:sz w:val="15"/>
              </w:rPr>
              <w:t>0.0194</w:t>
            </w:r>
          </w:p>
        </w:tc>
        <w:tc>
          <w:tcPr>
            <w:tcW w:w="1376" w:type="dxa"/>
          </w:tcPr>
          <w:p w14:paraId="0B811CC3">
            <w:pPr>
              <w:spacing w:before="0" w:after="0" w:line="240" w:lineRule="auto"/>
              <w:jc w:val="center"/>
            </w:pPr>
            <w:r>
              <w:rPr>
                <w:rFonts w:ascii="Times New Roman" w:hAnsi="Times New Roman" w:eastAsia="宋体"/>
                <w:b w:val="0"/>
                <w:sz w:val="15"/>
              </w:rPr>
              <w:t>1.209</w:t>
            </w:r>
          </w:p>
        </w:tc>
        <w:tc>
          <w:tcPr>
            <w:tcW w:w="688" w:type="dxa"/>
          </w:tcPr>
          <w:p w14:paraId="70C6A36E">
            <w:pPr>
              <w:spacing w:before="0" w:after="0" w:line="240" w:lineRule="auto"/>
              <w:jc w:val="center"/>
            </w:pPr>
            <w:r>
              <w:rPr>
                <w:rFonts w:ascii="Times New Roman" w:hAnsi="Times New Roman" w:eastAsia="宋体"/>
                <w:b w:val="0"/>
                <w:sz w:val="15"/>
              </w:rPr>
              <w:t>8003</w:t>
            </w:r>
          </w:p>
        </w:tc>
        <w:tc>
          <w:tcPr>
            <w:tcW w:w="4133" w:type="dxa"/>
          </w:tcPr>
          <w:p w14:paraId="71B6B2D7">
            <w:pPr>
              <w:spacing w:before="0" w:after="0" w:line="240" w:lineRule="auto"/>
              <w:jc w:val="center"/>
            </w:pPr>
            <w:r>
              <w:rPr>
                <w:rFonts w:ascii="Times New Roman" w:hAnsi="Times New Roman" w:eastAsia="宋体"/>
                <w:b w:val="0"/>
                <w:sz w:val="15"/>
              </w:rPr>
              <w:t>—</w:t>
            </w:r>
          </w:p>
        </w:tc>
      </w:tr>
      <w:tr w14:paraId="2BE6A835">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65" w:type="dxa"/>
          </w:tcPr>
          <w:p w14:paraId="6A24CFD9">
            <w:pPr>
              <w:spacing w:before="0" w:after="0" w:line="240" w:lineRule="auto"/>
              <w:jc w:val="center"/>
            </w:pPr>
            <w:r>
              <w:rPr>
                <w:rFonts w:ascii="Times New Roman" w:hAnsi="Times New Roman" w:eastAsia="宋体"/>
                <w:b w:val="0"/>
                <w:sz w:val="15"/>
              </w:rPr>
              <w:t>中部地区</w:t>
            </w:r>
          </w:p>
        </w:tc>
        <w:tc>
          <w:tcPr>
            <w:tcW w:w="1376" w:type="dxa"/>
          </w:tcPr>
          <w:p w14:paraId="212FB440">
            <w:pPr>
              <w:spacing w:before="0" w:after="0" w:line="240" w:lineRule="auto"/>
              <w:jc w:val="center"/>
            </w:pPr>
            <w:r>
              <w:rPr>
                <w:rFonts w:ascii="Times New Roman" w:hAnsi="Times New Roman" w:eastAsia="宋体"/>
                <w:b w:val="0"/>
                <w:sz w:val="15"/>
              </w:rPr>
              <w:t>0.0286</w:t>
            </w:r>
          </w:p>
        </w:tc>
        <w:tc>
          <w:tcPr>
            <w:tcW w:w="1376" w:type="dxa"/>
          </w:tcPr>
          <w:p w14:paraId="04757115">
            <w:pPr>
              <w:spacing w:before="0" w:after="0" w:line="240" w:lineRule="auto"/>
              <w:jc w:val="center"/>
            </w:pPr>
            <w:r>
              <w:rPr>
                <w:rFonts w:ascii="Times New Roman" w:hAnsi="Times New Roman" w:eastAsia="宋体"/>
                <w:b w:val="0"/>
                <w:sz w:val="15"/>
              </w:rPr>
              <w:t>0.518</w:t>
            </w:r>
          </w:p>
        </w:tc>
        <w:tc>
          <w:tcPr>
            <w:tcW w:w="688" w:type="dxa"/>
          </w:tcPr>
          <w:p w14:paraId="56B9952A">
            <w:pPr>
              <w:spacing w:before="0" w:after="0" w:line="240" w:lineRule="auto"/>
              <w:jc w:val="center"/>
            </w:pPr>
            <w:r>
              <w:rPr>
                <w:rFonts w:ascii="Times New Roman" w:hAnsi="Times New Roman" w:eastAsia="宋体"/>
                <w:b w:val="0"/>
                <w:sz w:val="15"/>
              </w:rPr>
              <w:t>2134</w:t>
            </w:r>
          </w:p>
        </w:tc>
        <w:tc>
          <w:tcPr>
            <w:tcW w:w="4133" w:type="dxa"/>
          </w:tcPr>
          <w:p w14:paraId="033770D8">
            <w:pPr>
              <w:spacing w:before="0" w:after="0" w:line="240" w:lineRule="auto"/>
              <w:jc w:val="center"/>
            </w:pPr>
            <w:r>
              <w:rPr>
                <w:rFonts w:ascii="Times New Roman" w:hAnsi="Times New Roman" w:eastAsia="宋体"/>
                <w:b w:val="0"/>
                <w:sz w:val="15"/>
              </w:rPr>
              <w:t>—</w:t>
            </w:r>
          </w:p>
        </w:tc>
      </w:tr>
      <w:tr w14:paraId="1FACB9CC">
        <w:tblPrEx>
          <w:tblBorders>
            <w:top w:val="single" w:color="auto" w:sz="12" w:space="0"/>
            <w:left w:val="none" w:color="auto" w:sz="0" w:space="0"/>
            <w:bottom w:val="single" w:color="auto" w:sz="8" w:space="0"/>
            <w:right w:val="none" w:color="auto" w:sz="0" w:space="0"/>
            <w:insideH w:val="single" w:color="auto" w:sz="4" w:space="0"/>
            <w:insideV w:val="none" w:color="auto" w:sz="0" w:space="0"/>
          </w:tblBorders>
        </w:tblPrEx>
        <w:trPr>
          <w:jc w:val="center"/>
        </w:trPr>
        <w:tc>
          <w:tcPr>
            <w:tcW w:w="2065" w:type="dxa"/>
          </w:tcPr>
          <w:p w14:paraId="5DAC9E16">
            <w:pPr>
              <w:spacing w:before="0" w:after="0" w:line="240" w:lineRule="auto"/>
              <w:jc w:val="center"/>
            </w:pPr>
            <w:r>
              <w:rPr>
                <w:rFonts w:ascii="Times New Roman" w:hAnsi="Times New Roman" w:eastAsia="宋体"/>
                <w:b w:val="0"/>
                <w:sz w:val="15"/>
              </w:rPr>
              <w:t>西部地区</w:t>
            </w:r>
          </w:p>
        </w:tc>
        <w:tc>
          <w:tcPr>
            <w:tcW w:w="1376" w:type="dxa"/>
          </w:tcPr>
          <w:p w14:paraId="3D938A54">
            <w:pPr>
              <w:spacing w:before="0" w:after="0" w:line="240" w:lineRule="auto"/>
              <w:jc w:val="center"/>
            </w:pPr>
            <w:r>
              <w:rPr>
                <w:rFonts w:ascii="Times New Roman" w:hAnsi="Times New Roman" w:eastAsia="宋体"/>
                <w:b w:val="0"/>
                <w:sz w:val="15"/>
              </w:rPr>
              <w:t>0.0360</w:t>
            </w:r>
          </w:p>
        </w:tc>
        <w:tc>
          <w:tcPr>
            <w:tcW w:w="1376" w:type="dxa"/>
          </w:tcPr>
          <w:p w14:paraId="6F6F6C2B">
            <w:pPr>
              <w:spacing w:before="0" w:after="0" w:line="240" w:lineRule="auto"/>
              <w:jc w:val="center"/>
            </w:pPr>
            <w:r>
              <w:rPr>
                <w:rFonts w:ascii="Times New Roman" w:hAnsi="Times New Roman" w:eastAsia="宋体"/>
                <w:b w:val="0"/>
                <w:sz w:val="15"/>
              </w:rPr>
              <w:t>0.856</w:t>
            </w:r>
          </w:p>
        </w:tc>
        <w:tc>
          <w:tcPr>
            <w:tcW w:w="688" w:type="dxa"/>
          </w:tcPr>
          <w:p w14:paraId="395CCB22">
            <w:pPr>
              <w:spacing w:before="0" w:after="0" w:line="240" w:lineRule="auto"/>
              <w:jc w:val="center"/>
            </w:pPr>
            <w:r>
              <w:rPr>
                <w:rFonts w:ascii="Times New Roman" w:hAnsi="Times New Roman" w:eastAsia="宋体"/>
                <w:b w:val="0"/>
                <w:sz w:val="15"/>
              </w:rPr>
              <w:t>1434</w:t>
            </w:r>
          </w:p>
        </w:tc>
        <w:tc>
          <w:tcPr>
            <w:tcW w:w="4133" w:type="dxa"/>
          </w:tcPr>
          <w:p w14:paraId="19FA123C">
            <w:pPr>
              <w:spacing w:before="0" w:after="0" w:line="240" w:lineRule="auto"/>
              <w:jc w:val="center"/>
            </w:pPr>
            <w:r>
              <w:rPr>
                <w:rFonts w:ascii="Times New Roman" w:hAnsi="Times New Roman" w:eastAsia="宋体"/>
                <w:b w:val="0"/>
                <w:sz w:val="15"/>
              </w:rPr>
              <w:t>—</w:t>
            </w:r>
          </w:p>
        </w:tc>
      </w:tr>
    </w:tbl>
    <w:p w14:paraId="3EE32F2F">
      <w:pPr>
        <w:spacing w:before="40" w:after="120" w:line="240" w:lineRule="auto"/>
        <w:ind w:firstLine="180" w:firstLineChars="100"/>
        <w:jc w:val="left"/>
      </w:pPr>
      <w:r>
        <w:rPr>
          <w:rFonts w:ascii="Times New Roman" w:hAnsi="Times New Roman" w:eastAsia="宋体"/>
          <w:b w:val="0"/>
          <w:sz w:val="18"/>
        </w:rPr>
        <w:t>注：各子样本系数均不显著，区域间不存在显著差异。</w:t>
      </w:r>
    </w:p>
    <w:p w14:paraId="0B7E139A">
      <w:pPr>
        <w:spacing w:before="120" w:after="40"/>
        <w:jc w:val="center"/>
      </w:pPr>
      <w:r>
        <w:drawing>
          <wp:inline distT="0" distB="0" distL="114300" distR="114300">
            <wp:extent cx="5759450" cy="2604770"/>
            <wp:effectExtent l="0" t="0" r="1270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000" cy="2605172"/>
                    </a:xfrm>
                    <a:prstGeom prst="rect">
                      <a:avLst/>
                    </a:prstGeom>
                  </pic:spPr>
                </pic:pic>
              </a:graphicData>
            </a:graphic>
          </wp:inline>
        </w:drawing>
      </w:r>
    </w:p>
    <w:p w14:paraId="12427C7D">
      <w:pPr>
        <w:spacing w:before="120" w:after="20" w:line="240" w:lineRule="auto"/>
        <w:jc w:val="center"/>
      </w:pPr>
      <w:r>
        <w:rPr>
          <w:rFonts w:ascii="Times New Roman" w:hAnsi="Times New Roman" w:eastAsia="黑体"/>
          <w:b w:val="0"/>
          <w:sz w:val="18"/>
        </w:rPr>
        <w:t>图5 数智技术赋能水平与绿色专利产出趋势（2007—2024年）</w:t>
      </w:r>
    </w:p>
    <w:p w14:paraId="6112F5DC">
      <w:pPr>
        <w:spacing w:before="0" w:after="60" w:line="240" w:lineRule="auto"/>
        <w:jc w:val="center"/>
      </w:pPr>
      <w:r>
        <w:rPr>
          <w:rFonts w:ascii="Times New Roman" w:hAnsi="Times New Roman" w:eastAsia="宋体"/>
          <w:b w:val="0"/>
          <w:sz w:val="16"/>
        </w:rPr>
        <w:t>Fig.5 Trends of digital-intelligent empowerment and green patent output (2007-2024)</w:t>
      </w:r>
    </w:p>
    <w:p w14:paraId="701A0DEE">
      <w:pPr>
        <w:spacing w:before="120" w:after="40"/>
        <w:jc w:val="center"/>
      </w:pPr>
      <w:r>
        <w:drawing>
          <wp:inline distT="0" distB="0" distL="114300" distR="114300">
            <wp:extent cx="5759450" cy="2540000"/>
            <wp:effectExtent l="0" t="0" r="1270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000" cy="2540124"/>
                    </a:xfrm>
                    <a:prstGeom prst="rect">
                      <a:avLst/>
                    </a:prstGeom>
                  </pic:spPr>
                </pic:pic>
              </a:graphicData>
            </a:graphic>
          </wp:inline>
        </w:drawing>
      </w:r>
    </w:p>
    <w:p w14:paraId="2A003AE3">
      <w:pPr>
        <w:spacing w:before="120" w:after="20" w:line="240" w:lineRule="auto"/>
        <w:jc w:val="center"/>
      </w:pPr>
      <w:r>
        <w:rPr>
          <w:rFonts w:ascii="Times New Roman" w:hAnsi="Times New Roman" w:eastAsia="黑体"/>
          <w:b w:val="0"/>
          <w:sz w:val="18"/>
        </w:rPr>
        <w:t>图6 东中西部绿色专利申请趋势（2007—2024年，数据来源：各省市绿色专利申请情况）</w:t>
      </w:r>
    </w:p>
    <w:p w14:paraId="0F59C694">
      <w:pPr>
        <w:spacing w:before="0" w:after="60" w:line="240" w:lineRule="auto"/>
        <w:jc w:val="center"/>
      </w:pPr>
      <w:r>
        <w:rPr>
          <w:rFonts w:ascii="Times New Roman" w:hAnsi="Times New Roman" w:eastAsia="宋体"/>
          <w:b w:val="0"/>
          <w:sz w:val="16"/>
        </w:rPr>
        <w:t>Fig.6 Green patent applications in eastern, central and western regions (2007-2024)</w:t>
      </w:r>
    </w:p>
    <w:p w14:paraId="2EDA9F57">
      <w:pPr>
        <w:spacing w:before="120" w:after="40"/>
        <w:jc w:val="center"/>
      </w:pPr>
      <w:r>
        <w:drawing>
          <wp:inline distT="0" distB="0" distL="114300" distR="114300">
            <wp:extent cx="5759450" cy="2541270"/>
            <wp:effectExtent l="0" t="0" r="1270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000" cy="2541559"/>
                    </a:xfrm>
                    <a:prstGeom prst="rect">
                      <a:avLst/>
                    </a:prstGeom>
                  </pic:spPr>
                </pic:pic>
              </a:graphicData>
            </a:graphic>
          </wp:inline>
        </w:drawing>
      </w:r>
    </w:p>
    <w:p w14:paraId="5FD0DEE0">
      <w:pPr>
        <w:spacing w:before="120" w:after="20" w:line="240" w:lineRule="auto"/>
        <w:jc w:val="center"/>
      </w:pPr>
      <w:r>
        <w:rPr>
          <w:rFonts w:ascii="Times New Roman" w:hAnsi="Times New Roman" w:eastAsia="黑体"/>
          <w:b w:val="0"/>
          <w:sz w:val="18"/>
        </w:rPr>
        <w:t>图7 省域绿色专利申请累计TOP10（2007—2024年）</w:t>
      </w:r>
    </w:p>
    <w:p w14:paraId="3334D7C2">
      <w:pPr>
        <w:spacing w:before="0" w:after="60" w:line="240" w:lineRule="auto"/>
        <w:jc w:val="center"/>
      </w:pPr>
      <w:r>
        <w:rPr>
          <w:rFonts w:ascii="Times New Roman" w:hAnsi="Times New Roman" w:eastAsia="宋体"/>
          <w:b w:val="0"/>
          <w:sz w:val="16"/>
        </w:rPr>
        <w:t>Fig.7 Top 10 provinces by cumulative green patent applications (2007-2024)</w:t>
      </w:r>
    </w:p>
    <w:p w14:paraId="1622935E">
      <w:pPr>
        <w:spacing w:before="120" w:after="40"/>
        <w:jc w:val="center"/>
      </w:pPr>
      <w:r>
        <w:drawing>
          <wp:inline distT="0" distB="0" distL="114300" distR="114300">
            <wp:extent cx="5759450" cy="2607945"/>
            <wp:effectExtent l="0" t="0" r="1270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000" cy="2608061"/>
                    </a:xfrm>
                    <a:prstGeom prst="rect">
                      <a:avLst/>
                    </a:prstGeom>
                  </pic:spPr>
                </pic:pic>
              </a:graphicData>
            </a:graphic>
          </wp:inline>
        </w:drawing>
      </w:r>
    </w:p>
    <w:p w14:paraId="3C7AB3E8">
      <w:pPr>
        <w:spacing w:before="120" w:after="20" w:line="240" w:lineRule="auto"/>
        <w:jc w:val="center"/>
      </w:pPr>
      <w:r>
        <w:rPr>
          <w:rFonts w:ascii="Times New Roman" w:hAnsi="Times New Roman" w:eastAsia="黑体"/>
          <w:b w:val="0"/>
          <w:sz w:val="18"/>
        </w:rPr>
        <w:t>图8 行业与区域分组的核心指标均值对比（2007—2024年实证样本）</w:t>
      </w:r>
    </w:p>
    <w:p w14:paraId="4F154C6C">
      <w:pPr>
        <w:spacing w:before="0" w:after="60" w:line="240" w:lineRule="auto"/>
        <w:jc w:val="center"/>
      </w:pPr>
      <w:r>
        <w:rPr>
          <w:rFonts w:ascii="Times New Roman" w:hAnsi="Times New Roman" w:eastAsia="宋体"/>
          <w:b w:val="0"/>
          <w:sz w:val="16"/>
        </w:rPr>
        <w:t>Fig.8 Mean comparison of core indicators by industry and region (2007-2024)</w:t>
      </w:r>
    </w:p>
    <w:p w14:paraId="32264340">
      <w:pPr>
        <w:spacing w:before="0" w:after="0" w:line="240" w:lineRule="auto"/>
        <w:ind w:firstLine="420" w:firstLineChars="200"/>
        <w:jc w:val="both"/>
      </w:pPr>
      <w:r>
        <w:rPr>
          <w:rFonts w:ascii="Times New Roman" w:hAnsi="Times New Roman" w:eastAsia="宋体"/>
          <w:b w:val="0"/>
          <w:sz w:val="21"/>
        </w:rPr>
        <w:t>综合基准回归、测量效度检验、传导机制识别、空间溢出检验与异质性分析，本文对核心命题形成了较为完整的证据链条。</w:t>
      </w:r>
    </w:p>
    <w:p w14:paraId="32B957A0">
      <w:pPr>
        <w:spacing w:before="0" w:after="0" w:line="240" w:lineRule="auto"/>
        <w:ind w:firstLine="420" w:firstLineChars="200"/>
        <w:jc w:val="both"/>
      </w:pPr>
      <w:r>
        <w:rPr>
          <w:rFonts w:ascii="Times New Roman" w:hAnsi="Times New Roman" w:eastAsia="宋体"/>
          <w:b w:val="0"/>
          <w:sz w:val="21"/>
        </w:rPr>
        <w:t>本节据此归纳研究结论，提炼政策启示，并说明研究局限与未来拓展方向。</w:t>
      </w:r>
    </w:p>
    <w:p w14:paraId="3665BD10">
      <w:pPr>
        <w:spacing w:before="240" w:after="120" w:line="240" w:lineRule="auto"/>
        <w:jc w:val="left"/>
      </w:pPr>
      <w:r>
        <w:rPr>
          <w:rFonts w:ascii="Times New Roman" w:hAnsi="Times New Roman" w:eastAsia="黑体"/>
          <w:b/>
          <w:sz w:val="24"/>
        </w:rPr>
        <w:t>7 研究结论与政策启示</w:t>
      </w:r>
    </w:p>
    <w:p w14:paraId="7C544A1C">
      <w:pPr>
        <w:spacing w:before="160" w:after="80" w:line="240" w:lineRule="auto"/>
        <w:jc w:val="left"/>
      </w:pPr>
      <w:r>
        <w:rPr>
          <w:rFonts w:ascii="Times New Roman" w:hAnsi="Times New Roman" w:eastAsia="黑体"/>
          <w:b/>
          <w:sz w:val="21"/>
        </w:rPr>
        <w:t>7.1 研究结论</w:t>
      </w:r>
    </w:p>
    <w:p w14:paraId="3F8E1DC1">
      <w:pPr>
        <w:spacing w:before="0" w:after="0" w:line="240" w:lineRule="auto"/>
        <w:ind w:firstLine="420" w:firstLineChars="200"/>
        <w:jc w:val="both"/>
      </w:pPr>
      <w:r>
        <w:rPr>
          <w:rFonts w:ascii="Times New Roman" w:hAnsi="Times New Roman" w:eastAsia="宋体"/>
          <w:b w:val="0"/>
          <w:sz w:val="21"/>
        </w:rPr>
        <w:t>本文以2007—2024年沪深A股1286家上市公司、11571个公司—年度观测为样本，检验数智技术赋能的环境绩效效应及其传导机制。</w:t>
      </w:r>
    </w:p>
    <w:p w14:paraId="2249ECA3">
      <w:pPr>
        <w:spacing w:before="0" w:after="0" w:line="240" w:lineRule="auto"/>
        <w:ind w:firstLine="420" w:firstLineChars="200"/>
        <w:jc w:val="both"/>
      </w:pPr>
      <w:r>
        <w:rPr>
          <w:rFonts w:ascii="Times New Roman" w:hAnsi="Times New Roman" w:eastAsia="宋体"/>
          <w:b w:val="0"/>
          <w:sz w:val="21"/>
        </w:rPr>
        <w:t>双向固定效应回归显示，直接效应为0.020（t=1.335），方向为正但未通过显著性检验。该结论对剔除2024年、替换核心解释变量与滞后设定均不敏感；剔除碳披露维度后，系数升至0.0328，10%水平显著。</w:t>
      </w:r>
    </w:p>
    <w:p w14:paraId="748761DA">
      <w:pPr>
        <w:spacing w:before="0" w:after="0" w:line="240" w:lineRule="auto"/>
        <w:ind w:firstLine="420" w:firstLineChars="200"/>
        <w:jc w:val="both"/>
      </w:pPr>
      <w:r>
        <w:rPr>
          <w:rFonts w:ascii="Times New Roman" w:hAnsi="Times New Roman" w:eastAsia="宋体"/>
          <w:b w:val="0"/>
          <w:sz w:val="21"/>
        </w:rPr>
        <w:t>机制检验表明，绿色技术创新是数智赋能影响环境绩效的主导渠道。</w:t>
      </w:r>
    </w:p>
    <w:p w14:paraId="28D87013">
      <w:pPr>
        <w:spacing w:before="0" w:after="0" w:line="240" w:lineRule="auto"/>
        <w:ind w:firstLine="420" w:firstLineChars="200"/>
        <w:jc w:val="both"/>
      </w:pPr>
      <w:r>
        <w:rPr>
          <w:rFonts w:ascii="Times New Roman" w:hAnsi="Times New Roman" w:eastAsia="宋体"/>
          <w:b w:val="0"/>
          <w:sz w:val="21"/>
        </w:rPr>
        <w:t>赋能指数每提高1个标准差，绿色专利产出提高约0.055个标准差（5%水平显著）；绿色专利产出对环境绩效的边际影响为0.1821（1%水平显著）。</w:t>
      </w:r>
    </w:p>
    <w:p w14:paraId="271A204C">
      <w:pPr>
        <w:spacing w:before="0" w:after="0" w:line="240" w:lineRule="auto"/>
        <w:ind w:firstLine="420" w:firstLineChars="200"/>
        <w:jc w:val="both"/>
      </w:pPr>
      <w:r>
        <w:rPr>
          <w:rFonts w:ascii="Times New Roman" w:hAnsi="Times New Roman" w:eastAsia="宋体"/>
          <w:b w:val="0"/>
          <w:sz w:val="21"/>
        </w:rPr>
        <w:t>中介效应占比50.05%，Sobel检验在5%水平显著，纳入中介后直接效应不再显著。管理效率与绿色并购两条路径未通过检验，但这更可能是代理变量测度不足所致——内控质量得分缺乏变异、绿色并购事件零膨胀——不宜据此断言机制不存在。</w:t>
      </w:r>
    </w:p>
    <w:p w14:paraId="276A87F0">
      <w:pPr>
        <w:spacing w:before="0" w:after="0" w:line="240" w:lineRule="auto"/>
        <w:ind w:firstLine="420" w:firstLineChars="200"/>
        <w:jc w:val="both"/>
      </w:pPr>
      <w:r>
        <w:rPr>
          <w:rFonts w:ascii="Times New Roman" w:hAnsi="Times New Roman" w:eastAsia="宋体"/>
          <w:b w:val="0"/>
          <w:sz w:val="21"/>
        </w:rPr>
        <w:t>这提示数智化的环境红利主要源于绿色研发效率与知识迭代的提升。</w:t>
      </w:r>
    </w:p>
    <w:p w14:paraId="7C1A6020">
      <w:pPr>
        <w:spacing w:before="0" w:after="0" w:line="240" w:lineRule="auto"/>
        <w:ind w:firstLine="420" w:firstLineChars="200"/>
        <w:jc w:val="both"/>
      </w:pPr>
      <w:r>
        <w:rPr>
          <w:rFonts w:ascii="Times New Roman" w:hAnsi="Times New Roman" w:eastAsia="宋体"/>
          <w:b w:val="0"/>
          <w:sz w:val="21"/>
        </w:rPr>
        <w:t>测量效度检验进一步厘清了上述结果的来源。</w:t>
      </w:r>
    </w:p>
    <w:p w14:paraId="1A7DC849">
      <w:pPr>
        <w:spacing w:before="0" w:after="0" w:line="240" w:lineRule="auto"/>
        <w:ind w:firstLine="420" w:firstLineChars="200"/>
        <w:jc w:val="both"/>
      </w:pPr>
      <w:r>
        <w:rPr>
          <w:rFonts w:ascii="Times New Roman" w:hAnsi="Times New Roman" w:eastAsia="宋体"/>
          <w:b w:val="0"/>
          <w:sz w:val="21"/>
        </w:rPr>
        <w:t>分维度看，数智赋能对绿色创新产出维度的效应为0.0873，1%水平显著；对碳信息披露与环保治理投入两个维度则均不显著。改用熵权法重新赋权后，综合指数的系数为0.0222（t=0.803）。控制碳披露口径变动后，2020年以前的效应为0.0046（t=0.298），交互项系数为0.0396，5%水平显著。</w:t>
      </w:r>
    </w:p>
    <w:p w14:paraId="5E889B55">
      <w:pPr>
        <w:spacing w:before="0" w:after="0" w:line="240" w:lineRule="auto"/>
        <w:ind w:firstLine="420" w:firstLineChars="200"/>
        <w:jc w:val="both"/>
      </w:pPr>
      <w:r>
        <w:rPr>
          <w:rFonts w:ascii="Times New Roman" w:hAnsi="Times New Roman" w:eastAsia="宋体"/>
          <w:b w:val="0"/>
          <w:sz w:val="21"/>
        </w:rPr>
        <w:t>这说明综合指数的不显著，主要源于信号稀释与披露口径的结构性变动，而非数智赋能缺乏环境效应；读者不宜凭综合指数一项就否定数智技术的环境价值。</w:t>
      </w:r>
    </w:p>
    <w:p w14:paraId="5EA6B4FF">
      <w:pPr>
        <w:spacing w:before="0" w:after="0" w:line="240" w:lineRule="auto"/>
        <w:ind w:firstLine="420" w:firstLineChars="200"/>
        <w:jc w:val="both"/>
      </w:pPr>
      <w:r>
        <w:rPr>
          <w:rFonts w:ascii="Times New Roman" w:hAnsi="Times New Roman" w:eastAsia="宋体"/>
          <w:b w:val="0"/>
          <w:sz w:val="21"/>
        </w:rPr>
        <w:t>以仅含AI与智能计算类术语的专属强度指标替换核心解释变量后，其对企业环境绩效与绿色技术创新的系数分别为0.0376与0.0437，均在1%水平显著，进一步支持数智技术专属效应真实存在。</w:t>
      </w:r>
    </w:p>
    <w:p w14:paraId="49DA3597">
      <w:pPr>
        <w:spacing w:before="0" w:after="0" w:line="240" w:lineRule="auto"/>
        <w:ind w:firstLine="420" w:firstLineChars="200"/>
        <w:jc w:val="both"/>
      </w:pPr>
      <w:r>
        <w:rPr>
          <w:rFonts w:ascii="Times New Roman" w:hAnsi="Times New Roman" w:eastAsia="宋体"/>
          <w:b w:val="0"/>
          <w:sz w:val="21"/>
        </w:rPr>
        <w:t>分维度看，数智赋能对绿色专利申请量与获得量均有显著正向影响，系数分别为0.0873与0.0549。行业异质性显示，非重污染行业的赋能效应显著强于重污染行业，组间差异t值为-3.291；区域之间则不存在显著差异。</w:t>
      </w:r>
    </w:p>
    <w:p w14:paraId="4D39EF07">
      <w:pPr>
        <w:spacing w:before="0" w:after="0" w:line="240" w:lineRule="auto"/>
        <w:ind w:firstLine="420" w:firstLineChars="200"/>
        <w:jc w:val="both"/>
      </w:pPr>
      <w:r>
        <w:rPr>
          <w:rFonts w:ascii="Times New Roman" w:hAnsi="Times New Roman" w:eastAsia="宋体"/>
          <w:b w:val="0"/>
          <w:sz w:val="21"/>
        </w:rPr>
        <w:t>空间维度的结果不同。两类分组空间权重下均未发现稳健的跨企业溢出证据。同群企业环境绩效虽存在显著联动，ρ分别为0.4451与0.1898，但同群数智赋能对本企业环境绩效的间接效应并不显著，行业为0.0275、省份为-0.0047。</w:t>
      </w:r>
    </w:p>
    <w:p w14:paraId="0D7363C9">
      <w:pPr>
        <w:spacing w:before="0" w:after="0" w:line="240" w:lineRule="auto"/>
        <w:ind w:firstLine="420" w:firstLineChars="200"/>
        <w:jc w:val="both"/>
      </w:pPr>
      <w:r>
        <w:rPr>
          <w:rFonts w:ascii="Times New Roman" w:hAnsi="Times New Roman" w:eastAsia="宋体"/>
          <w:b w:val="0"/>
          <w:sz w:val="21"/>
        </w:rPr>
        <w:t>就行业与省份两组均值权重而言，空间协同机制尚未在样本期内显现；这一结论不外推到其他权重设定。</w:t>
      </w:r>
    </w:p>
    <w:p w14:paraId="5A2353C3">
      <w:pPr>
        <w:spacing w:before="160" w:after="80" w:line="240" w:lineRule="auto"/>
        <w:jc w:val="left"/>
      </w:pPr>
      <w:r>
        <w:rPr>
          <w:rFonts w:ascii="Times New Roman" w:hAnsi="Times New Roman" w:eastAsia="黑体"/>
          <w:b/>
          <w:sz w:val="21"/>
        </w:rPr>
        <w:t>7.2 政策启示</w:t>
      </w:r>
    </w:p>
    <w:p w14:paraId="09FB16C5">
      <w:pPr>
        <w:spacing w:before="0" w:after="0" w:line="240" w:lineRule="auto"/>
        <w:ind w:firstLine="420" w:firstLineChars="200"/>
        <w:jc w:val="both"/>
      </w:pPr>
      <w:r>
        <w:rPr>
          <w:rFonts w:ascii="Times New Roman" w:hAnsi="Times New Roman" w:eastAsia="宋体"/>
          <w:b w:val="0"/>
          <w:sz w:val="21"/>
        </w:rPr>
        <w:t>对企业而言，可操作的方向是把数字化投入引向绿色研发环节。本文的证据显示，环境红利主要经由绿色专利产出释放——赋能指数每提高1个标准差，绿色专利产出约提高0.055个标准差；而管理效率与资源配置两条路径在本文的代理变量下暂未获支持。因此，把预算优先投向工艺仿真、绿色材料筛选与碳核算，比笼统推进“全面数字化”更可能见效；同时不宜把数字化投入本身当作环保绩效的替代指标。</w:t>
      </w:r>
    </w:p>
    <w:p w14:paraId="1EF8820B">
      <w:pPr>
        <w:spacing w:before="0" w:after="0" w:line="240" w:lineRule="auto"/>
        <w:ind w:firstLine="420" w:firstLineChars="200"/>
        <w:jc w:val="both"/>
      </w:pPr>
      <w:r>
        <w:rPr>
          <w:rFonts w:ascii="Times New Roman" w:hAnsi="Times New Roman" w:eastAsia="宋体"/>
          <w:b w:val="0"/>
          <w:sz w:val="21"/>
        </w:rPr>
        <w:t>行业政策需要区分对待。非重污染行业的赋能效应显著强于重污染行业（交互项t=-3.291），说明数字化在轻污染环节更容易转化为绿色产出；重污染行业的系数为-0.0032且不显著，末端治理成本与技术路径依赖可能抵消了数字化的作用。据此，重污染行业的政策重点仍应放在末端治理与工艺改造上，数字化改造更适合作为配套而非替代。</w:t>
      </w:r>
    </w:p>
    <w:p w14:paraId="5CFE22AB">
      <w:pPr>
        <w:spacing w:before="0" w:after="0" w:line="240" w:lineRule="auto"/>
        <w:ind w:firstLine="420" w:firstLineChars="200"/>
        <w:jc w:val="both"/>
      </w:pPr>
      <w:r>
        <w:rPr>
          <w:rFonts w:ascii="Times New Roman" w:hAnsi="Times New Roman" w:eastAsia="宋体"/>
          <w:b w:val="0"/>
          <w:sz w:val="21"/>
        </w:rPr>
        <w:t>区域政策的目标设定宜更谨慎。本文在行业与省份两组权重下均未发现稳健的跨企业溢出：同群企业环境绩效虽显著联动（ρ分别为0.4451与0.1898），但同群数智赋能并未显著影响本企业绩效。这意味着，以“建平台、促协同”为主要抓手的区域政策，其绿色效果在本样本期内缺乏证据支持；若政策目标是推动绿色技术跨企业扩散，本文的证据不足以支持把平台建设作为主要抓手；降低技术流动的交易成本或许更基础，但其效果仍需专门检验。上述判断仅适用于本文的权重设定与样本期。</w:t>
      </w:r>
    </w:p>
    <w:p w14:paraId="0B340916">
      <w:pPr>
        <w:spacing w:before="160" w:after="80" w:line="240" w:lineRule="auto"/>
        <w:jc w:val="left"/>
      </w:pPr>
      <w:r>
        <w:rPr>
          <w:rFonts w:ascii="Times New Roman" w:hAnsi="Times New Roman" w:eastAsia="黑体"/>
          <w:b/>
          <w:sz w:val="21"/>
        </w:rPr>
        <w:t>7.3 研究局限与未来展望</w:t>
      </w:r>
    </w:p>
    <w:p w14:paraId="225EEF49">
      <w:pPr>
        <w:spacing w:before="0" w:after="0" w:line="240" w:lineRule="auto"/>
        <w:ind w:firstLine="420" w:firstLineChars="200"/>
        <w:jc w:val="both"/>
      </w:pPr>
      <w:r>
        <w:rPr>
          <w:rFonts w:ascii="Times New Roman" w:hAnsi="Times New Roman" w:eastAsia="宋体"/>
          <w:b w:val="0"/>
          <w:sz w:val="21"/>
        </w:rPr>
        <w:t>本文的局限与实证发现一一对应，主要集中在四处。</w:t>
      </w:r>
    </w:p>
    <w:p w14:paraId="06BCAD22">
      <w:pPr>
        <w:spacing w:before="0" w:after="0" w:line="240" w:lineRule="auto"/>
        <w:ind w:firstLine="420" w:firstLineChars="200"/>
        <w:jc w:val="both"/>
      </w:pPr>
      <w:r>
        <w:rPr>
          <w:rFonts w:ascii="Times New Roman" w:hAnsi="Times New Roman" w:eastAsia="宋体"/>
          <w:b w:val="0"/>
          <w:sz w:val="21"/>
        </w:rPr>
        <w:t>第一是测度。核心解释变量来自年报文本，反映技术应用广度而非深度，纸面数字化与真实部署难以区分；2022年后才普及的大模型技术也未纳入词表。被解释变量同样有短板：碳信息披露词频在2020年后因监管要求出现跃升，绿色专利申请在2024年受公开时滞影响不完整，综合指数的跨期可比性因此受限。后续可用生成式人工智能专利、招聘与算力投入构造深度指标，并以事件研究或断点设计处理口径变化。</w:t>
      </w:r>
    </w:p>
    <w:p w14:paraId="5D988057">
      <w:pPr>
        <w:spacing w:before="0" w:after="0" w:line="240" w:lineRule="auto"/>
        <w:ind w:firstLine="420" w:firstLineChars="200"/>
        <w:jc w:val="both"/>
      </w:pPr>
      <w:r>
        <w:rPr>
          <w:rFonts w:ascii="Times New Roman" w:hAnsi="Times New Roman" w:eastAsia="宋体"/>
          <w:b w:val="0"/>
          <w:sz w:val="21"/>
        </w:rPr>
        <w:t>第二是中介变量的代理质量。内控质量得分集中在2—3分，绿色并购事件零膨胀，两者都难以刻画企业间真实差异；换成总资产周转率与非创新维度口径后结论未变，但仍不能排除测度误差。要把机制识别得更清楚，需要流程优化类文本指标，或数据包络分析测算的效率值</w:t>
      </w:r>
      <w:r>
        <w:rPr>
          <w:rFonts w:ascii="Times New Roman" w:hAnsi="Times New Roman" w:eastAsia="宋体"/>
          <w:b w:val="0"/>
          <w:sz w:val="21"/>
          <w:vertAlign w:val="superscript"/>
        </w:rPr>
        <w:t>[33]</w:t>
      </w:r>
      <w:r>
        <w:rPr>
          <w:rFonts w:ascii="Times New Roman" w:hAnsi="Times New Roman" w:eastAsia="宋体"/>
          <w:b w:val="0"/>
          <w:sz w:val="21"/>
        </w:rPr>
        <w:t>。</w:t>
      </w:r>
    </w:p>
    <w:p w14:paraId="30FF9F84">
      <w:pPr>
        <w:spacing w:before="0" w:after="0" w:line="240" w:lineRule="auto"/>
        <w:ind w:firstLine="420" w:firstLineChars="200"/>
        <w:jc w:val="both"/>
      </w:pPr>
      <w:r>
        <w:rPr>
          <w:rFonts w:ascii="Times New Roman" w:hAnsi="Times New Roman" w:eastAsia="宋体"/>
          <w:b w:val="0"/>
          <w:sz w:val="21"/>
        </w:rPr>
        <w:t>第三是空间设定。本文只用了行业与省份的组内均值权重，未纳入供应链关联、技术相似度与地理距离，也未估计空间误差项与反馈乘数，因此“未发现溢出”只在本文设定下成立。后续可构建供应链网络或专利引用相似度权重，并用空间杜宾模型的极大似然估计重新检验。</w:t>
      </w:r>
    </w:p>
    <w:p w14:paraId="111CB8AE">
      <w:pPr>
        <w:spacing w:before="0" w:after="0" w:line="240" w:lineRule="auto"/>
        <w:ind w:firstLine="420" w:firstLineChars="200"/>
        <w:jc w:val="both"/>
      </w:pPr>
      <w:r>
        <w:rPr>
          <w:rFonts w:ascii="Times New Roman" w:hAnsi="Times New Roman" w:eastAsia="宋体"/>
          <w:b w:val="0"/>
          <w:sz w:val="21"/>
        </w:rPr>
        <w:t>第四是识别与外部效度。工具变量的排他性只能论证到“相对有限”，滞后检验也未确认效应的持续性，更干净的识别需要借助政策试点等外生冲击。样本为上市公司，且注册地须能与省级政策匹配，结论向非上市企业推广时应保持谨慎。此外，算法偏见与数字鸿沟</w:t>
      </w:r>
      <w:r>
        <w:rPr>
          <w:rFonts w:ascii="Times New Roman" w:hAnsi="Times New Roman" w:eastAsia="宋体"/>
          <w:b w:val="0"/>
          <w:sz w:val="21"/>
          <w:vertAlign w:val="superscript"/>
        </w:rPr>
        <w:t>[34]</w:t>
      </w:r>
      <w:r>
        <w:rPr>
          <w:rFonts w:ascii="Times New Roman" w:hAnsi="Times New Roman" w:eastAsia="宋体"/>
          <w:b w:val="0"/>
          <w:sz w:val="21"/>
        </w:rPr>
        <w:t>、数智化与可持续发展目标的关联</w:t>
      </w:r>
      <w:r>
        <w:rPr>
          <w:rFonts w:ascii="Times New Roman" w:hAnsi="Times New Roman" w:eastAsia="宋体"/>
          <w:b w:val="0"/>
          <w:sz w:val="21"/>
          <w:vertAlign w:val="superscript"/>
        </w:rPr>
        <w:t>[35]</w:t>
      </w:r>
      <w:r>
        <w:rPr>
          <w:rFonts w:ascii="Times New Roman" w:hAnsi="Times New Roman" w:eastAsia="宋体"/>
          <w:b w:val="0"/>
          <w:sz w:val="21"/>
        </w:rPr>
        <w:t>，本文尚未纳入，留待后续研究。</w:t>
      </w:r>
    </w:p>
    <w:p w14:paraId="7773D6F4">
      <w:pPr>
        <w:spacing w:before="280" w:after="120" w:line="240" w:lineRule="auto"/>
        <w:jc w:val="center"/>
      </w:pPr>
      <w:r>
        <w:rPr>
          <w:rFonts w:ascii="Times New Roman" w:hAnsi="Times New Roman" w:eastAsia="黑体"/>
          <w:b/>
          <w:sz w:val="22"/>
        </w:rPr>
        <w:t>参考文献</w:t>
      </w:r>
    </w:p>
    <w:p w14:paraId="54098332">
      <w:pPr>
        <w:spacing w:before="0" w:after="0" w:line="240" w:lineRule="auto"/>
        <w:jc w:val="left"/>
      </w:pPr>
      <w:r>
        <w:rPr>
          <w:rFonts w:ascii="Times New Roman" w:hAnsi="Times New Roman" w:eastAsia="宋体"/>
          <w:b w:val="0"/>
          <w:sz w:val="18"/>
        </w:rPr>
        <w:t>[1] 中共中央, 国务院. 关于完整准确全面贯彻新发展理念做好碳达峰碳中和工作的意见[Z]. 北京: 人民出版社, 2021.</w:t>
      </w:r>
    </w:p>
    <w:p w14:paraId="76EC5A4A">
      <w:pPr>
        <w:spacing w:before="0" w:after="0" w:line="240" w:lineRule="auto"/>
        <w:jc w:val="left"/>
      </w:pPr>
      <w:r>
        <w:rPr>
          <w:rFonts w:ascii="Times New Roman" w:hAnsi="Times New Roman" w:eastAsia="宋体"/>
          <w:b w:val="0"/>
          <w:sz w:val="18"/>
        </w:rPr>
        <w:t>[2] 国务院. 新一代人工智能发展规划: 国发〔2017〕35号[Z]. 2017.</w:t>
      </w:r>
    </w:p>
    <w:p w14:paraId="01420759">
      <w:pPr>
        <w:spacing w:before="0" w:after="0" w:line="240" w:lineRule="auto"/>
        <w:jc w:val="left"/>
      </w:pPr>
      <w:r>
        <w:rPr>
          <w:rFonts w:ascii="Times New Roman" w:hAnsi="Times New Roman" w:eastAsia="宋体"/>
          <w:b w:val="0"/>
          <w:sz w:val="18"/>
        </w:rPr>
        <w:t>[3] ACEMOGLU D, RESTREPO P. Robots and jobs: evidence from US labor markets[J]. Journal of Political Economy, 2020, 128(6): 2188-2244.</w:t>
      </w:r>
    </w:p>
    <w:p w14:paraId="2421297E">
      <w:pPr>
        <w:spacing w:before="0" w:after="0" w:line="240" w:lineRule="auto"/>
        <w:jc w:val="left"/>
      </w:pPr>
      <w:r>
        <w:rPr>
          <w:rFonts w:ascii="Times New Roman" w:hAnsi="Times New Roman" w:eastAsia="宋体"/>
          <w:b w:val="0"/>
          <w:sz w:val="18"/>
        </w:rPr>
        <w:t>[4] ACEMOGLU D, RESTREPO P. The wrong kind of AI? Artificial intelligence and the future of labour demand[J]. Cambridge Journal of Regions, Economy and Society, 2020, 13(1): 25-35.</w:t>
      </w:r>
    </w:p>
    <w:p w14:paraId="0E48C8C5">
      <w:pPr>
        <w:spacing w:before="0" w:after="0" w:line="240" w:lineRule="auto"/>
        <w:jc w:val="left"/>
      </w:pPr>
      <w:r>
        <w:rPr>
          <w:rFonts w:ascii="Times New Roman" w:hAnsi="Times New Roman" w:eastAsia="宋体"/>
          <w:b w:val="0"/>
          <w:sz w:val="18"/>
        </w:rPr>
        <w:t>[5] 吴非, 胡慧芷, 林慧妍, 等. 企业数字化转型与资本市场表现: 来自股票流动性的经验证据[J]. 管理世界, 2021, 37(7): 130-144.</w:t>
      </w:r>
    </w:p>
    <w:p w14:paraId="4544F15D">
      <w:pPr>
        <w:spacing w:before="0" w:after="0" w:line="240" w:lineRule="auto"/>
        <w:jc w:val="left"/>
      </w:pPr>
      <w:r>
        <w:rPr>
          <w:rFonts w:ascii="Times New Roman" w:hAnsi="Times New Roman" w:eastAsia="宋体"/>
          <w:b w:val="0"/>
          <w:sz w:val="18"/>
        </w:rPr>
        <w:t>[6] 赵宸宇, 王文春, 李雪松. 数字化转型如何影响企业全要素生产率[J]. 财贸经济, 2021, 42(7): 114-129.</w:t>
      </w:r>
    </w:p>
    <w:p w14:paraId="27EF612D">
      <w:pPr>
        <w:spacing w:before="0" w:after="0" w:line="240" w:lineRule="auto"/>
        <w:jc w:val="left"/>
      </w:pPr>
      <w:r>
        <w:rPr>
          <w:rFonts w:ascii="Times New Roman" w:hAnsi="Times New Roman" w:eastAsia="宋体"/>
          <w:b w:val="0"/>
          <w:sz w:val="18"/>
        </w:rPr>
        <w:t>[7] 陈剑, 黄朔, 刘运辉. 从赋能到使能: 数字化环境下的企业运营管理[J]. 管理世界, 2020, 36(2): 117-128.</w:t>
      </w:r>
    </w:p>
    <w:p w14:paraId="210B7B69">
      <w:pPr>
        <w:spacing w:before="0" w:after="0" w:line="240" w:lineRule="auto"/>
        <w:jc w:val="left"/>
      </w:pPr>
      <w:r>
        <w:rPr>
          <w:rFonts w:ascii="Times New Roman" w:hAnsi="Times New Roman" w:eastAsia="宋体"/>
          <w:b w:val="0"/>
          <w:sz w:val="18"/>
        </w:rPr>
        <w:t>[8] 袁淳, 肖土盛, 耿春晓, 等. 数字化转型与企业分工: 专业化还是纵向一体化[J]. 中国工业经济, 2021(9): 137-155.</w:t>
      </w:r>
    </w:p>
    <w:p w14:paraId="44FFB5B9">
      <w:pPr>
        <w:spacing w:before="0" w:after="0" w:line="240" w:lineRule="auto"/>
        <w:jc w:val="left"/>
      </w:pPr>
      <w:r>
        <w:rPr>
          <w:rFonts w:ascii="Times New Roman" w:hAnsi="Times New Roman" w:eastAsia="宋体"/>
          <w:b w:val="0"/>
          <w:sz w:val="18"/>
        </w:rPr>
        <w:t>[9] 赵涛, 张智, 梁上坤. 数字经济、创业活跃度与高质量发展: 来自中国城市的经验证据[J]. 管理世界, 2020, 36(10): 65-76.</w:t>
      </w:r>
    </w:p>
    <w:p w14:paraId="7C79F0F5">
      <w:pPr>
        <w:spacing w:before="0" w:after="0" w:line="240" w:lineRule="auto"/>
        <w:jc w:val="left"/>
      </w:pPr>
      <w:r>
        <w:rPr>
          <w:rFonts w:ascii="Times New Roman" w:hAnsi="Times New Roman" w:eastAsia="宋体"/>
          <w:b w:val="0"/>
          <w:sz w:val="18"/>
        </w:rPr>
        <w:t>[10] 黄群慧, 余泳泽, 张松林. 互联网发展与制造业生产率提升: 内在机制与中国经验[J]. 中国工业经济, 2019(8): 5-23.</w:t>
      </w:r>
    </w:p>
    <w:p w14:paraId="046434F7">
      <w:pPr>
        <w:spacing w:before="0" w:after="0" w:line="240" w:lineRule="auto"/>
        <w:jc w:val="left"/>
      </w:pPr>
      <w:r>
        <w:rPr>
          <w:rFonts w:ascii="Times New Roman" w:hAnsi="Times New Roman" w:eastAsia="宋体"/>
          <w:b w:val="0"/>
          <w:sz w:val="18"/>
        </w:rPr>
        <w:t>[11] 唐松, 伍旭川, 祝佳. 数字金融与企业技术创新: 结构特征、机制识别与金融监管下的效应差异[J]. 管理世界, 2020, 36(5): 52-66.</w:t>
      </w:r>
    </w:p>
    <w:p w14:paraId="7A7A5E9F">
      <w:pPr>
        <w:spacing w:before="0" w:after="0" w:line="240" w:lineRule="auto"/>
        <w:jc w:val="left"/>
      </w:pPr>
      <w:r>
        <w:rPr>
          <w:rFonts w:ascii="Times New Roman" w:hAnsi="Times New Roman" w:eastAsia="宋体"/>
          <w:b w:val="0"/>
          <w:sz w:val="18"/>
        </w:rPr>
        <w:t>[12] PORTER M E, VAN DER LINDE C. Toward a new conception of the environment-competitiveness relationship[J]. Journal of Economic Perspectives, 1995, 9(4): 97-118.</w:t>
      </w:r>
    </w:p>
    <w:p w14:paraId="6729B836">
      <w:pPr>
        <w:spacing w:before="0" w:after="0" w:line="240" w:lineRule="auto"/>
        <w:jc w:val="left"/>
      </w:pPr>
      <w:r>
        <w:rPr>
          <w:rFonts w:ascii="Times New Roman" w:hAnsi="Times New Roman" w:eastAsia="宋体"/>
          <w:b w:val="0"/>
          <w:sz w:val="18"/>
        </w:rPr>
        <w:t>[13] ACEMOGLU D, AGHION P, BURSZTYN L, et al. The environment and directed technical change[J]. American Economic Review, 2012, 102(1): 131-166.</w:t>
      </w:r>
    </w:p>
    <w:p w14:paraId="49208CB9">
      <w:pPr>
        <w:spacing w:before="0" w:after="0" w:line="240" w:lineRule="auto"/>
        <w:jc w:val="left"/>
      </w:pPr>
      <w:r>
        <w:rPr>
          <w:rFonts w:ascii="Times New Roman" w:hAnsi="Times New Roman" w:eastAsia="宋体"/>
          <w:b w:val="0"/>
          <w:sz w:val="18"/>
        </w:rPr>
        <w:t>[14] GOLDFARB A, TUCKER C. Digital economics[J]. Journal of Economic Literature, 2019, 57(1): 3-43.</w:t>
      </w:r>
    </w:p>
    <w:p w14:paraId="43E415EF">
      <w:pPr>
        <w:spacing w:before="0" w:after="0" w:line="240" w:lineRule="auto"/>
        <w:jc w:val="left"/>
      </w:pPr>
      <w:r>
        <w:rPr>
          <w:rFonts w:ascii="Times New Roman" w:hAnsi="Times New Roman" w:eastAsia="宋体"/>
          <w:b w:val="0"/>
          <w:sz w:val="18"/>
        </w:rPr>
        <w:t>[15] BRYNJOLFSSON E, MCAFEE A. The second machine age: work, progress, and prosperity in a time of brilliant technologies[M]. New York: W. W. Norton &amp; Company, 2014.</w:t>
      </w:r>
    </w:p>
    <w:p w14:paraId="46E201BE">
      <w:pPr>
        <w:spacing w:before="0" w:after="0" w:line="240" w:lineRule="auto"/>
        <w:jc w:val="left"/>
      </w:pPr>
      <w:r>
        <w:rPr>
          <w:rFonts w:ascii="Times New Roman" w:hAnsi="Times New Roman" w:eastAsia="宋体"/>
          <w:b w:val="0"/>
          <w:sz w:val="18"/>
        </w:rPr>
        <w:t>[16] 齐绍洲, 林屾, 崔静波. 环境权益交易市场能否诱发绿色创新?: 基于我国上市公司绿色专利数据的证据[J]. 经济研究, 2018, 53(12): 129-143.</w:t>
      </w:r>
    </w:p>
    <w:p w14:paraId="31DB26F4">
      <w:pPr>
        <w:spacing w:before="0" w:after="0" w:line="240" w:lineRule="auto"/>
        <w:jc w:val="left"/>
      </w:pPr>
      <w:r>
        <w:rPr>
          <w:rFonts w:ascii="Times New Roman" w:hAnsi="Times New Roman" w:eastAsia="宋体"/>
          <w:b w:val="0"/>
          <w:sz w:val="18"/>
        </w:rPr>
        <w:t>[17] 王馨, 王营. 绿色信贷政策增进绿色创新研究[J]. 管理世界, 2021, 37(6): 173-188.</w:t>
      </w:r>
    </w:p>
    <w:p w14:paraId="40755173">
      <w:pPr>
        <w:spacing w:before="0" w:after="0" w:line="240" w:lineRule="auto"/>
        <w:jc w:val="left"/>
      </w:pPr>
      <w:r>
        <w:rPr>
          <w:rFonts w:ascii="Times New Roman" w:hAnsi="Times New Roman" w:eastAsia="宋体"/>
          <w:b w:val="0"/>
          <w:sz w:val="18"/>
        </w:rPr>
        <w:t>[18] ANSELIN L. Spatial econometrics: methods and models[M]. Dordrecht: Kluwer Academic Publishers, 1988.</w:t>
      </w:r>
    </w:p>
    <w:p w14:paraId="2D90F754">
      <w:pPr>
        <w:spacing w:before="0" w:after="0" w:line="240" w:lineRule="auto"/>
        <w:jc w:val="left"/>
      </w:pPr>
      <w:r>
        <w:rPr>
          <w:rFonts w:ascii="Times New Roman" w:hAnsi="Times New Roman" w:eastAsia="宋体"/>
          <w:b w:val="0"/>
          <w:sz w:val="18"/>
        </w:rPr>
        <w:t>[19] LESAGE J, PACE R K. Introduction to spatial econometrics[M]. Boca Raton: CRC Press, 2009.</w:t>
      </w:r>
    </w:p>
    <w:p w14:paraId="0638DE06">
      <w:pPr>
        <w:spacing w:before="0" w:after="0" w:line="240" w:lineRule="auto"/>
        <w:jc w:val="left"/>
      </w:pPr>
      <w:r>
        <w:rPr>
          <w:rFonts w:ascii="Times New Roman" w:hAnsi="Times New Roman" w:eastAsia="宋体"/>
          <w:b w:val="0"/>
          <w:sz w:val="18"/>
        </w:rPr>
        <w:t>[20] 于连超, 王雷. 数字化转型有助于提升企业环境绩效吗?[J]. 财贸研究, 2023, 34(7): 84-96.</w:t>
      </w:r>
    </w:p>
    <w:p w14:paraId="2BC6F20A">
      <w:pPr>
        <w:spacing w:before="0" w:after="0" w:line="240" w:lineRule="auto"/>
        <w:jc w:val="left"/>
      </w:pPr>
      <w:r>
        <w:rPr>
          <w:rFonts w:ascii="Times New Roman" w:hAnsi="Times New Roman" w:eastAsia="宋体"/>
          <w:b w:val="0"/>
          <w:sz w:val="18"/>
        </w:rPr>
        <w:t>[21] 刘善堂, 白晓明. 大数据应用对制造业企业环境绩效的影响机制[J]. 现代经济探讨, 2024(7): 102-113.</w:t>
      </w:r>
    </w:p>
    <w:p w14:paraId="2F01960E">
      <w:pPr>
        <w:spacing w:before="0" w:after="0" w:line="240" w:lineRule="auto"/>
        <w:jc w:val="left"/>
      </w:pPr>
      <w:r>
        <w:rPr>
          <w:rFonts w:ascii="Times New Roman" w:hAnsi="Times New Roman" w:eastAsia="宋体"/>
          <w:b w:val="0"/>
          <w:sz w:val="18"/>
        </w:rPr>
        <w:t>[22] 刘艳霞, 陈乐, 周昕格. 数字化转型与绿色创新: 基于信息的双重效应识别[J]. 改革, 2023(10): 30-45.</w:t>
      </w:r>
    </w:p>
    <w:p w14:paraId="6797A6DB">
      <w:pPr>
        <w:spacing w:before="0" w:after="0" w:line="240" w:lineRule="auto"/>
        <w:jc w:val="left"/>
      </w:pPr>
      <w:r>
        <w:rPr>
          <w:rFonts w:ascii="Times New Roman" w:hAnsi="Times New Roman" w:eastAsia="宋体"/>
          <w:b w:val="0"/>
          <w:sz w:val="18"/>
        </w:rPr>
        <w:t>[23] 丁红乙, 成琼文. 数字化创新、企业家精神与制造企业绿色发展[J]. 科研管理, 2024, 45(1): 84-97.</w:t>
      </w:r>
    </w:p>
    <w:p w14:paraId="4E94FC67">
      <w:pPr>
        <w:spacing w:before="0" w:after="0" w:line="240" w:lineRule="auto"/>
        <w:jc w:val="left"/>
      </w:pPr>
      <w:r>
        <w:rPr>
          <w:rFonts w:ascii="Times New Roman" w:hAnsi="Times New Roman" w:eastAsia="宋体"/>
          <w:b w:val="0"/>
          <w:sz w:val="18"/>
        </w:rPr>
        <w:t>[24] 杨膨宇, 贾静, 郭可佳, 等. 企业数字化转型与碳减排: 直接影响、作用机制与带动效应[J]. 统计与决策, 2024, 40(10): 173-178.</w:t>
      </w:r>
    </w:p>
    <w:p w14:paraId="093D7C79">
      <w:pPr>
        <w:spacing w:before="0" w:after="0" w:line="240" w:lineRule="auto"/>
        <w:jc w:val="left"/>
      </w:pPr>
      <w:r>
        <w:rPr>
          <w:rFonts w:ascii="Times New Roman" w:hAnsi="Times New Roman" w:eastAsia="宋体"/>
          <w:b w:val="0"/>
          <w:sz w:val="18"/>
        </w:rPr>
        <w:t>[25] 刘金科, 肖翊阳. 中国环境保护税与绿色创新: 杠杆效应还是挤出效应?[J]. 经济研究, 2022, 57(1): 72-88.</w:t>
      </w:r>
    </w:p>
    <w:p w14:paraId="613C9EC0">
      <w:pPr>
        <w:spacing w:before="0" w:after="0" w:line="240" w:lineRule="auto"/>
        <w:jc w:val="left"/>
      </w:pPr>
      <w:r>
        <w:rPr>
          <w:rFonts w:ascii="Times New Roman" w:hAnsi="Times New Roman" w:eastAsia="宋体"/>
          <w:b w:val="0"/>
          <w:sz w:val="18"/>
        </w:rPr>
        <w:t>[26] 郭俊杰, 方颖, 郭晔. 环境规制、短期失败容忍与企业绿色创新: 来自绿色信贷政策实践的证据[J]. 经济研究, 2024, 59(3): 112-129.</w:t>
      </w:r>
    </w:p>
    <w:p w14:paraId="2EBABBF3">
      <w:pPr>
        <w:spacing w:before="0" w:after="0" w:line="240" w:lineRule="auto"/>
        <w:jc w:val="left"/>
      </w:pPr>
      <w:r>
        <w:rPr>
          <w:rFonts w:ascii="Times New Roman" w:hAnsi="Times New Roman" w:eastAsia="宋体"/>
          <w:b w:val="0"/>
          <w:sz w:val="18"/>
        </w:rPr>
        <w:t>[27] 张琦, 郑瑶, 孔东民. 地区环境治理压力、高管经历与企业环保投资: 一项基于《环境空气质量标准(2012)》的准自然实验[J]. 经济研究, 2019, 54(6): 183-198.</w:t>
      </w:r>
    </w:p>
    <w:p w14:paraId="477B6C3A">
      <w:pPr>
        <w:spacing w:before="0" w:after="0" w:line="240" w:lineRule="auto"/>
        <w:jc w:val="left"/>
      </w:pPr>
      <w:r>
        <w:rPr>
          <w:rFonts w:ascii="Times New Roman" w:hAnsi="Times New Roman" w:eastAsia="宋体"/>
          <w:b w:val="0"/>
          <w:sz w:val="18"/>
        </w:rPr>
        <w:t>[28] 王锋, 葛星. 低碳转型冲击就业吗? 来自低碳城市试点的经验证据[J]. 中国工业经济, 2022(5): 81-99.</w:t>
      </w:r>
    </w:p>
    <w:p w14:paraId="0F7E2B13">
      <w:pPr>
        <w:spacing w:before="0" w:after="0" w:line="240" w:lineRule="auto"/>
        <w:jc w:val="left"/>
      </w:pPr>
      <w:r>
        <w:rPr>
          <w:rFonts w:ascii="Times New Roman" w:hAnsi="Times New Roman" w:eastAsia="宋体"/>
          <w:b w:val="0"/>
          <w:sz w:val="18"/>
        </w:rPr>
        <w:t>[29] FREEMAN R E. Strategic management: a stakeholder approach[M]. Boston: Pitman, 1984.</w:t>
      </w:r>
    </w:p>
    <w:p w14:paraId="79EE8E08">
      <w:pPr>
        <w:spacing w:before="0" w:after="0" w:line="240" w:lineRule="auto"/>
        <w:jc w:val="left"/>
      </w:pPr>
      <w:r>
        <w:rPr>
          <w:rFonts w:ascii="Times New Roman" w:hAnsi="Times New Roman" w:eastAsia="宋体"/>
          <w:b w:val="0"/>
          <w:sz w:val="18"/>
        </w:rPr>
        <w:t>[30] BARNEY J B. Firm resources and sustained competitive advantage[J]. Journal of Management, 1991, 17(1): 99-120.</w:t>
      </w:r>
    </w:p>
    <w:p w14:paraId="400A8807">
      <w:pPr>
        <w:spacing w:before="0" w:after="0" w:line="240" w:lineRule="auto"/>
        <w:jc w:val="left"/>
      </w:pPr>
      <w:r>
        <w:rPr>
          <w:rFonts w:ascii="Times New Roman" w:hAnsi="Times New Roman" w:eastAsia="宋体"/>
          <w:b w:val="0"/>
          <w:sz w:val="18"/>
        </w:rPr>
        <w:t>[31] SPENCE M. Job market signaling[J]. The Quarterly Journal of Economics, 1973, 87(3): 355-374.</w:t>
      </w:r>
    </w:p>
    <w:p w14:paraId="294403A6">
      <w:pPr>
        <w:spacing w:before="0" w:after="0" w:line="240" w:lineRule="auto"/>
        <w:jc w:val="left"/>
      </w:pPr>
      <w:r>
        <w:rPr>
          <w:rFonts w:ascii="Times New Roman" w:hAnsi="Times New Roman" w:eastAsia="宋体"/>
          <w:b w:val="0"/>
          <w:sz w:val="18"/>
        </w:rPr>
        <w:t>[32] BARON R M, KENNY D A. The moderator-mediator variable distinction in social psychological research: conceptual, strategic, and statistical considerations[J]. Journal of Personality and Social Psychology, 1986, 51(6): 1173-1182.</w:t>
      </w:r>
    </w:p>
    <w:p w14:paraId="602C44FC">
      <w:pPr>
        <w:spacing w:before="0" w:after="0" w:line="240" w:lineRule="auto"/>
        <w:jc w:val="left"/>
      </w:pPr>
      <w:r>
        <w:rPr>
          <w:rFonts w:ascii="Times New Roman" w:hAnsi="Times New Roman" w:eastAsia="宋体"/>
          <w:b w:val="0"/>
          <w:sz w:val="18"/>
        </w:rPr>
        <w:t>[33] OLLEY G S, PAKES A. The dynamics of productivity in the telecommunications equipment industry[J]. Econometrica, 1996, 64(6): 1263-1297.</w:t>
      </w:r>
    </w:p>
    <w:p w14:paraId="5A31A10E">
      <w:pPr>
        <w:spacing w:before="0" w:after="0" w:line="240" w:lineRule="auto"/>
        <w:jc w:val="left"/>
      </w:pPr>
      <w:r>
        <w:rPr>
          <w:rFonts w:ascii="Times New Roman" w:hAnsi="Times New Roman" w:eastAsia="宋体"/>
          <w:b w:val="0"/>
          <w:sz w:val="18"/>
        </w:rPr>
        <w:t>[34] BENJAMIN R. Race after technology: abolitionist tools for the new Jim code[M]. Cambridge: Polity Press, 2019.</w:t>
      </w:r>
    </w:p>
    <w:p w14:paraId="4B3270BB">
      <w:pPr>
        <w:spacing w:before="0" w:after="0" w:line="240" w:lineRule="auto"/>
        <w:jc w:val="left"/>
      </w:pPr>
      <w:r>
        <w:rPr>
          <w:rFonts w:ascii="Times New Roman" w:hAnsi="Times New Roman" w:eastAsia="宋体"/>
          <w:b w:val="0"/>
          <w:sz w:val="18"/>
        </w:rPr>
        <w:t>[35] SEN A. Development as freedom[M]. Oxford: Oxford University Press, 1999.</w:t>
      </w:r>
    </w:p>
    <w:p w14:paraId="4DB81F31">
      <w:pPr>
        <w:spacing w:before="280" w:after="40" w:line="240" w:lineRule="auto"/>
        <w:jc w:val="center"/>
      </w:pPr>
      <w:r>
        <w:rPr>
          <w:rFonts w:ascii="Times New Roman" w:hAnsi="Times New Roman" w:eastAsia="Times New Roman"/>
          <w:b/>
          <w:sz w:val="24"/>
        </w:rPr>
        <w:t>Impact of Digital-Intelligent Technology Empowerment</w:t>
      </w:r>
    </w:p>
    <w:p w14:paraId="32315737">
      <w:pPr>
        <w:spacing w:before="0" w:after="80" w:line="240" w:lineRule="auto"/>
        <w:jc w:val="center"/>
      </w:pPr>
      <w:r>
        <w:rPr>
          <w:rFonts w:ascii="Times New Roman" w:hAnsi="Times New Roman" w:eastAsia="Times New Roman"/>
          <w:b/>
          <w:sz w:val="24"/>
        </w:rPr>
        <w:t>on Corporate Environmental Performance</w:t>
      </w:r>
    </w:p>
    <w:p w14:paraId="21AC0756">
      <w:pPr>
        <w:spacing w:before="0" w:after="40" w:line="240" w:lineRule="auto"/>
        <w:jc w:val="center"/>
      </w:pPr>
      <w:r>
        <w:rPr>
          <w:rFonts w:ascii="Times New Roman" w:hAnsi="Times New Roman" w:eastAsia="Times New Roman"/>
          <w:b w:val="0"/>
          <w:sz w:val="21"/>
        </w:rPr>
        <w:t>LI Rong</w:t>
      </w:r>
    </w:p>
    <w:p w14:paraId="7C51E797">
      <w:pPr>
        <w:spacing w:before="0" w:after="160" w:line="240" w:lineRule="auto"/>
        <w:jc w:val="center"/>
      </w:pPr>
      <w:r>
        <w:rPr>
          <w:rFonts w:ascii="Times New Roman" w:hAnsi="Times New Roman" w:eastAsia="Times New Roman"/>
          <w:b w:val="0"/>
          <w:sz w:val="18"/>
        </w:rPr>
        <w:t>(Shuyu Baichuan (Beijing) Technology Co., Ltd., Beijing 102600, China)</w:t>
      </w:r>
    </w:p>
    <w:p w14:paraId="39418D15">
      <w:pPr>
        <w:spacing w:line="240" w:lineRule="auto"/>
        <w:ind w:firstLine="360" w:firstLineChars="200"/>
        <w:jc w:val="both"/>
      </w:pPr>
      <w:r>
        <w:rPr>
          <w:rFonts w:ascii="Times New Roman" w:hAnsi="Times New Roman" w:eastAsia="Times New Roman"/>
          <w:b/>
          <w:sz w:val="18"/>
        </w:rPr>
        <w:t>Abstract: Research background and significance.</w:t>
      </w:r>
      <w:r>
        <w:rPr>
          <w:rFonts w:ascii="Times New Roman" w:hAnsi="Times New Roman" w:eastAsia="Times New Roman"/>
          <w:b w:val="0"/>
          <w:sz w:val="18"/>
        </w:rPr>
        <w:t xml:space="preserve"> Chinese firms now chase two goals at once: cutting emissions, and absorbing the compliance and valuation costs that come with disclosure. Digital-intelligent technologies are widely expected to deliver both. Whether they do, and through which route, is far from settled. Stakeholder theory and the resource-based view both predict a payoff, one through external pressure, the other through a resource rivals cannot copy. Two gaps stand out. Most work stops at the direct link between digitalisation and environmental outcomes, so the mediating tests that would expose the transmission route are seldom rigorous, and the part played by green technology innovation is left unquantified. There is a second problem. Environmental performance is usually collapsed into a composite index, yet carbon disclosure in Chinese annual reports rose sharply after 2020, when disclosure rules changed. How that shift contaminates composite-index estimates has not been examined. This paper takes up both questions and traces a chain running from digital-intelligent empowerment, through green technology innovation, to environmental performance.</w:t>
      </w:r>
    </w:p>
    <w:p w14:paraId="62525EBE">
      <w:pPr>
        <w:spacing w:line="240" w:lineRule="auto"/>
        <w:ind w:firstLine="360" w:firstLineChars="200"/>
        <w:jc w:val="both"/>
      </w:pPr>
      <w:r>
        <w:rPr>
          <w:rFonts w:ascii="Times New Roman" w:hAnsi="Times New Roman" w:eastAsia="Times New Roman"/>
          <w:b/>
          <w:sz w:val="18"/>
        </w:rPr>
        <w:t>Data and methods.</w:t>
      </w:r>
      <w:r>
        <w:rPr>
          <w:rFonts w:ascii="Times New Roman" w:hAnsi="Times New Roman" w:eastAsia="Times New Roman"/>
          <w:b w:val="0"/>
          <w:sz w:val="18"/>
        </w:rPr>
        <w:t xml:space="preserve"> We assemble a panel of 1,286 A-share firms listed in Shanghai and Shenzhen, observed from 2007 to 2024, for a total of 11,571 firm-year records. Firms flagged as abnormal, financial or incomplete are removed, and every continuous variable is trimmed at the 1st and 99th percentiles. Two components enter the empowerment index, digital-transformation term frequency in annual reports and the share of digital intangible assets, each standardised before the pair is averaged with equal weight. Environmental performance combines three blocks: green innovation output, carbon disclosure and environmental investment. For technology specificity we also build an AI-only intensity that draws on eighteen families of artificial-intelligence and intelligent-computing terms. The baseline is a two-way fixed-effects model with standard errors clustered by firm. Channels are examined through the three-step Baron-Kenny procedure, supported by Sobel tests and a bootstrap of 1,000 replications clustered at the firm level. For cross-firm spillovers, industry-year and province-year group means serve as spatial weights.</w:t>
      </w:r>
    </w:p>
    <w:p w14:paraId="171C280D">
      <w:pPr>
        <w:spacing w:line="240" w:lineRule="auto"/>
        <w:ind w:firstLine="360" w:firstLineChars="200"/>
        <w:jc w:val="both"/>
        <w:rPr>
          <w:b w:val="0"/>
          <w:bCs/>
        </w:rPr>
      </w:pPr>
      <w:r>
        <w:rPr>
          <w:rFonts w:ascii="Times New Roman" w:hAnsi="Times New Roman" w:eastAsia="Times New Roman"/>
          <w:b/>
          <w:sz w:val="18"/>
        </w:rPr>
        <w:t xml:space="preserve">Research findings. </w:t>
      </w:r>
      <w:r>
        <w:rPr>
          <w:rFonts w:ascii="Times New Roman" w:hAnsi="Times New Roman" w:eastAsia="Times New Roman"/>
          <w:b w:val="0"/>
          <w:bCs/>
          <w:sz w:val="18"/>
        </w:rPr>
        <w:t>Four findings emerge. On the composite index, empowerment carries a positive but insignificant coefficient of 0.020 (t = 1.335). Dimension by dimension the picture sharpens: green innovation responds strongly, at 0.0873 (significant at 1%), whereas carbon disclosure and environmental investment barely move. Averaging the three signals therefore dilutes the estimate rather than showing that environmental effects are absent. Entropy re-weighting preserves this reading, and a structural break test confirms that the 2020 change in disclosure rules matters. The transmission channel is green technology innovation. One standard deviation more empowerment raises green patent output by roughly 0.055 standard deviations; the mediated share reaches 50.05%, the bootstrap interval [0.0022, 0.0174] lies strictly above zero, and the direct effect, now 0.0100, is no longer significant. Management efficiency and resource allocation do not qualify as channels under the proxies available here. Instrumenting with provincial digital-economy policy lifts the coefficient to 0.3059 (5% level), while one- and two-period lags remain positive but insignificant. Restricting the measure to AI terms yields 0.0376 for environmental performance and 0.0437 for green innovation, both at the 1% level and larger than the composite estimates, evidence that the effect is technology-specific rather than a generic IT by-product. Heterogeneity runs as follows: non-heavily-polluting industries show a stronger response, regional gaps are small, and no robust cross-firm spillover appears under either industry or provincial weights, though peer environmental performance does co-move within industries and regions.</w:t>
      </w:r>
    </w:p>
    <w:p w14:paraId="11A694C5">
      <w:pPr>
        <w:spacing w:line="240" w:lineRule="auto"/>
        <w:ind w:firstLine="360" w:firstLineChars="200"/>
        <w:jc w:val="both"/>
      </w:pPr>
      <w:r>
        <w:rPr>
          <w:rFonts w:ascii="Times New Roman" w:hAnsi="Times New Roman" w:eastAsia="Times New Roman"/>
          <w:b/>
          <w:sz w:val="18"/>
        </w:rPr>
        <w:t>Innovation and contribution.</w:t>
      </w:r>
      <w:r>
        <w:rPr>
          <w:rFonts w:ascii="Times New Roman" w:hAnsi="Times New Roman" w:eastAsia="Times New Roman"/>
          <w:b w:val="0"/>
          <w:sz w:val="18"/>
        </w:rPr>
        <w:t xml:space="preserve"> Three contributions follow. Theoretically, green technology innovation is placed at the centre of the digital-environment relationship and tested against rival channels, which clarifies where the environmental dividend of digitalisation is released. Methodologically, the composite index is put through a validity audit covering weighting schemes, sub-dimensional tests and disclosure breaks; the frequent null result in this literature, it turns out, may be a measurement artefact. Empirically, an AI-specific intensity measure is built from a hand-audited dictionary, offering direct evidence of technology specificity. For practice: firms should steer digital investment towards green R&amp;D and process simulation; industrial policy should treat heavily and non-heavily polluting sectors differently; and regional policy should attend to the property-rights and inc</w:t>
      </w:r>
      <w:bookmarkStart w:id="0" w:name="_GoBack"/>
      <w:bookmarkEnd w:id="0"/>
      <w:r>
        <w:rPr>
          <w:rFonts w:ascii="Times New Roman" w:hAnsi="Times New Roman" w:eastAsia="Times New Roman"/>
          <w:b w:val="0"/>
          <w:sz w:val="18"/>
        </w:rPr>
        <w:t>entive design that governs how green technology moves between firms. What the analysis cannot yet do is measure the channel directly: management efficiency and resource allocation are too thinly proxied, and flow-level text indicators or data envelopment analysis are the obvious next step.</w:t>
      </w:r>
    </w:p>
    <w:p w14:paraId="35C5CA92">
      <w:pPr>
        <w:spacing w:line="240" w:lineRule="auto"/>
        <w:ind w:firstLine="360" w:firstLineChars="200"/>
        <w:jc w:val="both"/>
      </w:pPr>
      <w:r>
        <w:rPr>
          <w:rFonts w:ascii="Times New Roman" w:hAnsi="Times New Roman" w:eastAsia="Times New Roman"/>
          <w:b/>
          <w:sz w:val="18"/>
        </w:rPr>
        <w:t xml:space="preserve">Key Words: </w:t>
      </w:r>
      <w:r>
        <w:rPr>
          <w:rFonts w:ascii="Times New Roman" w:hAnsi="Times New Roman" w:eastAsia="Times New Roman"/>
          <w:b w:val="0"/>
          <w:sz w:val="18"/>
        </w:rPr>
        <w:t>Digital-Intelligent Technology Empowerment; Green Technology Innovation; Corporate Environmental Performance; Mediation Effect; Spatial Spillover</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OpenSymbol">
    <w:panose1 w:val="05010000000000000000"/>
    <w:charset w:val="00"/>
    <w:family w:val="auto"/>
    <w:pitch w:val="default"/>
    <w:sig w:usb0="800000AF" w:usb1="1001ECEA" w:usb2="00000000" w:usb3="00000000" w:csb0="80000001" w:csb1="00000000"/>
  </w:font>
  <w:font w:name="楷体">
    <w:altName w:val="Droid Sans Fallback"/>
    <w:panose1 w:val="00000000000000000000"/>
    <w:charset w:val="00"/>
    <w:family w:val="auto"/>
    <w:pitch w:val="default"/>
    <w:sig w:usb0="00000000" w:usb1="00000000" w:usb2="00000000" w:usb3="00000000" w:csb0="00000000" w:csb1="00000000"/>
  </w:font>
  <w:font w:name="ＭＳ ゴシック">
    <w:altName w:val="Gubbi"/>
    <w:panose1 w:val="00000000000000000000"/>
    <w:charset w:val="00"/>
    <w:family w:val="auto"/>
    <w:pitch w:val="default"/>
    <w:sig w:usb0="00000000" w:usb1="00000000" w:usb2="00000000" w:usb3="00000000" w:csb0="00000000" w:csb1="00000000"/>
  </w:font>
  <w:font w:name="汉仪叶叶相思体简">
    <w:panose1 w:val="02010509060101010101"/>
    <w:charset w:val="86"/>
    <w:family w:val="auto"/>
    <w:pitch w:val="default"/>
    <w:sig w:usb0="00000001" w:usb1="080E0000" w:usb2="00000000" w:usb3="00000000" w:csb0="00040000" w:csb1="00000000"/>
  </w:font>
  <w:font w:name="DejaVu Math TeX Gyre">
    <w:panose1 w:val="02000503000000000000"/>
    <w:charset w:val="00"/>
    <w:family w:val="auto"/>
    <w:pitch w:val="default"/>
    <w:sig w:usb0="A10000EF" w:usb1="4A00F9EE" w:usb2="02000008"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3FDA42"/>
    <w:rsid w:val="3DDB69D8"/>
    <w:rsid w:val="4D3F302B"/>
    <w:rsid w:val="4F79408D"/>
    <w:rsid w:val="5CECF789"/>
    <w:rsid w:val="65DD2526"/>
    <w:rsid w:val="6F7F0E56"/>
    <w:rsid w:val="77F7DC80"/>
    <w:rsid w:val="7D673A1D"/>
    <w:rsid w:val="7FD0EADF"/>
    <w:rsid w:val="7FDF8034"/>
    <w:rsid w:val="9B2F3C78"/>
    <w:rsid w:val="B7F1F02C"/>
    <w:rsid w:val="D7F252EC"/>
    <w:rsid w:val="EFFFA368"/>
    <w:rsid w:val="F6FFCA25"/>
    <w:rsid w:val="F7AB0EC6"/>
    <w:rsid w:val="FAEF6C24"/>
    <w:rsid w:val="FBEF7AAD"/>
    <w:rsid w:val="FCFB70F8"/>
    <w:rsid w:val="FDF8F308"/>
    <w:rsid w:val="FF7E6AF0"/>
    <w:rsid w:val="FFFD4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12</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cfc</cp:lastModifiedBy>
  <dcterms:modified xsi:type="dcterms:W3CDTF">2026-10-24T15:25:36Z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3FBDB6572D4EFABA1D1AD86AEAE67EA5_42</vt:lpwstr>
  </property>
</Properties>
</file>