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Reproducibility package — Ussuri River eDNA fish community</w:t>
      </w:r>
    </w:p>
    <w:p>
      <w:r>
        <w:t>This package reproduces every result in the manuscript from the data provided here. It needs no internet access and no raw sequence reads.</w:t>
      </w:r>
    </w:p>
    <w:p>
      <w:r>
        <w:t>本包仅用此处提供的数据即可重现稿件的全部结果，无需联网，也无需原始测序数据。</w:t>
      </w:r>
    </w:p>
    <w:p>
      <w:pPr>
        <w:pStyle w:val="Heading1"/>
      </w:pPr>
      <w:r>
        <w:t>Requirements</w:t>
      </w:r>
    </w:p>
    <w:p>
      <w:r>
        <w:t>R (≥ 4.1, for the native pipe; tested on 4.3.3) with the packages: vegan, FD, iNEXT, indicspecies and cluster (analysis), and dplyr, tidyr, purrr, stringr and glue (data handling). The functional beta-diversity partitioning in 03 optionally uses betapart; if it is not installed, that one block is skipped and a ready-to-run template is printed, and all other results still run.</w:t>
      </w:r>
    </w:p>
    <w:p>
      <w:pPr>
        <w:pStyle w:val="Heading1"/>
      </w:pPr>
      <w:r>
        <w:t>How to run</w:t>
      </w:r>
    </w:p>
    <w:p>
      <w:r>
        <w:t>From the reproducibility/ folder:</w:t>
      </w:r>
    </w:p>
    <w:p>
      <w:r>
        <w:rPr>
          <w:rFonts w:ascii="Consolas" w:hAnsi="Consolas"/>
        </w:rPr>
        <w:t xml:space="preserve">    Rscript code/run_all.R</w:t>
      </w:r>
    </w:p>
    <w:p>
      <w:r>
        <w:t>Each script also runs on its own (it sources code/00_setup.R). Results print to the console and summary tables are written to outputs/.</w:t>
      </w:r>
    </w:p>
    <w:p>
      <w:pPr>
        <w:pStyle w:val="Heading1"/>
      </w:pPr>
      <w:r>
        <w:t>Layout</w:t>
      </w:r>
    </w:p>
    <w:p>
      <w:pPr>
        <w:pStyle w:val="ListBullet"/>
      </w:pPr>
      <w:r>
        <w:t>data/  — input tables (see DATA_PROVENANCE.docx) 输入数据表</w:t>
      </w:r>
    </w:p>
    <w:p>
      <w:pPr>
        <w:pStyle w:val="ListBullet"/>
      </w:pPr>
      <w:r>
        <w:t>code/  — analysis scripts 00–07 and run_all.R 分析脚本</w:t>
      </w:r>
    </w:p>
    <w:p>
      <w:pPr>
        <w:pStyle w:val="ListBullet"/>
      </w:pPr>
      <w:r>
        <w:t>outputs/ — tables written by the scripts 脚本输出表</w:t>
      </w:r>
    </w:p>
    <w:p>
      <w:pPr>
        <w:pStyle w:val="ListBullet"/>
      </w:pPr>
      <w:r>
        <w:t>internal_processes/ — working notes and data-prep scripts; NOT part of the submission 内部文件，非提交内容</w:t>
      </w:r>
    </w:p>
    <w:p>
      <w:pPr>
        <w:pStyle w:val="Heading1"/>
      </w:pPr>
      <w:r>
        <w:t>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Contents</w:t>
            </w:r>
          </w:p>
        </w:tc>
        <w:tc>
          <w:tcPr>
            <w:tcW w:type="dxa" w:w="2880"/>
          </w:tcPr>
          <w:p>
            <w:r>
              <w:t>Source / how derived</w:t>
            </w:r>
          </w:p>
        </w:tc>
      </w:tr>
      <w:tr>
        <w:tc>
          <w:tcPr>
            <w:tcW w:type="dxa" w:w="2880"/>
          </w:tcPr>
          <w:p>
            <w:r>
              <w:t>00_setup.R</w:t>
            </w:r>
          </w:p>
        </w:tc>
        <w:tc>
          <w:tcPr>
            <w:tcW w:type="dxa" w:w="2880"/>
          </w:tcPr>
          <w:p>
            <w:r>
              <w:t>Loads data, builds derived matrices, attaches packages (sourced by all).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01_composition.R</w:t>
            </w:r>
          </w:p>
        </w:tc>
        <w:tc>
          <w:tcPr>
            <w:tcW w:type="dxa" w:w="2880"/>
          </w:tcPr>
          <w:p>
            <w:r>
              <w:t>Total reads; 12 orders/27 families/72 genera; seasonal shared/unique taxa; sample coverage; dominant taxa.</w:t>
            </w:r>
          </w:p>
        </w:tc>
        <w:tc>
          <w:tcPr>
            <w:tcW w:type="dxa" w:w="2880"/>
          </w:tcPr>
          <w:p>
            <w:r>
              <w:t>Results 3.1, Fig. 2</w:t>
            </w:r>
          </w:p>
        </w:tc>
      </w:tr>
      <w:tr>
        <w:tc>
          <w:tcPr>
            <w:tcW w:type="dxa" w:w="2880"/>
          </w:tcPr>
          <w:p>
            <w:r>
              <w:t>02_alpha_diversity.R</w:t>
            </w:r>
          </w:p>
        </w:tc>
        <w:tc>
          <w:tcPr>
            <w:tcW w:type="dxa" w:w="2880"/>
          </w:tcPr>
          <w:p>
            <w:r>
              <w:t>Taxonomic and functional alpha diversity; seasonal paired tests (BH-FDR).</w:t>
            </w:r>
          </w:p>
        </w:tc>
        <w:tc>
          <w:tcPr>
            <w:tcW w:type="dxa" w:w="2880"/>
          </w:tcPr>
          <w:p>
            <w:r>
              <w:t>Fig. 3, Table S1</w:t>
            </w:r>
          </w:p>
        </w:tc>
      </w:tr>
      <w:tr>
        <w:tc>
          <w:tcPr>
            <w:tcW w:type="dxa" w:w="2880"/>
          </w:tcPr>
          <w:p>
            <w:r>
              <w:t>03_beta_diversity.R</w:t>
            </w:r>
          </w:p>
        </w:tc>
        <w:tc>
          <w:tcPr>
            <w:tcW w:type="dxa" w:w="2880"/>
          </w:tcPr>
          <w:p>
            <w:r>
              <w:t>Bray-Curtis PERMANOVA/betadisper/PCoA; turnover-nestedness partitioning.</w:t>
            </w:r>
          </w:p>
        </w:tc>
        <w:tc>
          <w:tcPr>
            <w:tcW w:type="dxa" w:w="2880"/>
          </w:tcPr>
          <w:p>
            <w:r>
              <w:t>Fig. 4</w:t>
            </w:r>
          </w:p>
        </w:tc>
      </w:tr>
      <w:tr>
        <w:tc>
          <w:tcPr>
            <w:tcW w:type="dxa" w:w="2880"/>
          </w:tcPr>
          <w:p>
            <w:r>
              <w:t>04_simper_leaveout.R</w:t>
            </w:r>
          </w:p>
        </w:tc>
        <w:tc>
          <w:tcPr>
            <w:tcW w:type="dxa" w:w="2880"/>
          </w:tcPr>
          <w:p>
            <w:r>
              <w:t>SIMPER; leave-one-out PERMANOVA; IndVal.g indicators; migratory read shares.</w:t>
            </w:r>
          </w:p>
        </w:tc>
        <w:tc>
          <w:tcPr>
            <w:tcW w:type="dxa" w:w="2880"/>
          </w:tcPr>
          <w:p>
            <w:r>
              <w:t>Fig. S1, Tables S2–S4</w:t>
            </w:r>
          </w:p>
        </w:tc>
      </w:tr>
      <w:tr>
        <w:tc>
          <w:tcPr>
            <w:tcW w:type="dxa" w:w="2880"/>
          </w:tcPr>
          <w:p>
            <w:r>
              <w:t>05_taxonomy_function.R</w:t>
            </w:r>
          </w:p>
        </w:tc>
        <w:tc>
          <w:tcPr>
            <w:tcW w:type="dxa" w:w="2880"/>
          </w:tcPr>
          <w:p>
            <w:r>
              <w:t>Taxonomic-functional coupling: Spearman (alpha) and Mantel (beta).</w:t>
            </w:r>
          </w:p>
        </w:tc>
        <w:tc>
          <w:tcPr>
            <w:tcW w:type="dxa" w:w="2880"/>
          </w:tcPr>
          <w:p>
            <w:r>
              <w:t>Fig. 5, Tables S5–S6</w:t>
            </w:r>
          </w:p>
        </w:tc>
      </w:tr>
      <w:tr>
        <w:tc>
          <w:tcPr>
            <w:tcW w:type="dxa" w:w="2880"/>
          </w:tcPr>
          <w:p>
            <w:r>
              <w:t>06_environment_gradient.R</w:t>
            </w:r>
          </w:p>
        </w:tc>
        <w:tc>
          <w:tcPr>
            <w:tcW w:type="dxa" w:w="2880"/>
          </w:tcPr>
          <w:p>
            <w:r>
              <w:t>PCA of hydro-geographic variables; alpha vs PC1; composition vs PC1; dbRDA; Mantel/partial Mantel.</w:t>
            </w:r>
          </w:p>
        </w:tc>
        <w:tc>
          <w:tcPr>
            <w:tcW w:type="dxa" w:w="2880"/>
          </w:tcPr>
          <w:p>
            <w:r>
              <w:t>Figs 6–8, Table S7</w:t>
            </w:r>
          </w:p>
        </w:tc>
      </w:tr>
      <w:tr>
        <w:tc>
          <w:tcPr>
            <w:tcW w:type="dxa" w:w="2880"/>
          </w:tcPr>
          <w:p>
            <w:r>
              <w:t>07_water_quality_supp.R</w:t>
            </w:r>
          </w:p>
        </w:tc>
        <w:tc>
          <w:tcPr>
            <w:tcW w:type="dxa" w:w="2880"/>
          </w:tcPr>
          <w:p>
            <w:r>
              <w:t>Supplementary: water quality vs alpha diversity (land use not included).</w:t>
            </w:r>
          </w:p>
        </w:tc>
        <w:tc>
          <w:tcPr>
            <w:tcW w:type="dxa" w:w="2880"/>
          </w:tcPr>
          <w:p>
            <w:r>
              <w:t>Fig. S2 (part)</w:t>
            </w:r>
          </w:p>
        </w:tc>
      </w:tr>
    </w:tbl>
    <w:p>
      <w:pPr>
        <w:pStyle w:val="Heading1"/>
      </w:pPr>
      <w:r>
        <w:t>What it reproduces</w:t>
      </w:r>
    </w:p>
    <w:p>
      <w:r>
        <w:t>100 taxa in 12 orders, 27 families and 72 genera; sample coverage 0.9987 (spring) and 0.9991 (autumn); PERMANOVA R² = 0.185 (p = 0.001); migratory read share 9.61% → 23.81% and chum salmon 0.049% → 17.14%; PC1 = 63.9% of environmental variance; spring Mantel r = 0.446 (partial 0.442); alpha diversity unrelated to PC1 (0 of 22 tests).</w:t>
      </w:r>
    </w:p>
    <w:p>
      <w:pPr>
        <w:pStyle w:val="Heading1"/>
      </w:pPr>
      <w:r>
        <w:t>Data availability</w:t>
      </w:r>
    </w:p>
    <w:p>
      <w:r>
        <w:t>Raw sequence reads: NCBI SRA, BioProject [accession]. Code and data archive: [repository, DOI]. (Complete before submission.)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