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provenance</w:t>
      </w:r>
    </w:p>
    <w:p>
      <w:r>
        <w:t>Every file in data/ and where it comes from. Numeric precision is kept at a level the data can support (Gower distances 4 dp; coordinates and PC scores 3 dp; continuous traits 1–2 dp); read counts are integers.</w:t>
      </w:r>
    </w:p>
    <w:p>
      <w:r>
        <w:t>本文件说明 data/ 中每个文件的来源。数值精度与数据可支撑的水平一致；读数为整数。</w:t>
      </w:r>
    </w:p>
    <w:p>
      <w:pPr>
        <w:pStyle w:val="Heading1"/>
      </w:pPr>
      <w:r>
        <w:t>Files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Contents</w:t>
            </w:r>
          </w:p>
        </w:tc>
        <w:tc>
          <w:tcPr>
            <w:tcW w:type="dxa" w:w="2880"/>
          </w:tcPr>
          <w:p>
            <w:r>
              <w:t>Source / how derived</w:t>
            </w:r>
          </w:p>
        </w:tc>
      </w:tr>
      <w:tr>
        <w:tc>
          <w:tcPr>
            <w:tcW w:type="dxa" w:w="2880"/>
          </w:tcPr>
          <w:p>
            <w:r>
              <w:t>site_by_species_reads.csv</w:t>
            </w:r>
          </w:p>
        </w:tc>
        <w:tc>
          <w:tcPr>
            <w:tcW w:type="dxa" w:w="2880"/>
          </w:tcPr>
          <w:p>
            <w:r>
              <w:t>26 site-seasons × 100 taxa; eDNA sequence reads; rows Season_Site (e.g. Spring_W01).</w:t>
            </w:r>
          </w:p>
        </w:tc>
        <w:tc>
          <w:tcPr>
            <w:tcW w:type="dxa" w:w="2880"/>
          </w:tcPr>
          <w:p>
            <w:r>
              <w:t>Site-level table; the exact sum of the three field replicates per site (see next row).</w:t>
            </w:r>
          </w:p>
        </w:tc>
      </w:tr>
      <w:tr>
        <w:tc>
          <w:tcPr>
            <w:tcW w:type="dxa" w:w="2880"/>
          </w:tcPr>
          <w:p>
            <w:r>
              <w:t>replicate_by_species_reads.csv</w:t>
            </w:r>
          </w:p>
        </w:tc>
        <w:tc>
          <w:tcPr>
            <w:tcW w:type="dxa" w:w="2880"/>
          </w:tcPr>
          <w:p>
            <w:r>
              <w:t>78 samples × 100 taxa; per-replicate reads; rows Season_Site_rep.</w:t>
            </w:r>
          </w:p>
        </w:tc>
        <w:tc>
          <w:tcPr>
            <w:tcW w:type="dxa" w:w="2880"/>
          </w:tcPr>
          <w:p>
            <w:r>
              <w:t>Provider per-sample species tables (spring = BZ2023 delivery, autumn = BZ2024). Sums to the site table exactly.</w:t>
            </w:r>
          </w:p>
        </w:tc>
      </w:tr>
      <w:tr>
        <w:tc>
          <w:tcPr>
            <w:tcW w:type="dxa" w:w="2880"/>
          </w:tcPr>
          <w:p>
            <w:r>
              <w:t>species_taxonomy.csv</w:t>
            </w:r>
          </w:p>
        </w:tc>
        <w:tc>
          <w:tcPr>
            <w:tcW w:type="dxa" w:w="2880"/>
          </w:tcPr>
          <w:p>
            <w:r>
              <w:t>100 taxa × genus, family, order (12 orders / 27 families / 72 genera).</w:t>
            </w:r>
          </w:p>
        </w:tc>
        <w:tc>
          <w:tcPr>
            <w:tcW w:type="dxa" w:w="2880"/>
          </w:tcPr>
          <w:p>
            <w:r>
              <w:t>Provider re-annotated lineage output (o__/f__/g__/s__).</w:t>
            </w:r>
          </w:p>
        </w:tc>
      </w:tr>
      <w:tr>
        <w:tc>
          <w:tcPr>
            <w:tcW w:type="dxa" w:w="2880"/>
          </w:tcPr>
          <w:p>
            <w:r>
              <w:t>species_traits.csv</w:t>
            </w:r>
          </w:p>
        </w:tc>
        <w:tc>
          <w:tcPr>
            <w:tcW w:type="dxa" w:w="2880"/>
          </w:tcPr>
          <w:p>
            <w:r>
              <w:t>100 taxa × 9 traits (feeding, habitat, mobility, reproduction, dynamics).</w:t>
            </w:r>
          </w:p>
        </w:tc>
        <w:tc>
          <w:tcPr>
            <w:tcW w:type="dxa" w:w="2880"/>
          </w:tcPr>
          <w:p>
            <w:r>
              <w:t>FishBase, regional faunal references and the primary literature; categorical values translated to English.</w:t>
            </w:r>
          </w:p>
        </w:tc>
      </w:tr>
      <w:tr>
        <w:tc>
          <w:tcPr>
            <w:tcW w:type="dxa" w:w="2880"/>
          </w:tcPr>
          <w:p>
            <w:r>
              <w:t>trait_value_glossary.csv</w:t>
            </w:r>
          </w:p>
        </w:tc>
        <w:tc>
          <w:tcPr>
            <w:tcW w:type="dxa" w:w="2880"/>
          </w:tcPr>
          <w:p>
            <w:r>
              <w:t>Original-to-English mapping for the categorical trait levels.</w:t>
            </w:r>
          </w:p>
        </w:tc>
        <w:tc>
          <w:tcPr>
            <w:tcW w:type="dxa" w:w="2880"/>
          </w:tcPr>
          <w:p>
            <w:r>
              <w:t>Transparency aid for species_traits.csv.</w:t>
            </w:r>
          </w:p>
        </w:tc>
      </w:tr>
      <w:tr>
        <w:tc>
          <w:tcPr>
            <w:tcW w:type="dxa" w:w="2880"/>
          </w:tcPr>
          <w:p>
            <w:r>
              <w:t>gower_distance.csv</w:t>
            </w:r>
          </w:p>
        </w:tc>
        <w:tc>
          <w:tcPr>
            <w:tcW w:type="dxa" w:w="2880"/>
          </w:tcPr>
          <w:p>
            <w:r>
              <w:t>100 × 100 Gower distance among taxa.</w:t>
            </w:r>
          </w:p>
        </w:tc>
        <w:tc>
          <w:tcPr>
            <w:tcW w:type="dxa" w:w="2880"/>
          </w:tcPr>
          <w:p>
            <w:r>
              <w:t>Computed from species_traits.csv.</w:t>
            </w:r>
          </w:p>
        </w:tc>
      </w:tr>
      <w:tr>
        <w:tc>
          <w:tcPr>
            <w:tcW w:type="dxa" w:w="2880"/>
          </w:tcPr>
          <w:p>
            <w:r>
              <w:t>site_environment.csv</w:t>
            </w:r>
          </w:p>
        </w:tc>
        <w:tc>
          <w:tcPr>
            <w:tcW w:type="dxa" w:w="2880"/>
          </w:tcPr>
          <w:p>
            <w:r>
              <w:t>13 sites × hydro-geographic variables + PC1–PC3.</w:t>
            </w:r>
          </w:p>
        </w:tc>
        <w:tc>
          <w:tcPr>
            <w:tcW w:type="dxa" w:w="2880"/>
          </w:tcPr>
          <w:p>
            <w:r>
              <w:t>HydroRIVERS v1.0 (network, order, drainage, discharge); Copernicus GLO-90 DEM (elevation, slope); NASA POWER 2001–2020 (climate); ESA WorldCover 10 m (river width).</w:t>
            </w:r>
          </w:p>
        </w:tc>
      </w:tr>
      <w:tr>
        <w:tc>
          <w:tcPr>
            <w:tcW w:type="dxa" w:w="2880"/>
          </w:tcPr>
          <w:p>
            <w:r>
              <w:t>site_metadata.csv</w:t>
            </w:r>
          </w:p>
        </w:tc>
        <w:tc>
          <w:tcPr>
            <w:tcW w:type="dxa" w:w="2880"/>
          </w:tcPr>
          <w:p>
            <w:r>
              <w:t>26 site-seasons: site, season, river section, site name, channel type, coordinates.</w:t>
            </w:r>
          </w:p>
        </w:tc>
        <w:tc>
          <w:tcPr>
            <w:tcW w:type="dxa" w:w="2880"/>
          </w:tcPr>
          <w:p>
            <w:r>
              <w:t>Study design.</w:t>
            </w:r>
          </w:p>
        </w:tc>
      </w:tr>
      <w:tr>
        <w:tc>
          <w:tcPr>
            <w:tcW w:type="dxa" w:w="2880"/>
          </w:tcPr>
          <w:p>
            <w:r>
              <w:t>site_water_quality.csv</w:t>
            </w:r>
          </w:p>
        </w:tc>
        <w:tc>
          <w:tcPr>
            <w:tcW w:type="dxa" w:w="2880"/>
          </w:tcPr>
          <w:p>
            <w:r>
              <w:t>13 sites × 8 local water-quality variables (one measurement per site).</w:t>
            </w:r>
          </w:p>
        </w:tc>
        <w:tc>
          <w:tcPr>
            <w:tcW w:type="dxa" w:w="2880"/>
          </w:tcPr>
          <w:p>
            <w:r>
              <w:t>Field / laboratory measurements; backs the supplementary Fig. S2 water-quality analysis only.</w:t>
            </w:r>
          </w:p>
        </w:tc>
      </w:tr>
    </w:tbl>
    <w:p>
      <w:pPr>
        <w:pStyle w:val="Heading1"/>
      </w:pPr>
      <w:r>
        <w:t>Community-data lineage</w:t>
      </w:r>
    </w:p>
    <w:p>
      <w:r>
        <w:t>The two provider deliveries each hold 13 sites × 3 replicates. Summed per site they give the site-level table, and they map to season unambiguously: BZ2023 = spring (sampled April 2023), BZ2024 = autumn (sampled October 2024). Chum salmon (Oncorhynchus keta), an autumn spawner, is 14% of reads in the autumn delivery and ~0% in the spring one.</w:t>
      </w:r>
    </w:p>
    <w:p>
      <w:r>
        <w:t>One taxon carries a different label between annotations: the study's Chanodichthys erythropterus is Chanodichthys ilishaeformis in the provider's current reference library (same genus, identical reads).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