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某些产品例如WiFi插座需要记录操作历史,是否需要额外购买数据服务?是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每个</w:t>
      </w: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产品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ab/>
      </w: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购买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单独购买</w:t>
      </w: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还是一次性购买后所有产品均可使用?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平台访问授权AccessKeyID AccessKeySecrect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的用途</w:t>
      </w: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应用管理的用途?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第三方服务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中的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短信服务是否只支持国内?免验证登录?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物联网连接器是什么?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应用网关用途?内有启用Google play/苹果APN服务,上传安装包,及强制升级等选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ab/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项,是APP SDK内置功能吗?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网关授权是否只适用于网关类型WiFi设备?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产测工具如何使用?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设备SDK中的测试模式如何使用?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产品发布后如果升级功能需要修改/增加数据端点,能否实现?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固件升级模式中的手动升级如何使用?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  <w:t>设备Demo源码中有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文泉驿等宽微米黑" w:hAnsi="文泉驿等宽微米黑" w:eastAsia="文泉驿等宽微米黑" w:cs="文泉驿等宽微米黑"/>
          <w:b w:val="0"/>
          <w:color w:val="D4D4D4"/>
          <w:sz w:val="21"/>
          <w:szCs w:val="21"/>
        </w:rPr>
      </w:pPr>
      <w:r>
        <w:rPr>
          <w:rFonts w:hint="eastAsia" w:ascii="文泉驿等宽微米黑" w:hAnsi="文泉驿等宽微米黑" w:eastAsia="文泉驿等宽微米黑" w:cs="文泉驿等宽微米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XLINK_CERTIFY_ID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  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"591929aca26e6a07dec2edd4"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eastAsia" w:ascii="文泉驿等宽微米黑" w:hAnsi="文泉驿等宽微米黑" w:eastAsia="文泉驿等宽微米黑" w:cs="文泉驿等宽微米黑"/>
          <w:b w:val="0"/>
          <w:color w:val="D4D4D4"/>
          <w:sz w:val="21"/>
          <w:szCs w:val="21"/>
        </w:rPr>
      </w:pPr>
      <w:r>
        <w:rPr>
          <w:rFonts w:hint="eastAsia" w:ascii="文泉驿等宽微米黑" w:hAnsi="文泉驿等宽微米黑" w:eastAsia="文泉驿等宽微米黑" w:cs="文泉驿等宽微米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XLINK_CERTIFY_KEY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 </w:t>
      </w:r>
      <w:r>
        <w:rPr>
          <w:rFonts w:hint="eastAsia" w:ascii="文泉驿等宽微米黑" w:hAnsi="文泉驿等宽微米黑" w:eastAsia="文泉驿等宽微米黑" w:cs="文泉驿等宽微米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"b7409d07-0612-440e-95dc-3e9cb9478ab2"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certificate_id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, 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certificate_key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是什么,如何获取,为何在新建的产品中可以使用设备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Demo源码中的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certificate_id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, 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certificate_key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设备SDK的log调试信息好像无法关闭?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测试过程中发现在路由器开启AP隔离/内部隔离的情况下,SmartConfig无法成功配网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设备,且无法扫描到设备.如果采用AP模式配网如何订阅设备?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设备配网成功并注册订阅后有时仍连不上云平台 或者并不会立即连上云平台.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在平台上删除设备后,APP重新注册订阅设备失败.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测试时同步时间为北京时间,产品出口多个国家,在国外是否同步时间仍为北京时间?如</w:t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ascii="sans-serif" w:hAnsi="sans-serif" w:eastAsia="宋体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何解决不同地区的时间问题?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平台上可以看到设备的地理位置,设备端SDK能否获取地理位置?设备地理位置是否根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ab/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据IP地址计算得出,是否准确(如果路由器带VPN功能)?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文泉驿等宽微米黑" w:hAnsi="文泉驿等宽微米黑" w:eastAsia="文泉驿等宽微米黑" w:cs="文泉驿等宽微米黑"/>
          <w:sz w:val="21"/>
          <w:szCs w:val="21"/>
        </w:rPr>
      </w:pP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设备管理员与普通用户的权限有哪些不同?如果开启允许多用户订阅设备,如何分配设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ab/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备管理员与普通用户?如果只允许单个用户订阅设备,是否可以通过设备分享给其他用</w:t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ab/>
      </w:r>
      <w:r>
        <w:rPr>
          <w:rFonts w:hint="default" w:ascii="文泉驿等宽微米黑" w:hAnsi="文泉驿等宽微米黑" w:eastAsia="文泉驿等宽微米黑" w:cs="文泉驿等宽微米黑"/>
          <w:sz w:val="21"/>
          <w:szCs w:val="21"/>
        </w:rPr>
        <w:t>户?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ECDCB"/>
    <w:multiLevelType w:val="singleLevel"/>
    <w:tmpl w:val="A9FECDC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E8D6E"/>
    <w:rsid w:val="7FDDDAA4"/>
    <w:rsid w:val="BFFF9257"/>
    <w:rsid w:val="C7FFFA3F"/>
    <w:rsid w:val="EBFE8D6E"/>
    <w:rsid w:val="F3DBBFB0"/>
    <w:rsid w:val="FF7B646D"/>
    <w:rsid w:val="FFAFB966"/>
    <w:rsid w:val="FF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2018-12-25T07:41:00Z</dcterms:created>
  <dc:creator>liruya</dc:creator>
  <cp:lastModifiedBy>liruya</cp:lastModifiedBy>
  <dcterms:modified xsi:type="dcterms:W3CDTF">2018-12-26T10:21:06Z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