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44F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b/>
          <w:bCs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21"/>
          <w:szCs w:val="21"/>
          <w:lang w:val="en-US" w:eastAsia="zh-CN"/>
        </w:rPr>
        <w:t>BTC跌至 8,000 美元也不爆仓？深度拆解 MSTR 的‘三重铁壁’防御体系</w:t>
      </w:r>
    </w:p>
    <w:p w14:paraId="75C7CA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668568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186672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rPr>
          <w:rFonts w:hint="default" w:ascii="Calibri" w:hAnsi="Calibri" w:eastAsia="宋体" w:cs="Calibri"/>
          <w:sz w:val="21"/>
          <w:szCs w:val="21"/>
        </w:rPr>
        <w:t>本月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</w:rPr>
        <w:t>价格一度下探至 60,000 美元，已跌破 MicroStrategy（MSTR）约 76,000 美元的平均持仓成本价。这是自 2025 年本轮牛市启动以来，该公司所持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</w:rPr>
        <w:t>头寸首次出现整体账面浮亏。尽管 MSTR 的债务结构并非“保证金贷款”，不存在强制平仓风险，但其持仓成本在市场中已被广泛视为关键的心理支撑位。一旦该价位被有效跌破，极易引发散户及部分机构投资者的恐慌情绪与跟风抛售，从而导致 MSTR 股价的波动性显著放大——其跌幅和波动率往往远超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</w:rPr>
        <w:t>本身。</w:t>
      </w:r>
    </w:p>
    <w:p w14:paraId="3870F3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59705" cy="3674110"/>
            <wp:effectExtent l="0" t="0" r="7620" b="254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30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18E56C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eastAsia="zh-CN"/>
        </w:rPr>
      </w:pPr>
      <w:r>
        <w:rPr>
          <w:rFonts w:hint="default" w:ascii="Calibri" w:hAnsi="Calibri" w:eastAsia="宋体" w:cs="Calibri"/>
          <w:sz w:val="21"/>
          <w:szCs w:val="21"/>
          <w:lang w:eastAsia="zh-CN"/>
        </w:rPr>
        <w:t>DAT，Digital Asset Treasury，是指以持有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数字资产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为核心资产负债表资产的上市公司。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BTC的DAT公司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典型代表包括 MicroStrategy（MSTR）、Marathon Digital（MARA）等。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它们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通过股权或债务融资持续增持 BTC，为投资者提供一种间接、合规且高流动性的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敞口。</w:t>
      </w:r>
    </w:p>
    <w:p w14:paraId="642B5A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eastAsia="zh-CN"/>
        </w:rPr>
      </w:pPr>
    </w:p>
    <w:p w14:paraId="764EE7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从波动性来看，DAT公司股价的波动幅度显著大于BTC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现货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ETF，这为寻求高波动性收益的交易策略提供了更广阔的空间。从价格发现效率看，DAT的股价变动更为实时和连续，而部分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BTC现货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ETF由于底层资产申赎机制、市场流动性或基金管理结构等原因，存在明显的价格延迟和跟踪误差，其报价并非总能瞬时分毫地反映现货市场的真实变动。</w:t>
      </w:r>
    </w:p>
    <w:p w14:paraId="7D0DFE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7A550F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正是基于这两大核心特征，即便BTC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现货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ETF和MSTR都具有合规属性，许多高频交易公司和对冲基金在构建其短线或量化策略时，依然更倾向于将DAT作为核心交易标的之一。</w:t>
      </w:r>
    </w:p>
    <w:p w14:paraId="24A2F8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eastAsia="zh-CN"/>
        </w:rPr>
      </w:pPr>
    </w:p>
    <w:p w14:paraId="1BAE6F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eastAsia="zh-CN"/>
        </w:rPr>
      </w:pPr>
      <w:r>
        <w:rPr>
          <w:rFonts w:hint="default" w:ascii="Calibri" w:hAnsi="Calibri" w:eastAsia="宋体" w:cs="Calibri"/>
          <w:sz w:val="21"/>
          <w:szCs w:val="21"/>
          <w:lang w:eastAsia="zh-CN"/>
        </w:rPr>
        <w:t>在牛市环境中，DAT 公司普遍采用 mNAV（modified Net Asset Value）策略：即市场对其估值不仅基于传统业务，更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基于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其每股持有的 BTC 净值，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同时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叠加显著溢价。此时，公司可通过 ATM 股权发行或低息可转债高效融资，进一步加仓 BTC。形成“融资、买币、mNAV 上升、再融资”的正向飞轮。</w:t>
      </w:r>
    </w:p>
    <w:p w14:paraId="428FBD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eastAsia="zh-CN"/>
        </w:rPr>
      </w:pPr>
    </w:p>
    <w:p w14:paraId="00318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eastAsia="zh-CN"/>
        </w:rPr>
      </w:pPr>
      <w:r>
        <w:rPr>
          <w:rFonts w:hint="default" w:ascii="Calibri" w:hAnsi="Calibri" w:eastAsia="宋体" w:cs="Calibri"/>
          <w:sz w:val="21"/>
          <w:szCs w:val="21"/>
          <w:lang w:eastAsia="zh-CN"/>
        </w:rPr>
        <w:t>而在熊市中，尽管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价格下跌导致MSTR账面出现浮亏，但只要公司坚持不减持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，其修正后净资产价值（mNAV）的底线依然清晰可辨。在这一前提下，市场关注的焦点往往转向其现金储备是否足以覆盖运营开支、利息支付与分红义务。</w:t>
      </w:r>
    </w:p>
    <w:p w14:paraId="1BC6B4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eastAsia="zh-CN"/>
        </w:rPr>
      </w:pPr>
    </w:p>
    <w:p w14:paraId="02AAEA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1"/>
          <w:szCs w:val="21"/>
          <w:lang w:eastAsia="zh-CN"/>
        </w:rPr>
      </w:pPr>
      <w:r>
        <w:rPr>
          <w:rFonts w:hint="default" w:ascii="Calibri" w:hAnsi="Calibri" w:eastAsia="宋体" w:cs="Calibri"/>
          <w:sz w:val="21"/>
          <w:szCs w:val="21"/>
          <w:lang w:eastAsia="zh-CN"/>
        </w:rPr>
        <w:t>这一点在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微策略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高层行动中亦得到印证：该公司高管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Michael Saylor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在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价格明显低于其平均持仓成本后，仍选择继续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买入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，进一步表明了其长期持有的决心。因此，我们后续的所有分析与推断，均建立在一个根本性前提之上：</w:t>
      </w:r>
      <w:r>
        <w:rPr>
          <w:rFonts w:hint="default" w:ascii="Calibri" w:hAnsi="Calibri" w:eastAsia="宋体" w:cs="Calibri"/>
          <w:b/>
          <w:bCs/>
          <w:sz w:val="21"/>
          <w:szCs w:val="21"/>
          <w:lang w:eastAsia="zh-CN"/>
        </w:rPr>
        <w:t>即</w:t>
      </w:r>
      <w:r>
        <w:rPr>
          <w:rFonts w:hint="eastAsia" w:ascii="Calibri" w:hAnsi="Calibri" w:eastAsia="宋体" w:cs="Calibri"/>
          <w:b/>
          <w:bCs/>
          <w:sz w:val="21"/>
          <w:szCs w:val="21"/>
          <w:lang w:val="en-US" w:eastAsia="zh-CN"/>
        </w:rPr>
        <w:t>微策略公司</w:t>
      </w:r>
      <w:r>
        <w:rPr>
          <w:rFonts w:hint="default" w:ascii="Calibri" w:hAnsi="Calibri" w:eastAsia="宋体" w:cs="Calibri"/>
          <w:b/>
          <w:bCs/>
          <w:sz w:val="21"/>
          <w:szCs w:val="21"/>
          <w:lang w:eastAsia="zh-CN"/>
        </w:rPr>
        <w:t>不会主动出售其持有的任何</w:t>
      </w:r>
      <w:r>
        <w:rPr>
          <w:rFonts w:hint="eastAsia" w:ascii="Calibri" w:hAnsi="Calibri" w:eastAsia="宋体" w:cs="Calibri"/>
          <w:b/>
          <w:bCs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b/>
          <w:bCs/>
          <w:sz w:val="21"/>
          <w:szCs w:val="21"/>
          <w:lang w:eastAsia="zh-CN"/>
        </w:rPr>
        <w:t>。</w:t>
      </w:r>
    </w:p>
    <w:p w14:paraId="16D11D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1"/>
          <w:szCs w:val="21"/>
          <w:lang w:eastAsia="zh-CN"/>
        </w:rPr>
      </w:pPr>
    </w:p>
    <w:p w14:paraId="13A280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</w:pPr>
    </w:p>
    <w:p w14:paraId="0E3FE0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drawing>
          <wp:inline distT="0" distB="0" distL="114300" distR="114300">
            <wp:extent cx="5264785" cy="3668395"/>
            <wp:effectExtent l="0" t="0" r="2540" b="825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Calibri"/>
          <w:sz w:val="21"/>
          <w:szCs w:val="21"/>
        </w:rPr>
        <w:drawing>
          <wp:inline distT="0" distB="0" distL="114300" distR="114300">
            <wp:extent cx="5269865" cy="3604260"/>
            <wp:effectExtent l="0" t="0" r="6985" b="5715"/>
            <wp:docPr id="2" name="图片 2" descr="MSTR_BTC_增持速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STR_BTC_增持速度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29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</w:p>
    <w:p w14:paraId="5EC482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</w:p>
    <w:p w14:paraId="1B38EB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熊市期间的</w:t>
      </w:r>
      <w:r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主要支出</w:t>
      </w:r>
    </w:p>
    <w:p w14:paraId="4470CA9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到期转债及转债利息</w:t>
      </w:r>
    </w:p>
    <w:p w14:paraId="23CEF7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rPr>
          <w:rFonts w:hint="default" w:ascii="Calibri" w:hAnsi="Calibri" w:eastAsia="宋体" w:cs="Calibri"/>
          <w:color w:val="0000FF"/>
          <w:sz w:val="21"/>
          <w:szCs w:val="21"/>
        </w:rPr>
        <w:t>运用可转债是 MSTR 面对此类情况时的核心应对方法。</w:t>
      </w:r>
      <w:r>
        <w:rPr>
          <w:rFonts w:hint="default" w:ascii="Calibri" w:hAnsi="Calibri" w:eastAsia="宋体" w:cs="Calibri"/>
          <w:sz w:val="21"/>
          <w:szCs w:val="21"/>
        </w:rPr>
        <w:t>公司债务主要是“无担保高级可转债”，确保了结构化的无压力持有，即不存在由于价格下跌而触发的强制平仓。 截至 2026 年 1 月，MSTR 的总债务约为 82.4 亿美元，其中 85%-90% 通过可转债筹集。</w:t>
      </w:r>
    </w:p>
    <w:p w14:paraId="1C96DD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</w:p>
    <w:tbl>
      <w:tblPr>
        <w:tblStyle w:val="3"/>
        <w:tblW w:w="0" w:type="auto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509"/>
        <w:gridCol w:w="306"/>
        <w:gridCol w:w="837"/>
        <w:gridCol w:w="1010"/>
        <w:gridCol w:w="906"/>
        <w:gridCol w:w="3565"/>
      </w:tblGrid>
      <w:tr w14:paraId="5E0C530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37BB79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发行日期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D9EFC0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金额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E2DD0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利率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F4DE5F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到期日期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9F1755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转换价格（每股市价）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7208DD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现状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A3F2B0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备注</w:t>
            </w:r>
          </w:p>
        </w:tc>
      </w:tr>
      <w:tr w14:paraId="19BD15A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33389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2020年12月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F068BF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6.5亿美元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965FB7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0.75%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82BAB0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2025年12月15日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E18EB6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约397.99美元/股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BB6C25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已赎回（强制转换）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DFBA6D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2024年6月强制转换，节省约700万美元利息</w:t>
            </w:r>
          </w:p>
        </w:tc>
      </w:tr>
      <w:tr w14:paraId="2BB1577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B2277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2021年2月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ABFAD8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10.5亿美元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FD03C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97D74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2027年2月15日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87C4E3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约1,432.46美元/股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01413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活跃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F60C617">
            <w:pPr>
              <w:rPr>
                <w:rFonts w:hint="eastAsia" w:ascii="宋体"/>
                <w:sz w:val="10"/>
                <w:szCs w:val="10"/>
              </w:rPr>
            </w:pPr>
          </w:p>
        </w:tc>
      </w:tr>
      <w:tr w14:paraId="5D0B789C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24916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2021年6月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BA097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B64C5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6.125%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DDE5B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2028年6月15日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32BF06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不详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B6237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已赎回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2122F1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高级债券，非纯可转换债券</w:t>
            </w:r>
          </w:p>
        </w:tc>
      </w:tr>
      <w:tr w14:paraId="6AB074F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E4DBF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2024年3月（第一笔）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745882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8亿美元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5DBE55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0.625%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79C98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2030年3月15日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AF6B5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约2,327美元/股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3F2629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活跃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2413F6E">
            <w:pPr>
              <w:rPr>
                <w:rFonts w:hint="eastAsia" w:ascii="宋体"/>
                <w:sz w:val="10"/>
                <w:szCs w:val="10"/>
              </w:rPr>
            </w:pPr>
          </w:p>
        </w:tc>
      </w:tr>
      <w:tr w14:paraId="2E9FB0D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799ED1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2024年3月（第二笔）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DC9347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F8514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0.875%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108FA6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2031年3月15日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E1C266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不详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426BF8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活跃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C4351ED">
            <w:pPr>
              <w:rPr>
                <w:rFonts w:hint="eastAsia" w:ascii="宋体"/>
                <w:sz w:val="10"/>
                <w:szCs w:val="10"/>
              </w:rPr>
            </w:pPr>
          </w:p>
        </w:tc>
      </w:tr>
      <w:tr w14:paraId="6CEB5B1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97DD0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2024年6月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60C1F8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8亿美元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B3D955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2.25%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DECF3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2032年6月15日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38AB09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不详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FEF1AC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活跃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FD38C60">
            <w:pPr>
              <w:rPr>
                <w:rFonts w:hint="eastAsia" w:ascii="宋体"/>
                <w:sz w:val="10"/>
                <w:szCs w:val="10"/>
              </w:rPr>
            </w:pPr>
          </w:p>
        </w:tc>
      </w:tr>
      <w:tr w14:paraId="648CB36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610F4B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2024年9月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7E59B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10亿美元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EBE2A9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0.625%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D006D5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2028年9月15日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BCB1CB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不详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AE9CF6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活跃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36155B5">
            <w:pPr>
              <w:rPr>
                <w:rFonts w:hint="eastAsia" w:ascii="宋体"/>
                <w:sz w:val="10"/>
                <w:szCs w:val="10"/>
              </w:rPr>
            </w:pPr>
          </w:p>
        </w:tc>
      </w:tr>
      <w:tr w14:paraId="0C680C3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07E97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2024年11月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99647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30亿美元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EE448A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24092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2029年12月1日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A260F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约672美元/股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CEF87E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活跃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3BB4D0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可在2029年6月1日前特定条件下转换；发行时股价约430美元/股</w:t>
            </w:r>
          </w:p>
        </w:tc>
      </w:tr>
      <w:tr w14:paraId="4ED208E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6FE6FA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2025年2月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DA4837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20亿美元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FFB9E0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0%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7F436B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2030年3月1日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49CD66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不详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F6820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活跃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CECC6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可在2029年12月3日前特定条件下转换；持有人可在2028年3月1日要求回购</w:t>
            </w:r>
          </w:p>
        </w:tc>
      </w:tr>
    </w:tbl>
    <w:p w14:paraId="0C5AE6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来源：SEC文件</w:t>
      </w:r>
    </w:p>
    <w:p w14:paraId="64C2AB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132363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通过计算可得，</w:t>
      </w:r>
    </w:p>
    <w:p w14:paraId="12631B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截至 2027年2月15日之前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ab/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转债约 92.5 亿美元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ab/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加权平均利率约 0.373%</w:t>
      </w:r>
    </w:p>
    <w:p w14:paraId="5C5CD7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2027年2月15日，转债约10.5亿美元到期</w:t>
      </w:r>
    </w:p>
    <w:p w14:paraId="45F9EE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2027年2月16日 – 2028年9月15日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ab/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转债约 82.0 亿美元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ab/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加权平均利率约 0.421%</w:t>
      </w:r>
    </w:p>
    <w:p w14:paraId="347546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2028年9约15日，转债约</w:t>
      </w:r>
      <w:r>
        <w:rPr>
          <w:rFonts w:hint="default" w:ascii="Calibri" w:hAnsi="Calibri" w:eastAsia="宋体" w:cs="Calibri"/>
          <w:i/>
          <w:iCs/>
          <w:sz w:val="21"/>
          <w:szCs w:val="21"/>
          <w:u w:val="none"/>
          <w:lang w:val="en-US" w:eastAsia="zh-CN"/>
        </w:rPr>
        <w:t>10亿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美元到期</w:t>
      </w:r>
    </w:p>
    <w:p w14:paraId="587A9D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 xml:space="preserve">2028年9月15日之后 转债约 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ab/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72.0 亿美元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ab/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加权平均利率约 0.392%</w:t>
      </w:r>
    </w:p>
    <w:p w14:paraId="6C5440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0CCDE7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这些可转债没有margin call，同时没有抵押物，到期只需还本付息或转股。牛市情况下，股价一般比约定转股价高，转债持有者可以选择债转股；熊市情况下，由于没有margin call，持有者不能要求追加抵押或强平。</w:t>
      </w:r>
    </w:p>
    <w:p w14:paraId="41AFED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5535E9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我们假设，直到2028年9月15日仍处于熊市的话，那么公司股票仍然低估，债券持有者要求还本而非转股。公司需要支付：</w:t>
      </w:r>
    </w:p>
    <w:p w14:paraId="78DB88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10.5亿（2027到期转债）+ 10亿（2028到期转债）= 20.5亿</w:t>
      </w:r>
    </w:p>
    <w:p w14:paraId="23E99E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63FA5B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利率方面，加权利率大约在0.4%上下，利率水平极低，很难对Strategy构成财务压力。</w:t>
      </w:r>
    </w:p>
    <w:p w14:paraId="26E987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6787C45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优先股分红</w:t>
      </w:r>
    </w:p>
    <w:p w14:paraId="6E0B68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根据当前资本结构测算，公司年度固定财务义务总额约为 8.88 亿美元，具体构成如下：</w:t>
      </w:r>
    </w:p>
    <w:p w14:paraId="41726D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债务利息支出：3,500 万美元</w:t>
      </w:r>
    </w:p>
    <w:p w14:paraId="7F9476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STRF 系列优先股分红：1.28 亿美元</w:t>
      </w:r>
    </w:p>
    <w:p w14:paraId="1049C2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STRC 系列优先股分红：3.80 亿美元</w:t>
      </w:r>
    </w:p>
    <w:p w14:paraId="266C80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STRE 系列优先股分红：9,200 万美元</w:t>
      </w:r>
    </w:p>
    <w:p w14:paraId="54EF2E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STRK 系列优先股分红：1.12 亿美元</w:t>
      </w:r>
    </w:p>
    <w:p w14:paraId="231DA7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其他优先股分红：7.13 亿美元</w:t>
      </w:r>
    </w:p>
    <w:p w14:paraId="54D82E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非累积普通股分红：1.40 亿美元</w:t>
      </w:r>
    </w:p>
    <w:p w14:paraId="785761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722514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rPr>
          <w:rFonts w:hint="default" w:ascii="Calibri" w:hAnsi="Calibri" w:eastAsia="宋体" w:cs="Calibri"/>
          <w:sz w:val="21"/>
          <w:szCs w:val="21"/>
        </w:rPr>
        <w:t>优先股分红通常按年进行设定与派发，其股息率在发行时即已确定。除非公司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增发</w:t>
      </w:r>
      <w:r>
        <w:rPr>
          <w:rFonts w:hint="default" w:ascii="Calibri" w:hAnsi="Calibri" w:eastAsia="宋体" w:cs="Calibri"/>
          <w:sz w:val="21"/>
          <w:szCs w:val="21"/>
        </w:rPr>
        <w:t>新一轮优先股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，</w:t>
      </w:r>
      <w:r>
        <w:rPr>
          <w:rFonts w:hint="default" w:ascii="Calibri" w:hAnsi="Calibri" w:eastAsia="宋体" w:cs="Calibri"/>
          <w:sz w:val="21"/>
          <w:szCs w:val="21"/>
        </w:rPr>
        <w:t>或依据发行条款启动股息率重置机制，否则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8.88亿美元的财务支出在未来几年</w:t>
      </w:r>
      <w:r>
        <w:rPr>
          <w:rFonts w:hint="default" w:ascii="Calibri" w:hAnsi="Calibri" w:eastAsia="宋体" w:cs="Calibri"/>
          <w:sz w:val="21"/>
          <w:szCs w:val="21"/>
        </w:rPr>
        <w:t>维持不变。</w:t>
      </w:r>
    </w:p>
    <w:p w14:paraId="7F5DE0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</w:p>
    <w:p w14:paraId="118181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储蓄及盈利</w:t>
      </w:r>
    </w:p>
    <w:p w14:paraId="587FDFF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现有美元储备</w:t>
      </w:r>
    </w:p>
    <w:p w14:paraId="539081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2025 年Q4 Strategy通过 Class A 普通股 ATM（At-the-Market）发行计划所募集了“美元储备”（USD Reserve）。截至 2026 年 2 月 1 日，公司持有 22.5 亿美元（$2.25 billion）的现金及等价物。</w:t>
      </w:r>
    </w:p>
    <w:p w14:paraId="0BE541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4E0305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公司两年的可转债，债务利息，优先股分红之和如下</w:t>
      </w:r>
    </w:p>
    <w:p w14:paraId="52A426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416F13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8.88亿</w:t>
      </w:r>
      <w:r>
        <w:rPr>
          <w:rFonts w:hint="eastAsia" w:ascii="Calibri" w:hAnsi="Calibri" w:eastAsia="宋体" w:cs="Calibri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i/>
          <w:iCs/>
          <w:sz w:val="21"/>
          <w:szCs w:val="21"/>
          <w:lang w:val="en-US" w:eastAsia="zh-CN"/>
        </w:rPr>
        <w:t>+</w:t>
      </w:r>
      <w:r>
        <w:rPr>
          <w:rFonts w:hint="eastAsia" w:ascii="Calibri" w:hAnsi="Calibri" w:eastAsia="宋体" w:cs="Calibri"/>
          <w:i/>
          <w:iCs/>
          <w:sz w:val="21"/>
          <w:szCs w:val="21"/>
          <w:lang w:val="en-US" w:eastAsia="zh-CN"/>
        </w:rPr>
        <w:t xml:space="preserve"> 1.25亿 + 7.13亿 = 17.26亿美元，占当前现金储备的76.7%。</w:t>
      </w:r>
    </w:p>
    <w:p w14:paraId="6EC56E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724796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这意味着公司现金储备足以覆盖未来两年全部刚性财务支出，且尚余近5.24亿美元缓冲空间；即便市场持续低迷、转债全部选择还本，亦不会动摇其流动性根基。</w:t>
      </w:r>
    </w:p>
    <w:p w14:paraId="57CAF0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4AE3A6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5058A4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7E5541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rPr>
          <w:rFonts w:hint="default" w:ascii="Calibri" w:hAnsi="Calibri" w:eastAsia="宋体" w:cs="Calibri"/>
          <w:sz w:val="21"/>
          <w:szCs w:val="21"/>
        </w:rPr>
        <w:t>————————</w:t>
      </w:r>
    </w:p>
    <w:p w14:paraId="09E5FFE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软件业务收入</w:t>
      </w:r>
    </w:p>
    <w:tbl>
      <w:tblPr>
        <w:tblStyle w:val="3"/>
        <w:tblW w:w="8314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762"/>
        <w:gridCol w:w="2646"/>
        <w:gridCol w:w="1010"/>
        <w:gridCol w:w="1010"/>
        <w:gridCol w:w="1011"/>
        <w:gridCol w:w="1011"/>
      </w:tblGrid>
      <w:tr w14:paraId="6EDBD69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F25D7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季度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586537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总收入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E166CD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许可+订阅(Licenses+Sub)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B949C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其中许可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7836C0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其中订阅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CCBEF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支持服务</w:t>
            </w:r>
          </w:p>
        </w:tc>
        <w:tc>
          <w:tcPr>
            <w:tcW w:w="10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54AFC3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其他服务</w:t>
            </w:r>
          </w:p>
        </w:tc>
      </w:tr>
      <w:tr w14:paraId="14200A92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AF5439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Q1 2021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E8D71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122.9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7F223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31.3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CBC10E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~24.0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041C21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~7.3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971655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70.7</w:t>
            </w:r>
          </w:p>
        </w:tc>
        <w:tc>
          <w:tcPr>
            <w:tcW w:w="10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1A36B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20.9</w:t>
            </w:r>
          </w:p>
        </w:tc>
      </w:tr>
      <w:tr w14:paraId="17D17D1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E26C37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Q2 2021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AA8CE1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125.4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FF2DE1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32.5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ED3BB6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~24.5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F86D4F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~8.0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BB883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71.0</w:t>
            </w:r>
          </w:p>
        </w:tc>
        <w:tc>
          <w:tcPr>
            <w:tcW w:w="10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D371CF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21.9</w:t>
            </w:r>
          </w:p>
        </w:tc>
      </w:tr>
      <w:tr w14:paraId="39F333B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3E5636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Q3 2021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68A9F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128.0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ADBB14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36.7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E233DA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~27.0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5B66AA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~9.7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BA9E3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70.4</w:t>
            </w:r>
          </w:p>
        </w:tc>
        <w:tc>
          <w:tcPr>
            <w:tcW w:w="10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72147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20.9</w:t>
            </w:r>
          </w:p>
        </w:tc>
      </w:tr>
      <w:tr w14:paraId="2A33969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873F3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Q4 2021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692C3C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134.5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F6E32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44.4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842BBD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32.5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AAD6E4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11.8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3328F1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69.1</w:t>
            </w:r>
          </w:p>
        </w:tc>
        <w:tc>
          <w:tcPr>
            <w:tcW w:w="10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C3729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21.0</w:t>
            </w:r>
          </w:p>
        </w:tc>
      </w:tr>
      <w:tr w14:paraId="6897EDF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6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7D7971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全年</w:t>
            </w:r>
          </w:p>
        </w:tc>
        <w:tc>
          <w:tcPr>
            <w:tcW w:w="7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C5D7F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510.8</w:t>
            </w:r>
          </w:p>
        </w:tc>
        <w:tc>
          <w:tcPr>
            <w:tcW w:w="264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251C1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144.9 (+15% YoY)</w:t>
            </w:r>
          </w:p>
        </w:tc>
        <w:tc>
          <w:tcPr>
            <w:tcW w:w="10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00000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101.8</w:t>
            </w:r>
          </w:p>
        </w:tc>
        <w:tc>
          <w:tcPr>
            <w:tcW w:w="101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02DE86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43.1</w:t>
            </w:r>
          </w:p>
        </w:tc>
        <w:tc>
          <w:tcPr>
            <w:tcW w:w="10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3B95B6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281.2</w:t>
            </w:r>
          </w:p>
        </w:tc>
        <w:tc>
          <w:tcPr>
            <w:tcW w:w="10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22752C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84.7</w:t>
            </w:r>
          </w:p>
        </w:tc>
      </w:tr>
    </w:tbl>
    <w:p w14:paraId="42903B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299868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tbl>
      <w:tblPr>
        <w:tblStyle w:val="3"/>
        <w:tblW w:w="8314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2"/>
        <w:gridCol w:w="671"/>
        <w:gridCol w:w="1609"/>
        <w:gridCol w:w="888"/>
        <w:gridCol w:w="1066"/>
        <w:gridCol w:w="888"/>
        <w:gridCol w:w="2430"/>
      </w:tblGrid>
      <w:tr w14:paraId="450585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6A9ADEE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季度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C6AB5F4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总收入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162F178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许可+订阅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98C0369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其中许可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6BF76D4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其中订阅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A38B815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支持服务</w:t>
            </w:r>
          </w:p>
        </w:tc>
        <w:tc>
          <w:tcPr>
            <w:tcW w:w="2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76463FC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其他服务</w:t>
            </w:r>
          </w:p>
        </w:tc>
      </w:tr>
      <w:tr w14:paraId="09BEEA0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49ABE4D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Q1 2022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9A6663A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119.3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34CBB4F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36.2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45A2F9F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~28.0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D111E6E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~8.2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120E1F5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67.2</w:t>
            </w:r>
          </w:p>
        </w:tc>
        <w:tc>
          <w:tcPr>
            <w:tcW w:w="2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8962EB1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15.9? (实际数据略有调整)</w:t>
            </w:r>
          </w:p>
        </w:tc>
      </w:tr>
      <w:tr w14:paraId="225A5A2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0E4BA0F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Q2 2022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470DC07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122.1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F0C2BA4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34.2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E5B67FB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~25.0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7FA2E9A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~9.2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4A28BFC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66.5</w:t>
            </w:r>
          </w:p>
        </w:tc>
        <w:tc>
          <w:tcPr>
            <w:tcW w:w="2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5F6D361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21.4</w:t>
            </w:r>
          </w:p>
        </w:tc>
      </w:tr>
      <w:tr w14:paraId="7526C86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1FBF5D2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Q3 2022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9E4DDD0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125.4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56D013B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38.7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A323F5F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~27.0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CD6CF4C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~11.7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1F44BEF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66.0</w:t>
            </w:r>
          </w:p>
        </w:tc>
        <w:tc>
          <w:tcPr>
            <w:tcW w:w="2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717A684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20.7</w:t>
            </w:r>
          </w:p>
        </w:tc>
      </w:tr>
      <w:tr w14:paraId="3B607F0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CD080DA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Q4 2022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139CA95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132.6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9A52762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39.9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89F906D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~24.0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932FF7C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~15.9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C4B379A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65.5</w:t>
            </w:r>
          </w:p>
        </w:tc>
        <w:tc>
          <w:tcPr>
            <w:tcW w:w="2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B6EECF1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19.1?</w:t>
            </w:r>
          </w:p>
        </w:tc>
      </w:tr>
      <w:tr w14:paraId="6D142366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2A17272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全年</w:t>
            </w:r>
          </w:p>
        </w:tc>
        <w:tc>
          <w:tcPr>
            <w:tcW w:w="6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D490A71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499.3</w:t>
            </w:r>
          </w:p>
        </w:tc>
        <w:tc>
          <w:tcPr>
            <w:tcW w:w="16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1785692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147.3 (+1.6% YoY)</w:t>
            </w:r>
          </w:p>
        </w:tc>
        <w:tc>
          <w:tcPr>
            <w:tcW w:w="88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94E8A80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86.5</w:t>
            </w:r>
          </w:p>
        </w:tc>
        <w:tc>
          <w:tcPr>
            <w:tcW w:w="10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2473DD8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60.8 (+41%)</w:t>
            </w:r>
          </w:p>
        </w:tc>
        <w:tc>
          <w:tcPr>
            <w:tcW w:w="88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514D18F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266.5</w:t>
            </w:r>
          </w:p>
        </w:tc>
        <w:tc>
          <w:tcPr>
            <w:tcW w:w="2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7752616">
            <w:pPr>
              <w:pStyle w:val="2"/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85.5</w:t>
            </w:r>
          </w:p>
        </w:tc>
      </w:tr>
    </w:tbl>
    <w:p w14:paraId="4E2F57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1BF998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我们发现公司每个季度软件业务的总收入大致都维持在125million上下。同时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根据2025 Q4财报显示，软件业务</w:t>
      </w:r>
      <w:r>
        <w:rPr>
          <w:rFonts w:hint="default" w:ascii="Calibri" w:hAnsi="Calibri" w:eastAsia="宋体" w:cs="Calibri"/>
          <w:sz w:val="21"/>
          <w:szCs w:val="21"/>
        </w:rPr>
        <w:t>Total Revenue：$123.0 million</w:t>
      </w:r>
      <w:r>
        <w:rPr>
          <w:rFonts w:hint="eastAsia" w:ascii="Calibri" w:hAnsi="Calibri" w:eastAsia="宋体" w:cs="Calibri"/>
          <w:sz w:val="21"/>
          <w:szCs w:val="21"/>
          <w:lang w:eastAsia="zh-CN"/>
        </w:rPr>
        <w:t>，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也保持在125million上下</w:t>
      </w:r>
      <w:r>
        <w:rPr>
          <w:rFonts w:hint="default" w:ascii="Calibri" w:hAnsi="Calibri" w:eastAsia="宋体" w:cs="Calibri"/>
          <w:sz w:val="21"/>
          <w:szCs w:val="21"/>
          <w:lang w:eastAsia="zh-CN"/>
        </w:rPr>
        <w:t>。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如果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2026年四个季度都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按此估算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，应为</w:t>
      </w:r>
    </w:p>
    <w:p w14:paraId="19EFF3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6409BD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i/>
          <w:iCs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i/>
          <w:iCs/>
          <w:sz w:val="21"/>
          <w:szCs w:val="21"/>
          <w:lang w:val="en-US" w:eastAsia="zh-CN"/>
        </w:rPr>
        <w:t>125million*4 = 500million</w:t>
      </w:r>
    </w:p>
    <w:p w14:paraId="0E61DE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———————————————————————————————————————</w:t>
      </w:r>
    </w:p>
    <w:p w14:paraId="12B972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21"/>
          <w:szCs w:val="21"/>
          <w:lang w:val="en-US" w:eastAsia="zh-CN"/>
        </w:rPr>
        <w:t>上一次熊市中，</w:t>
      </w:r>
      <w:r>
        <w:rPr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2022 年债务与利息情况</w:t>
      </w:r>
    </w:p>
    <w:p w14:paraId="311CF5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tbl>
      <w:tblPr>
        <w:tblStyle w:val="3"/>
        <w:tblW w:w="8314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2129"/>
        <w:gridCol w:w="4542"/>
      </w:tblGrid>
      <w:tr w14:paraId="7B4EFC6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6E1C0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时间点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681C73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现金储备(百万美元)</w:t>
            </w:r>
          </w:p>
        </w:tc>
        <w:tc>
          <w:tcPr>
            <w:tcW w:w="45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290F26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备注</w:t>
            </w:r>
          </w:p>
        </w:tc>
      </w:tr>
      <w:tr w14:paraId="0C9F16BB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FF1108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2022 Q1 (3/31)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E91EF6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94</w:t>
            </w:r>
          </w:p>
        </w:tc>
        <w:tc>
          <w:tcPr>
            <w:tcW w:w="45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D32C2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熊市初期，储备较高。</w:t>
            </w:r>
          </w:p>
        </w:tc>
      </w:tr>
      <w:tr w14:paraId="3434ABB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880245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2022 Q2 (6/30)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224FE1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66</w:t>
            </w:r>
          </w:p>
        </w:tc>
        <w:tc>
          <w:tcPr>
            <w:tcW w:w="45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7E9B0C9">
            <w:pPr>
              <w:snapToGrid w:val="0"/>
              <w:ind w:left="0" w:leftChars="0" w:right="0" w:rightChars="0" w:firstLine="0" w:firstLineChars="0"/>
              <w:jc w:val="right"/>
              <w:rPr>
                <w:rFonts w:hint="eastAsia" w:ascii="Calibri" w:eastAsia="宋体"/>
                <w:sz w:val="10"/>
                <w:szCs w:val="10"/>
              </w:rPr>
            </w:pPr>
          </w:p>
        </w:tc>
      </w:tr>
      <w:tr w14:paraId="0F74B9B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1EB861D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2022 Q3 (9/30)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0E9CF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45</w:t>
            </w:r>
          </w:p>
        </w:tc>
        <w:tc>
          <w:tcPr>
            <w:tcW w:w="45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29FD1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最低点，BTC 价格低迷。</w:t>
            </w:r>
          </w:p>
        </w:tc>
      </w:tr>
      <w:tr w14:paraId="5D8C49F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0BEDB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2022 Q4 (12/31)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1C9DBD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43.8-47</w:t>
            </w:r>
          </w:p>
        </w:tc>
        <w:tc>
          <w:tcPr>
            <w:tcW w:w="45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8E117D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年末总结：43.8 (U.S. 14.8 + 非 U.S. 29.0)。</w:t>
            </w:r>
          </w:p>
        </w:tc>
      </w:tr>
      <w:tr w14:paraId="72A5D34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EA031E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2023 Q1 (3/31)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B75969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81</w:t>
            </w:r>
          </w:p>
        </w:tc>
        <w:tc>
          <w:tcPr>
            <w:tcW w:w="45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70A27F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熊市后期反弹。</w:t>
            </w:r>
          </w:p>
        </w:tc>
      </w:tr>
      <w:tr w14:paraId="46FDA1E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67F284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2023 Q2 (6/30)</w:t>
            </w:r>
          </w:p>
        </w:tc>
        <w:tc>
          <w:tcPr>
            <w:tcW w:w="2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78614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66-67</w:t>
            </w:r>
          </w:p>
        </w:tc>
        <w:tc>
          <w:tcPr>
            <w:tcW w:w="454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E1F10F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rFonts w:ascii="Calibri" w:eastAsia="宋体"/>
                <w:sz w:val="10"/>
                <w:szCs w:val="10"/>
              </w:rPr>
            </w:pPr>
            <w:r>
              <w:rPr>
                <w:rFonts w:ascii="Calibri" w:eastAsia="宋体"/>
                <w:sz w:val="10"/>
                <w:szCs w:val="10"/>
              </w:rPr>
              <w:t>熊市结束点。</w:t>
            </w:r>
          </w:p>
        </w:tc>
      </w:tr>
    </w:tbl>
    <w:p w14:paraId="0F8FC1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39A0A5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  <w:t>2. 转债还本付息 (Principal and Interest Payments on Convertible Notes)</w:t>
      </w:r>
    </w:p>
    <w:p w14:paraId="6D87CA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</w:pPr>
    </w:p>
    <w:p w14:paraId="7314B5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  <w:t>主要为 2025 和 2027 Convertible Notes。期间无本金偿还（principal payments），因为到期日较晚（2025 年后）。仅支付利息，且金额小（年利息义务约 5-6 百万美元）。</w:t>
      </w:r>
    </w:p>
    <w:p w14:paraId="290DD3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color w:val="auto"/>
          <w:sz w:val="21"/>
          <w:szCs w:val="21"/>
          <w:lang w:val="en-US" w:eastAsia="zh-CN"/>
        </w:rPr>
      </w:pPr>
    </w:p>
    <w:p w14:paraId="3761CA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color w:val="auto"/>
          <w:sz w:val="21"/>
          <w:szCs w:val="21"/>
          <w:lang w:val="en-US" w:eastAsia="zh-CN"/>
        </w:rPr>
        <w:t>2022全年</w:t>
      </w:r>
      <w:r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  <w:t>仅向 2025 年到期的可转换票据持有人支付了 490 万美元现金利息。</w:t>
      </w:r>
    </w:p>
    <w:p w14:paraId="0618E8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</w:pPr>
    </w:p>
    <w:p w14:paraId="0E01AC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color w:val="auto"/>
          <w:sz w:val="21"/>
          <w:szCs w:val="21"/>
          <w:lang w:val="en-US" w:eastAsia="zh-CN"/>
        </w:rPr>
        <w:t>2023年</w:t>
      </w:r>
      <w:r>
        <w:rPr>
          <w:rFonts w:hint="default" w:ascii="Calibri" w:hAnsi="Calibri" w:eastAsia="宋体" w:cs="Calibri"/>
          <w:color w:val="auto"/>
          <w:sz w:val="21"/>
          <w:szCs w:val="21"/>
          <w:lang w:val="en-US" w:eastAsia="zh-CN"/>
        </w:rPr>
        <w:t>无具体上半年支付明细，但受低利率影响，估算上半年现金利息支出约 200-300 万美元（全年总利息支付预计约 500-600 万美元）。</w:t>
      </w:r>
    </w:p>
    <w:p w14:paraId="0DE1E4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54FE4A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3. 每年财政支出 (Annual Operating Expenses)</w:t>
      </w:r>
    </w:p>
    <w:tbl>
      <w:tblPr>
        <w:tblStyle w:val="3"/>
        <w:tblW w:w="8314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"/>
        <w:gridCol w:w="2175"/>
        <w:gridCol w:w="3067"/>
        <w:gridCol w:w="2605"/>
      </w:tblGrid>
      <w:tr w14:paraId="671C980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28A36B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年份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2821B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总运营费用(百万美元)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3151495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Breakdown(百万美元)</w:t>
            </w:r>
          </w:p>
        </w:tc>
        <w:tc>
          <w:tcPr>
            <w:tcW w:w="26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C4327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b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备注</w:t>
            </w:r>
          </w:p>
        </w:tc>
      </w:tr>
      <w:tr w14:paraId="66610595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A577E9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76141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1,672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720FE8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 销售与市场: 147</w:t>
            </w:r>
            <w:r>
              <w:rPr>
                <w:sz w:val="10"/>
                <w:szCs w:val="10"/>
              </w:rPr>
              <w:br w:type="textWrapping"/>
            </w:r>
            <w:r>
              <w:rPr>
                <w:sz w:val="10"/>
                <w:szCs w:val="10"/>
              </w:rPr>
              <w:t>- 研发: 127</w:t>
            </w:r>
            <w:r>
              <w:rPr>
                <w:sz w:val="10"/>
                <w:szCs w:val="10"/>
              </w:rPr>
              <w:br w:type="textWrapping"/>
            </w:r>
            <w:r>
              <w:rPr>
                <w:sz w:val="10"/>
                <w:szCs w:val="10"/>
              </w:rPr>
              <w:t>- 一般行政: 111</w:t>
            </w:r>
            <w:r>
              <w:rPr>
                <w:sz w:val="10"/>
                <w:szCs w:val="10"/>
              </w:rPr>
              <w:br w:type="textWrapping"/>
            </w:r>
            <w:r>
              <w:rPr>
                <w:sz w:val="10"/>
                <w:szCs w:val="10"/>
              </w:rPr>
              <w:t>- 数字资产减值: 1,286 (占 77%)</w:t>
            </w:r>
          </w:p>
        </w:tc>
        <w:tc>
          <w:tcPr>
            <w:tcW w:w="26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0052E8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高减值因 BTC 价格下跌。</w:t>
            </w:r>
          </w:p>
        </w:tc>
      </w:tr>
      <w:tr w14:paraId="17CD22C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D5A02A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2023</w:t>
            </w:r>
          </w:p>
        </w:tc>
        <w:tc>
          <w:tcPr>
            <w:tcW w:w="21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65B6AC3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501</w:t>
            </w:r>
          </w:p>
        </w:tc>
        <w:tc>
          <w:tcPr>
            <w:tcW w:w="306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46AB578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- 销售与市场: 150</w:t>
            </w:r>
            <w:r>
              <w:rPr>
                <w:sz w:val="10"/>
                <w:szCs w:val="10"/>
              </w:rPr>
              <w:br w:type="textWrapping"/>
            </w:r>
            <w:r>
              <w:rPr>
                <w:sz w:val="10"/>
                <w:szCs w:val="10"/>
              </w:rPr>
              <w:t>- 研发: 121</w:t>
            </w:r>
            <w:r>
              <w:rPr>
                <w:sz w:val="10"/>
                <w:szCs w:val="10"/>
              </w:rPr>
              <w:br w:type="textWrapping"/>
            </w:r>
            <w:r>
              <w:rPr>
                <w:sz w:val="10"/>
                <w:szCs w:val="10"/>
              </w:rPr>
              <w:t>- 一般行政: 115</w:t>
            </w:r>
            <w:r>
              <w:rPr>
                <w:sz w:val="10"/>
                <w:szCs w:val="10"/>
              </w:rPr>
              <w:br w:type="textWrapping"/>
            </w:r>
            <w:r>
              <w:rPr>
                <w:sz w:val="10"/>
                <w:szCs w:val="10"/>
              </w:rPr>
              <w:t>- 数字资产减值/收益净额: 116</w:t>
            </w:r>
          </w:p>
        </w:tc>
        <w:tc>
          <w:tcPr>
            <w:tcW w:w="26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vAlign w:val="center"/>
          </w:tcPr>
          <w:p w14:paraId="5A9BBA7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减值减少，运营更稳定。</w:t>
            </w:r>
          </w:p>
        </w:tc>
      </w:tr>
    </w:tbl>
    <w:p w14:paraId="052DB2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55B7F8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</w:p>
    <w:p w14:paraId="414D91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  <w:t>回顾 2022 年至 2023 年上半年的极端市场周期，MicroStrategy 的现金流结构曾面临严峻考验，其现金消耗率（Burn Rate）相对于现金储备的比例远超当前水平。</w:t>
      </w:r>
    </w:p>
    <w:p w14:paraId="4316A9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</w:p>
    <w:p w14:paraId="18DA98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  <w:t>运营385M（剔除 16.72 亿美元总减值中的 12.86 亿美元非现金影响） + 利息4.9M = 390M</w:t>
      </w:r>
    </w:p>
    <w:p w14:paraId="496F25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</w:p>
    <w:p w14:paraId="014F2C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  <w:t>彼时，公司平均现金储备仅为 6260 万美元，导致现金支出对储备的覆盖率飙升至 624%，显示出极高的流动性消耗强度及对再融资渠道的深度依赖。</w:t>
      </w:r>
    </w:p>
    <w:p w14:paraId="42CF65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</w:p>
    <w:p w14:paraId="40A95B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  <w:t xml:space="preserve">进入 2023 年上半年，尽管运营支出环比有所回落至 1.925 亿美元（基于全年 5.01 亿美元运营支出剔除减值影响后的半年度折算），加上 250 万美元利息支出，半年度总流出仍达 1.95 亿美元；而同期平均现金储备小幅回升至 7380 万美元，储备比率仍高达 </w:t>
      </w:r>
      <w:r>
        <w:rPr>
          <w:rFonts w:hint="eastAsia" w:ascii="Calibri" w:hAnsi="Calibri" w:eastAsia="宋体" w:cs="Calibri"/>
          <w:color w:val="0000FF"/>
          <w:sz w:val="21"/>
          <w:szCs w:val="21"/>
          <w:lang w:val="en-US" w:eastAsia="zh-CN"/>
        </w:rPr>
        <w:t>264</w:t>
      </w:r>
      <w:r>
        <w:rPr>
          <w:rFonts w:hint="default" w:ascii="Calibri" w:hAnsi="Calibri" w:eastAsia="宋体" w:cs="Calibri"/>
          <w:color w:val="0000FF"/>
          <w:sz w:val="21"/>
          <w:szCs w:val="21"/>
          <w:lang w:val="en-US" w:eastAsia="zh-CN"/>
        </w:rPr>
        <w:t>%。</w:t>
      </w:r>
    </w:p>
    <w:p w14:paraId="7B443B11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0B903986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46E66082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为应对现金流不足的情况，公司采曾取了多种融资方法，包括：</w:t>
      </w:r>
    </w:p>
    <w:p w14:paraId="45342AB8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1EA53BEB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Secured Term Loans（担保定期贷款）：</w:t>
      </w:r>
    </w:p>
    <w:p w14:paraId="79738574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eastAsiaTheme="minorEastAsia"/>
          <w:lang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3月：Silvergate Bank发行20500万美元2025年有担保定期贷款（浮动利率为SOFR+3.70%，抵押物为约34619枚BTC及500万美元现金储备），净收益20470万美元，主要用于购买BTC（19050万美元），剩余资金用于补充储备及支付相关费用。</w:t>
      </w:r>
    </w:p>
    <w:p w14:paraId="1DAD6612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6月：发行1110万美元有担保定期贷款（固定利率5.2%，抵押物为非BTC资产，2027年到期），资金用于一般经营用途。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 xml:space="preserve"> </w:t>
      </w:r>
    </w:p>
    <w:p w14:paraId="47BB3056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788F9C65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At-The-Market (ATM) Equity Offering（随时市场股权发行）：</w:t>
      </w:r>
    </w:p>
    <w:p w14:paraId="7A0548E5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 xml:space="preserve">9 月：通过 Cowen 和 BTIG 销售 218,575 股 Class A 普通股，得毛收益 46.6M USD（净 46.2M USD）。用于购 BTC (44.6M USD)。程序总额 500M USD，剩余 453.4M USD 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可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 xml:space="preserve">用。 </w:t>
      </w:r>
    </w:p>
    <w:p w14:paraId="3199C9EE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56D58798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其他小额股权：股票期权行使和员工购股计划 (ESPP)，总 5.9M USD。</w:t>
      </w:r>
    </w:p>
    <w:p w14:paraId="3220B9CC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5E8C2972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eastAsiaTheme="minorEastAsia"/>
          <w:lang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总计：2022年融资净现金流达265M USD，以债务和股权为主；6至12月股权总额为49M USD，债务为11M USD。未发行新的Convertible Notes，现有票据仅支付利息4.9M USD（2025 Notes）。</w:t>
      </w:r>
    </w:p>
    <w:p w14:paraId="4315BE1D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767B10EC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上述数据深刻揭示了一个关键事实：在 2022 年加密资产价格深度回调、宏观流动性枯竭的“极寒”环境下，公司的内生现金流完全无法覆盖运营与偿债需求，其生存逻辑高度依赖于外部资本市场的再融资能力。然而，历史数据验证了公司管理层在逆周期中的资本运作韧性——通过灵活运用可转债发行、结构性票据等多种融资工具，公司成功跨越了流动性危机，并未因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价格的短期暴跌而陷入偿付困境。</w:t>
      </w:r>
    </w:p>
    <w:p w14:paraId="0D98CFE8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对比当前 2025-2026 年的市场环境，尽管宏观波动依然存在，但公司的资本结构已显著优化，融资工具箱更为丰富。特别是自动柜员机（ATM）股权融资计划的常态化运用，为公司提供了持续、灵活且低摩擦的资本补充渠道。鉴于 2022 年更为恶劣的市场条件均已通过再融资策略成功化解，当前在拥有更成熟融资机制（尤其是 ATM 额度）支撑的背景下，公司应对潜在市场下行的财务安全边际显著提升，流动性风险整体可控。</w:t>
      </w:r>
    </w:p>
    <w:p w14:paraId="33CDD08C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5DDB0124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6A29CD2B">
      <w:pPr>
        <w:pStyle w:val="2"/>
        <w:keepNext w:val="0"/>
        <w:keepLines w:val="0"/>
        <w:pageBreakBefore w:val="0"/>
        <w:widowControl/>
        <w:suppressLineNumbers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2F0EAB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日前，MicroStrategy（MSTR）公开表示，即便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价格跌至 8,000 美元，公司仍有能力维持运营。本文将拆解其背后的计算逻辑，验证这一说法的可信度。</w:t>
      </w:r>
    </w:p>
    <w:p w14:paraId="53BED5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MSTR使用的是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覆盖比率 (Coverage Ratio) 的计算方法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 xml:space="preserve">。 </w:t>
      </w:r>
    </w:p>
    <w:p w14:paraId="687D75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覆盖比率 = BTC 持仓市场价值 / 净债务 (Net Debt)。</w:t>
      </w:r>
    </w:p>
    <w:p w14:paraId="263D18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这是一个简单的财务指标，用于评估公司在极端市场条件下是否能用其主要资产（BTC）覆盖净负债，而无需立即变现或破产。</w:t>
      </w:r>
    </w:p>
    <w:p w14:paraId="0BF2A9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它不是标准会计比率（如债务覆盖比率），而是 MSTR 特定用于强调其 BTC 策略弹性的自定义指标。公司和分析师使用它来模拟“生存阈值”——即 BTC 价格跌到多低时，资产价值仍能大致匹配债务。</w:t>
      </w:r>
    </w:p>
    <w:p w14:paraId="2E2049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计算过程如下：</w:t>
      </w:r>
    </w:p>
    <w:p w14:paraId="52E83D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现金储备：约22.5亿美元</w:t>
      </w:r>
    </w:p>
    <w:p w14:paraId="6ABEC8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66E888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净债务：82.5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亿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 xml:space="preserve"> - 22.5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亿 = 约60亿美元</w:t>
      </w:r>
    </w:p>
    <w:p w14:paraId="360CFE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606CA3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63AF8A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以8000美元一枚的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来计，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资产价值​ = 717,131 × 8,000 = 约57.4亿美元</w:t>
      </w:r>
    </w:p>
    <w:p w14:paraId="63076B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覆盖比率​ = 57.4 / 60 ≈ 0.96倍</w:t>
      </w:r>
    </w:p>
    <w:p w14:paraId="213910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202150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在这个假设的极端场景下，公司持有的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价值（57.4亿美元）与其净债务（60亿美元）已基本持平，覆盖率为0.96倍</w:t>
      </w: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。</w:t>
      </w: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这个结果意味着，即便价格发生如此大幅的下跌，其核心资产价值仍接近债务水平，财务状况并未被击穿。</w:t>
      </w:r>
    </w:p>
    <w:p w14:paraId="3BC06B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73EE49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FF0000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color w:val="FF0000"/>
          <w:sz w:val="21"/>
          <w:szCs w:val="21"/>
          <w:lang w:val="en-US" w:eastAsia="zh-CN"/>
        </w:rPr>
        <w:t>以上假设是建立在，前文提到的现金储备全部用尽，且BTC资产足以抵押债务的情况下。只要BTC币价高于8k，BTC储备资产足以抵押债务，公司就不会卖币以谋取收益。</w:t>
      </w:r>
    </w:p>
    <w:p w14:paraId="633D5653">
      <w:pPr>
        <w:keepNext w:val="0"/>
        <w:keepLines w:val="0"/>
        <w:pageBreakBefore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043663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/>
        </w:rPr>
      </w:pPr>
    </w:p>
    <w:p w14:paraId="461E4F6A">
      <w:pPr>
        <w:keepNext w:val="0"/>
        <w:keepLines w:val="0"/>
        <w:pageBreakBefore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同业难以复制 MSTR 的 ATM 融资，核心在于时间窗口与熊市生存能力的差异。MSTR 在 2022 年极端熊市中，凭借成熟的可转债结构与深厚的</w:t>
      </w:r>
      <w:bookmarkStart w:id="0" w:name="_GoBack"/>
      <w:bookmarkEnd w:id="0"/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机构信用，成功通过债务再融资度过流动性危机，未发生股权崩盘，从而保留了完整的股权融资渠道。相比之下，多数 DAT 公司起步较晚，缺乏穿越完整牛熊周期的信用记录与复杂资本运作经验。在上一轮危机中，它们往往依赖高成本私募或被迫低价稀释股权求生，导致市场信誉受损。ATM 融资依赖于长期的合规记录与市场信任，这是 MSTR 用数年时间与一次危机应对换来的结构性壁垒，后来者难以短期速成。</w:t>
      </w:r>
    </w:p>
    <w:p w14:paraId="3433FF74">
      <w:pPr>
        <w:keepNext w:val="0"/>
        <w:keepLines w:val="0"/>
        <w:pageBreakBefore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</w:p>
    <w:p w14:paraId="190D8428">
      <w:pPr>
        <w:keepNext w:val="0"/>
        <w:keepLines w:val="0"/>
        <w:pageBreakBefore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MSTR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的财务韧性基于三重实质支撑。第一，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2025年末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 xml:space="preserve">ATM 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带来的现金储备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，当前年度现金支出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，据估算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约占现金储备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约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75%，剩余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25%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缓冲足以支持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公司运营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。第二，债务融资工具多元，即便现金储备耗尽，公司仍可沿用 2022 年熊市中验证过的可转债发行等方案获取流动性。第三，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价格安全边际明确，8,000 美元为关键生存阈值；在此价格之上，公司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BTC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持仓价值可覆盖债务名义本金，</w:t>
      </w:r>
      <w:r>
        <w:rPr>
          <w:rFonts w:hint="eastAsia" w:ascii="Calibri" w:hAnsi="Calibri" w:eastAsia="宋体" w:cs="Calibri"/>
          <w:color w:val="0070C0"/>
          <w:sz w:val="21"/>
          <w:szCs w:val="21"/>
          <w:lang w:val="en-US" w:eastAsia="zh-CN"/>
        </w:rPr>
        <w:t>只要这个阈值稳固，公司就能多次融资</w:t>
      </w:r>
      <w:r>
        <w:rPr>
          <w:rFonts w:hint="default" w:ascii="Calibri" w:hAnsi="Calibri" w:eastAsia="宋体" w:cs="Calibri"/>
          <w:color w:val="0070C0"/>
          <w:sz w:val="21"/>
          <w:szCs w:val="21"/>
          <w:lang w:val="en-US" w:eastAsia="zh-CN"/>
        </w:rPr>
        <w:t>。这三项条件共同保障了公司在不同市场环境下持续获取资金的能力。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29082C"/>
    <w:multiLevelType w:val="singleLevel"/>
    <w:tmpl w:val="D629082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ADB2762"/>
    <w:multiLevelType w:val="singleLevel"/>
    <w:tmpl w:val="7ADB27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E001D"/>
    <w:rsid w:val="20617254"/>
    <w:rsid w:val="28112CC9"/>
    <w:rsid w:val="282C7C96"/>
    <w:rsid w:val="2C650317"/>
    <w:rsid w:val="2D162C9C"/>
    <w:rsid w:val="33DD3E2D"/>
    <w:rsid w:val="34EE7A28"/>
    <w:rsid w:val="47E70B62"/>
    <w:rsid w:val="55682961"/>
    <w:rsid w:val="580C30F0"/>
    <w:rsid w:val="5F764AE2"/>
    <w:rsid w:val="5FA23A48"/>
    <w:rsid w:val="664166AE"/>
    <w:rsid w:val="75CE7617"/>
    <w:rsid w:val="7755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2052</Words>
  <Characters>2625</Characters>
  <Lines>0</Lines>
  <Paragraphs>0</Paragraphs>
  <TotalTime>261</TotalTime>
  <ScaleCrop>false</ScaleCrop>
  <LinksUpToDate>false</LinksUpToDate>
  <CharactersWithSpaces>2726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2026-02-13T09:11:00Z</dcterms:created>
  <dc:creator>peter</dc:creator>
  <cp:lastModifiedBy>满悦</cp:lastModifiedBy>
  <dcterms:modified xsi:type="dcterms:W3CDTF">2026-02-25T12:56:25Z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eyJoZGlkIjoiNDFmNjUwOGQxODA0Y2YxYjMwOWVlY2M0N2JlNDNkZTQiLCJ1c2VySWQiOiIzMjA4NjQ5NjAifQ==</vt:lpwstr>
  </property>
  <property fmtid="{D5CDD505-2E9C-101B-9397-08002B2CF9AE}" pid="4" name="ICV">
    <vt:lpwstr>CA248D4E80C54361AFC7EAEE24EE2AD3_12</vt:lpwstr>
  </property>
</Properties>
</file>