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291" w:rsidRDefault="00127291" w:rsidP="00127291">
      <w:pPr>
        <w:pStyle w:val="Heading1"/>
      </w:pPr>
      <w:bookmarkStart w:id="0" w:name="_Toc497334135"/>
      <w:r>
        <w:t>Capstone Project: Improving Insurance Claims Management</w:t>
      </w:r>
    </w:p>
    <w:p w:rsidR="00127291" w:rsidRDefault="00127291" w:rsidP="00127291">
      <w:r>
        <w:t>Lisa Ang</w:t>
      </w:r>
    </w:p>
    <w:p w:rsidR="00127291" w:rsidRDefault="00127291" w:rsidP="00127291">
      <w:pPr>
        <w:pStyle w:val="Heading2"/>
      </w:pPr>
      <w:r>
        <w:t>Statistics and Data Exploration</w:t>
      </w:r>
    </w:p>
    <w:p w:rsidR="00127291" w:rsidRDefault="00127291" w:rsidP="00127291">
      <w:pPr>
        <w:pStyle w:val="Heading3"/>
      </w:pPr>
      <w:r>
        <w:t>Histograms</w:t>
      </w:r>
      <w:bookmarkEnd w:id="0"/>
    </w:p>
    <w:p w:rsidR="00127291" w:rsidRDefault="00127291" w:rsidP="00127291">
      <w:pPr>
        <w:rPr>
          <w:b/>
        </w:rPr>
      </w:pPr>
      <w:r>
        <w:t xml:space="preserve">To visually explore the remaining numeric and categorical variables for any obvious patterns of variation, histograms of each variable was plotted with </w:t>
      </w:r>
      <w:proofErr w:type="spellStart"/>
      <w:r>
        <w:t>ggplot</w:t>
      </w:r>
      <w:proofErr w:type="spellEnd"/>
      <w:r>
        <w:t>, faceted by the dependent target variable. Based on visual observation, there are variables that may have zero or near zero variance.</w:t>
      </w:r>
    </w:p>
    <w:p w:rsidR="00127291" w:rsidRDefault="00127291" w:rsidP="00127291">
      <w:pPr>
        <w:keepNext/>
      </w:pPr>
      <w:r>
        <w:rPr>
          <w:b/>
          <w:noProof/>
          <w:lang w:eastAsia="en-CA"/>
        </w:rPr>
        <w:drawing>
          <wp:inline distT="0" distB="0" distL="0" distR="0">
            <wp:extent cx="5821761" cy="5124450"/>
            <wp:effectExtent l="19050" t="0" r="7539" b="0"/>
            <wp:docPr id="6" name="Picture 5" descr="trainClaimsNumer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ClaimsNumeric.jpeg"/>
                    <pic:cNvPicPr/>
                  </pic:nvPicPr>
                  <pic:blipFill>
                    <a:blip r:embed="rId4" cstate="print"/>
                    <a:stretch>
                      <a:fillRect/>
                    </a:stretch>
                  </pic:blipFill>
                  <pic:spPr>
                    <a:xfrm>
                      <a:off x="0" y="0"/>
                      <a:ext cx="5827758" cy="5129729"/>
                    </a:xfrm>
                    <a:prstGeom prst="rect">
                      <a:avLst/>
                    </a:prstGeom>
                  </pic:spPr>
                </pic:pic>
              </a:graphicData>
            </a:graphic>
          </wp:inline>
        </w:drawing>
      </w:r>
    </w:p>
    <w:p w:rsidR="00127291" w:rsidRDefault="00127291" w:rsidP="00127291">
      <w:pPr>
        <w:pStyle w:val="Caption"/>
        <w:jc w:val="center"/>
      </w:pPr>
      <w:r>
        <w:t>Figure 1: Distribution of numeric variables v10, v12, v14, v21, v34, v38, v40, v50, v62, v72, v114, v129</w:t>
      </w:r>
    </w:p>
    <w:p w:rsidR="00127291" w:rsidRDefault="00127291" w:rsidP="00127291">
      <w:pPr>
        <w:keepNext/>
        <w:jc w:val="center"/>
      </w:pPr>
      <w:r>
        <w:rPr>
          <w:b/>
          <w:noProof/>
          <w:lang w:eastAsia="en-CA"/>
        </w:rPr>
        <w:lastRenderedPageBreak/>
        <w:drawing>
          <wp:inline distT="0" distB="0" distL="0" distR="0">
            <wp:extent cx="6267450" cy="5276850"/>
            <wp:effectExtent l="19050" t="0" r="0" b="0"/>
            <wp:docPr id="7" name="Picture 6" descr="trainClaimsCat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ClaimsCat15.jpeg"/>
                    <pic:cNvPicPr/>
                  </pic:nvPicPr>
                  <pic:blipFill>
                    <a:blip r:embed="rId5" cstate="print"/>
                    <a:stretch>
                      <a:fillRect/>
                    </a:stretch>
                  </pic:blipFill>
                  <pic:spPr>
                    <a:xfrm>
                      <a:off x="0" y="0"/>
                      <a:ext cx="6272421" cy="5281035"/>
                    </a:xfrm>
                    <a:prstGeom prst="rect">
                      <a:avLst/>
                    </a:prstGeom>
                  </pic:spPr>
                </pic:pic>
              </a:graphicData>
            </a:graphic>
          </wp:inline>
        </w:drawing>
      </w:r>
    </w:p>
    <w:p w:rsidR="00127291" w:rsidRDefault="00127291" w:rsidP="00127291">
      <w:pPr>
        <w:pStyle w:val="Caption"/>
        <w:jc w:val="center"/>
        <w:rPr>
          <w:b w:val="0"/>
        </w:rPr>
      </w:pPr>
      <w:r>
        <w:t>Figure 2: Distribution of categorical variables v3, v24, v30, v31, v47, v52, v66, v71, v74, v75, v91, v107, v110</w:t>
      </w:r>
    </w:p>
    <w:p w:rsidR="00127291" w:rsidRDefault="00127291" w:rsidP="00127291">
      <w:pPr>
        <w:rPr>
          <w:b/>
        </w:rPr>
      </w:pPr>
    </w:p>
    <w:p w:rsidR="00127291" w:rsidRDefault="00127291" w:rsidP="00127291">
      <w:pPr>
        <w:pStyle w:val="Heading3"/>
      </w:pPr>
      <w:bookmarkStart w:id="1" w:name="_Toc497334136"/>
      <w:r>
        <w:t>Correlation analysis of numeric variables</w:t>
      </w:r>
      <w:bookmarkEnd w:id="1"/>
    </w:p>
    <w:p w:rsidR="00127291" w:rsidRDefault="00127291" w:rsidP="00127291">
      <w:r>
        <w:t xml:space="preserve">To estimate </w:t>
      </w:r>
      <w:proofErr w:type="spellStart"/>
      <w:r>
        <w:t>multicollinearity</w:t>
      </w:r>
      <w:proofErr w:type="spellEnd"/>
      <w:r>
        <w:t>, a correlation matrix was generated for the remaining 12 numeric variables (</w:t>
      </w:r>
      <w:r w:rsidRPr="00323F89">
        <w:t xml:space="preserve">v10, v12, v14, v21, v34, v38, v40, v50, v62, v72, </w:t>
      </w:r>
      <w:proofErr w:type="gramStart"/>
      <w:r w:rsidRPr="00323F89">
        <w:t>v114</w:t>
      </w:r>
      <w:proofErr w:type="gramEnd"/>
      <w:r w:rsidRPr="00323F89">
        <w:t>, v129</w:t>
      </w:r>
      <w:r>
        <w:t xml:space="preserve">) to determine if any variables demonstrated a linear dependence that could contribute to </w:t>
      </w:r>
      <w:proofErr w:type="spellStart"/>
      <w:r>
        <w:t>overfitting</w:t>
      </w:r>
      <w:proofErr w:type="spellEnd"/>
      <w:r>
        <w:t xml:space="preserve"> during modelling. Using a </w:t>
      </w:r>
      <w:proofErr w:type="spellStart"/>
      <w:r>
        <w:t>pairwise</w:t>
      </w:r>
      <w:proofErr w:type="spellEnd"/>
      <w:r>
        <w:t xml:space="preserve"> absolute correlation </w:t>
      </w:r>
      <w:proofErr w:type="spellStart"/>
      <w:r>
        <w:t>cutoff</w:t>
      </w:r>
      <w:proofErr w:type="spellEnd"/>
      <w:r>
        <w:t xml:space="preserve"> of 0.75, 4 variables (v10, v14, v34, v40) were identified.</w:t>
      </w:r>
    </w:p>
    <w:p w:rsidR="00127291" w:rsidRDefault="00127291" w:rsidP="00127291">
      <w:pPr>
        <w:pStyle w:val="Heading3"/>
      </w:pPr>
      <w:bookmarkStart w:id="2" w:name="_Toc497334137"/>
      <w:r>
        <w:t>Zero and near-zero variance</w:t>
      </w:r>
      <w:bookmarkEnd w:id="2"/>
    </w:p>
    <w:p w:rsidR="00127291" w:rsidRDefault="00127291" w:rsidP="00127291">
      <w:r>
        <w:t xml:space="preserve">Variables with a single unique value across the data set are typically uninformative and may present problems with model fitting. These can usually be safely removed; however, predictors with very small, non-zero variance across the samples are not necessarily uninformative and may contribute greatly to the model’s accuracy. The remaining 12 numeric and 13 categorical variables were analyzed for zero and near-zero variance using the </w:t>
      </w:r>
      <w:proofErr w:type="spellStart"/>
      <w:proofErr w:type="gramStart"/>
      <w:r>
        <w:t>nearZeroVar</w:t>
      </w:r>
      <w:proofErr w:type="spellEnd"/>
      <w:r>
        <w:t>(</w:t>
      </w:r>
      <w:proofErr w:type="gramEnd"/>
      <w:r>
        <w:t>) from the caret package. No variables had zero variance, but three were identified with variance less than 10%:</w:t>
      </w:r>
    </w:p>
    <w:p w:rsidR="00127291" w:rsidRDefault="00127291" w:rsidP="00127291">
      <w:pPr>
        <w:pStyle w:val="Caption"/>
        <w:keepNext/>
        <w:jc w:val="center"/>
      </w:pPr>
      <w:r>
        <w:lastRenderedPageBreak/>
        <w:t xml:space="preserve">Table </w:t>
      </w:r>
      <w:fldSimple w:instr=" SEQ Table \* ARABIC ">
        <w:r>
          <w:rPr>
            <w:noProof/>
          </w:rPr>
          <w:t>1</w:t>
        </w:r>
      </w:fldSimple>
      <w:r>
        <w:t>: Near-zero variance predictors</w:t>
      </w:r>
    </w:p>
    <w:tbl>
      <w:tblPr>
        <w:tblStyle w:val="LightShading-Accent11"/>
        <w:tblW w:w="5587" w:type="dxa"/>
        <w:jc w:val="center"/>
        <w:tblLook w:val="04A0"/>
      </w:tblPr>
      <w:tblGrid>
        <w:gridCol w:w="960"/>
        <w:gridCol w:w="1100"/>
        <w:gridCol w:w="1607"/>
        <w:gridCol w:w="960"/>
        <w:gridCol w:w="960"/>
      </w:tblGrid>
      <w:tr w:rsidR="00127291" w:rsidRPr="00EE1E34" w:rsidTr="00546C3C">
        <w:trPr>
          <w:cnfStyle w:val="100000000000"/>
          <w:trHeight w:val="300"/>
          <w:jc w:val="center"/>
        </w:trPr>
        <w:tc>
          <w:tcPr>
            <w:cnfStyle w:val="001000000000"/>
            <w:tcW w:w="960" w:type="dxa"/>
            <w:noWrap/>
            <w:hideMark/>
          </w:tcPr>
          <w:p w:rsidR="00127291" w:rsidRPr="00EE1E34" w:rsidRDefault="00127291" w:rsidP="00546C3C">
            <w:pPr>
              <w:rPr>
                <w:rFonts w:eastAsia="Times New Roman" w:cstheme="minorHAnsi"/>
                <w:color w:val="000000"/>
                <w:lang w:eastAsia="en-CA"/>
              </w:rPr>
            </w:pPr>
            <w:r w:rsidRPr="00EE1E34">
              <w:rPr>
                <w:rFonts w:eastAsia="Times New Roman" w:cstheme="minorHAnsi"/>
                <w:color w:val="000000"/>
                <w:lang w:eastAsia="en-CA"/>
              </w:rPr>
              <w:t> </w:t>
            </w:r>
          </w:p>
        </w:tc>
        <w:tc>
          <w:tcPr>
            <w:tcW w:w="1100" w:type="dxa"/>
            <w:noWrap/>
            <w:hideMark/>
          </w:tcPr>
          <w:p w:rsidR="00127291" w:rsidRPr="00EE1E34" w:rsidRDefault="00127291" w:rsidP="00546C3C">
            <w:pPr>
              <w:jc w:val="right"/>
              <w:cnfStyle w:val="100000000000"/>
              <w:rPr>
                <w:rFonts w:eastAsia="Times New Roman" w:cstheme="minorHAnsi"/>
                <w:color w:val="000000"/>
                <w:lang w:eastAsia="en-CA"/>
              </w:rPr>
            </w:pPr>
            <w:proofErr w:type="spellStart"/>
            <w:r w:rsidRPr="00EE1E34">
              <w:rPr>
                <w:rFonts w:eastAsia="Times New Roman" w:cstheme="minorHAnsi"/>
                <w:color w:val="000000"/>
                <w:lang w:eastAsia="en-CA"/>
              </w:rPr>
              <w:t>freqRatio</w:t>
            </w:r>
            <w:proofErr w:type="spellEnd"/>
          </w:p>
        </w:tc>
        <w:tc>
          <w:tcPr>
            <w:tcW w:w="1607" w:type="dxa"/>
            <w:noWrap/>
            <w:hideMark/>
          </w:tcPr>
          <w:p w:rsidR="00127291" w:rsidRPr="00EE1E34" w:rsidRDefault="00127291" w:rsidP="00546C3C">
            <w:pPr>
              <w:jc w:val="right"/>
              <w:cnfStyle w:val="100000000000"/>
              <w:rPr>
                <w:rFonts w:eastAsia="Times New Roman" w:cstheme="minorHAnsi"/>
                <w:color w:val="000000"/>
                <w:lang w:eastAsia="en-CA"/>
              </w:rPr>
            </w:pPr>
            <w:proofErr w:type="spellStart"/>
            <w:r w:rsidRPr="00EE1E34">
              <w:rPr>
                <w:rFonts w:eastAsia="Times New Roman" w:cstheme="minorHAnsi"/>
                <w:color w:val="000000"/>
                <w:lang w:eastAsia="en-CA"/>
              </w:rPr>
              <w:t>percentUnique</w:t>
            </w:r>
            <w:proofErr w:type="spellEnd"/>
          </w:p>
        </w:tc>
        <w:tc>
          <w:tcPr>
            <w:tcW w:w="960" w:type="dxa"/>
            <w:noWrap/>
            <w:hideMark/>
          </w:tcPr>
          <w:p w:rsidR="00127291" w:rsidRPr="00EE1E34" w:rsidRDefault="00127291" w:rsidP="00546C3C">
            <w:pPr>
              <w:jc w:val="right"/>
              <w:cnfStyle w:val="100000000000"/>
              <w:rPr>
                <w:rFonts w:eastAsia="Times New Roman" w:cstheme="minorHAnsi"/>
                <w:color w:val="000000"/>
                <w:lang w:eastAsia="en-CA"/>
              </w:rPr>
            </w:pPr>
            <w:proofErr w:type="spellStart"/>
            <w:r w:rsidRPr="00EE1E34">
              <w:rPr>
                <w:rFonts w:eastAsia="Times New Roman" w:cstheme="minorHAnsi"/>
                <w:color w:val="000000"/>
                <w:lang w:eastAsia="en-CA"/>
              </w:rPr>
              <w:t>zeroVar</w:t>
            </w:r>
            <w:proofErr w:type="spellEnd"/>
          </w:p>
        </w:tc>
        <w:tc>
          <w:tcPr>
            <w:tcW w:w="960" w:type="dxa"/>
            <w:noWrap/>
            <w:hideMark/>
          </w:tcPr>
          <w:p w:rsidR="00127291" w:rsidRPr="00EE1E34" w:rsidRDefault="00127291" w:rsidP="00546C3C">
            <w:pPr>
              <w:jc w:val="right"/>
              <w:cnfStyle w:val="100000000000"/>
              <w:rPr>
                <w:rFonts w:eastAsia="Times New Roman" w:cstheme="minorHAnsi"/>
                <w:color w:val="000000"/>
                <w:lang w:eastAsia="en-CA"/>
              </w:rPr>
            </w:pPr>
            <w:proofErr w:type="spellStart"/>
            <w:r w:rsidRPr="00EE1E34">
              <w:rPr>
                <w:rFonts w:eastAsia="Times New Roman" w:cstheme="minorHAnsi"/>
                <w:color w:val="000000"/>
                <w:lang w:eastAsia="en-CA"/>
              </w:rPr>
              <w:t>nzv</w:t>
            </w:r>
            <w:proofErr w:type="spellEnd"/>
          </w:p>
        </w:tc>
      </w:tr>
      <w:tr w:rsidR="00127291" w:rsidRPr="00EE1E34" w:rsidTr="00546C3C">
        <w:trPr>
          <w:cnfStyle w:val="000000100000"/>
          <w:trHeight w:val="300"/>
          <w:jc w:val="center"/>
        </w:trPr>
        <w:tc>
          <w:tcPr>
            <w:cnfStyle w:val="001000000000"/>
            <w:tcW w:w="960" w:type="dxa"/>
            <w:noWrap/>
            <w:hideMark/>
          </w:tcPr>
          <w:p w:rsidR="00127291" w:rsidRPr="00EE1E34" w:rsidRDefault="00127291" w:rsidP="00546C3C">
            <w:pPr>
              <w:rPr>
                <w:rFonts w:eastAsia="Times New Roman" w:cstheme="minorHAnsi"/>
                <w:color w:val="000000"/>
                <w:lang w:eastAsia="en-CA"/>
              </w:rPr>
            </w:pPr>
            <w:r w:rsidRPr="00EE1E34">
              <w:rPr>
                <w:rFonts w:eastAsia="Times New Roman" w:cstheme="minorHAnsi"/>
                <w:color w:val="000000"/>
                <w:lang w:eastAsia="en-CA"/>
              </w:rPr>
              <w:t>v38</w:t>
            </w:r>
          </w:p>
        </w:tc>
        <w:tc>
          <w:tcPr>
            <w:tcW w:w="110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52.42693</w:t>
            </w:r>
          </w:p>
        </w:tc>
        <w:tc>
          <w:tcPr>
            <w:tcW w:w="1607"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0.020994</w:t>
            </w:r>
          </w:p>
        </w:tc>
        <w:tc>
          <w:tcPr>
            <w:tcW w:w="96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FALSE</w:t>
            </w:r>
          </w:p>
        </w:tc>
        <w:tc>
          <w:tcPr>
            <w:tcW w:w="96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TRUE</w:t>
            </w:r>
          </w:p>
        </w:tc>
      </w:tr>
      <w:tr w:rsidR="00127291" w:rsidRPr="00EE1E34" w:rsidTr="00546C3C">
        <w:trPr>
          <w:trHeight w:val="300"/>
          <w:jc w:val="center"/>
        </w:trPr>
        <w:tc>
          <w:tcPr>
            <w:cnfStyle w:val="001000000000"/>
            <w:tcW w:w="960" w:type="dxa"/>
            <w:noWrap/>
            <w:hideMark/>
          </w:tcPr>
          <w:p w:rsidR="00127291" w:rsidRPr="00EE1E34" w:rsidRDefault="00127291" w:rsidP="00546C3C">
            <w:pPr>
              <w:rPr>
                <w:rFonts w:eastAsia="Times New Roman" w:cstheme="minorHAnsi"/>
                <w:color w:val="000000"/>
                <w:lang w:eastAsia="en-CA"/>
              </w:rPr>
            </w:pPr>
            <w:r w:rsidRPr="00EE1E34">
              <w:rPr>
                <w:rFonts w:eastAsia="Times New Roman" w:cstheme="minorHAnsi"/>
                <w:color w:val="000000"/>
                <w:lang w:eastAsia="en-CA"/>
              </w:rPr>
              <w:t>v3</w:t>
            </w:r>
          </w:p>
        </w:tc>
        <w:tc>
          <w:tcPr>
            <w:tcW w:w="1100" w:type="dxa"/>
            <w:noWrap/>
            <w:hideMark/>
          </w:tcPr>
          <w:p w:rsidR="00127291" w:rsidRPr="00EE1E34" w:rsidRDefault="00127291" w:rsidP="00546C3C">
            <w:pPr>
              <w:jc w:val="right"/>
              <w:cnfStyle w:val="000000000000"/>
              <w:rPr>
                <w:rFonts w:eastAsia="Times New Roman" w:cstheme="minorHAnsi"/>
                <w:color w:val="000000"/>
                <w:lang w:eastAsia="en-CA"/>
              </w:rPr>
            </w:pPr>
            <w:r w:rsidRPr="00EE1E34">
              <w:rPr>
                <w:rFonts w:eastAsia="Times New Roman" w:cstheme="minorHAnsi"/>
                <w:color w:val="000000"/>
                <w:lang w:eastAsia="en-CA"/>
              </w:rPr>
              <w:t>504.6549</w:t>
            </w:r>
          </w:p>
        </w:tc>
        <w:tc>
          <w:tcPr>
            <w:tcW w:w="1607" w:type="dxa"/>
            <w:noWrap/>
            <w:hideMark/>
          </w:tcPr>
          <w:p w:rsidR="00127291" w:rsidRPr="00EE1E34" w:rsidRDefault="00127291" w:rsidP="00546C3C">
            <w:pPr>
              <w:jc w:val="right"/>
              <w:cnfStyle w:val="000000000000"/>
              <w:rPr>
                <w:rFonts w:eastAsia="Times New Roman" w:cstheme="minorHAnsi"/>
                <w:color w:val="000000"/>
                <w:lang w:eastAsia="en-CA"/>
              </w:rPr>
            </w:pPr>
            <w:r w:rsidRPr="00EE1E34">
              <w:rPr>
                <w:rFonts w:eastAsia="Times New Roman" w:cstheme="minorHAnsi"/>
                <w:color w:val="000000"/>
                <w:lang w:eastAsia="en-CA"/>
              </w:rPr>
              <w:t>0.005248</w:t>
            </w:r>
          </w:p>
        </w:tc>
        <w:tc>
          <w:tcPr>
            <w:tcW w:w="960" w:type="dxa"/>
            <w:noWrap/>
            <w:hideMark/>
          </w:tcPr>
          <w:p w:rsidR="00127291" w:rsidRPr="00EE1E34" w:rsidRDefault="00127291" w:rsidP="00546C3C">
            <w:pPr>
              <w:jc w:val="right"/>
              <w:cnfStyle w:val="000000000000"/>
              <w:rPr>
                <w:rFonts w:eastAsia="Times New Roman" w:cstheme="minorHAnsi"/>
                <w:color w:val="000000"/>
                <w:lang w:eastAsia="en-CA"/>
              </w:rPr>
            </w:pPr>
            <w:r w:rsidRPr="00EE1E34">
              <w:rPr>
                <w:rFonts w:eastAsia="Times New Roman" w:cstheme="minorHAnsi"/>
                <w:color w:val="000000"/>
                <w:lang w:eastAsia="en-CA"/>
              </w:rPr>
              <w:t>FALSE</w:t>
            </w:r>
          </w:p>
        </w:tc>
        <w:tc>
          <w:tcPr>
            <w:tcW w:w="960" w:type="dxa"/>
            <w:noWrap/>
            <w:hideMark/>
          </w:tcPr>
          <w:p w:rsidR="00127291" w:rsidRPr="00EE1E34" w:rsidRDefault="00127291" w:rsidP="00546C3C">
            <w:pPr>
              <w:jc w:val="right"/>
              <w:cnfStyle w:val="000000000000"/>
              <w:rPr>
                <w:rFonts w:eastAsia="Times New Roman" w:cstheme="minorHAnsi"/>
                <w:color w:val="000000"/>
                <w:lang w:eastAsia="en-CA"/>
              </w:rPr>
            </w:pPr>
            <w:r w:rsidRPr="00EE1E34">
              <w:rPr>
                <w:rFonts w:eastAsia="Times New Roman" w:cstheme="minorHAnsi"/>
                <w:color w:val="000000"/>
                <w:lang w:eastAsia="en-CA"/>
              </w:rPr>
              <w:t>TRUE</w:t>
            </w:r>
          </w:p>
        </w:tc>
      </w:tr>
      <w:tr w:rsidR="00127291" w:rsidRPr="00EE1E34" w:rsidTr="00546C3C">
        <w:trPr>
          <w:cnfStyle w:val="000000100000"/>
          <w:trHeight w:val="300"/>
          <w:jc w:val="center"/>
        </w:trPr>
        <w:tc>
          <w:tcPr>
            <w:cnfStyle w:val="001000000000"/>
            <w:tcW w:w="960" w:type="dxa"/>
            <w:noWrap/>
            <w:hideMark/>
          </w:tcPr>
          <w:p w:rsidR="00127291" w:rsidRPr="00EE1E34" w:rsidRDefault="00127291" w:rsidP="00546C3C">
            <w:pPr>
              <w:rPr>
                <w:rFonts w:eastAsia="Times New Roman" w:cstheme="minorHAnsi"/>
                <w:color w:val="000000"/>
                <w:lang w:eastAsia="en-CA"/>
              </w:rPr>
            </w:pPr>
            <w:r w:rsidRPr="00EE1E34">
              <w:rPr>
                <w:rFonts w:eastAsia="Times New Roman" w:cstheme="minorHAnsi"/>
                <w:color w:val="000000"/>
                <w:lang w:eastAsia="en-CA"/>
              </w:rPr>
              <w:t>v74</w:t>
            </w:r>
          </w:p>
        </w:tc>
        <w:tc>
          <w:tcPr>
            <w:tcW w:w="110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153</w:t>
            </w:r>
          </w:p>
        </w:tc>
        <w:tc>
          <w:tcPr>
            <w:tcW w:w="1607"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0.005248</w:t>
            </w:r>
          </w:p>
        </w:tc>
        <w:tc>
          <w:tcPr>
            <w:tcW w:w="96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FALSE</w:t>
            </w:r>
          </w:p>
        </w:tc>
        <w:tc>
          <w:tcPr>
            <w:tcW w:w="960" w:type="dxa"/>
            <w:noWrap/>
            <w:hideMark/>
          </w:tcPr>
          <w:p w:rsidR="00127291" w:rsidRPr="00EE1E34" w:rsidRDefault="00127291" w:rsidP="00546C3C">
            <w:pPr>
              <w:jc w:val="right"/>
              <w:cnfStyle w:val="000000100000"/>
              <w:rPr>
                <w:rFonts w:eastAsia="Times New Roman" w:cstheme="minorHAnsi"/>
                <w:color w:val="000000"/>
                <w:lang w:eastAsia="en-CA"/>
              </w:rPr>
            </w:pPr>
            <w:r w:rsidRPr="00EE1E34">
              <w:rPr>
                <w:rFonts w:eastAsia="Times New Roman" w:cstheme="minorHAnsi"/>
                <w:color w:val="000000"/>
                <w:lang w:eastAsia="en-CA"/>
              </w:rPr>
              <w:t>TRUE</w:t>
            </w:r>
          </w:p>
        </w:tc>
      </w:tr>
    </w:tbl>
    <w:p w:rsidR="00CF67CA" w:rsidRDefault="00127291"/>
    <w:p w:rsidR="00127291" w:rsidRDefault="00127291" w:rsidP="00127291">
      <w:pPr>
        <w:pStyle w:val="Heading3"/>
      </w:pPr>
      <w:bookmarkStart w:id="3" w:name="_Toc497334138"/>
      <w:r>
        <w:t>Variable screening by Information Value</w:t>
      </w:r>
      <w:bookmarkEnd w:id="3"/>
    </w:p>
    <w:p w:rsidR="00127291" w:rsidRDefault="00127291" w:rsidP="00127291">
      <w:r>
        <w:t xml:space="preserve">The use of information value (IV) and weight of evidence (WOE) is a very popular screening method for selecting predictor variables for binary classifier models and has been used in the credit scoring world for several decades to classify customer loan repayment probabilities. </w:t>
      </w:r>
    </w:p>
    <w:p w:rsidR="00127291" w:rsidRDefault="00127291" w:rsidP="00127291">
      <w:r>
        <w:t xml:space="preserve">IV and WOE facilitate the consideration of each variable’s independent contribution to the outcome. It can detect linear and nonlinear relationships, enables visualization of the correlation between predictive variables and the dependent variable, and provides a means of ranking variables in terms of </w:t>
      </w:r>
      <w:proofErr w:type="spellStart"/>
      <w:r>
        <w:t>univariate</w:t>
      </w:r>
      <w:proofErr w:type="spellEnd"/>
      <w:r>
        <w:t xml:space="preserve"> strength. For the purposes of this project, IV also enables the comparison between continuous and categorical variables without the need to create dummy variables.</w:t>
      </w:r>
    </w:p>
    <w:p w:rsidR="00127291" w:rsidRPr="003672A1" w:rsidRDefault="00127291" w:rsidP="00127291">
      <w:r>
        <w:t>As IV and WOE were used almost exclusively for credit scoring purposes in its development, the terms “good” and “bad” were historically used for non-events and events, hence IV is defined as:</w:t>
      </w:r>
    </w:p>
    <w:p w:rsidR="00127291" w:rsidRDefault="00127291" w:rsidP="00127291">
      <w:pPr>
        <w:jc w:val="center"/>
      </w:pPr>
      <w:r>
        <w:rPr>
          <w:noProof/>
          <w:lang w:eastAsia="en-CA"/>
        </w:rPr>
        <w:drawing>
          <wp:inline distT="0" distB="0" distL="0" distR="0">
            <wp:extent cx="4000500" cy="180975"/>
            <wp:effectExtent l="19050" t="0" r="0" b="0"/>
            <wp:docPr id="8" name="Picture 1" descr="IV = \sum (Distribution Good_{i}-Distribution Bad_{i})\times WOE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 = \sum (Distribution Good_{i}-Distribution Bad_{i})\times WOE_{i} "/>
                    <pic:cNvPicPr>
                      <a:picLocks noChangeAspect="1" noChangeArrowheads="1"/>
                    </pic:cNvPicPr>
                  </pic:nvPicPr>
                  <pic:blipFill>
                    <a:blip r:embed="rId6" cstate="print"/>
                    <a:srcRect/>
                    <a:stretch>
                      <a:fillRect/>
                    </a:stretch>
                  </pic:blipFill>
                  <pic:spPr bwMode="auto">
                    <a:xfrm>
                      <a:off x="0" y="0"/>
                      <a:ext cx="4000500" cy="180975"/>
                    </a:xfrm>
                    <a:prstGeom prst="rect">
                      <a:avLst/>
                    </a:prstGeom>
                    <a:noFill/>
                    <a:ln w="9525">
                      <a:noFill/>
                      <a:miter lim="800000"/>
                      <a:headEnd/>
                      <a:tailEnd/>
                    </a:ln>
                  </pic:spPr>
                </pic:pic>
              </a:graphicData>
            </a:graphic>
          </wp:inline>
        </w:drawing>
      </w:r>
    </w:p>
    <w:p w:rsidR="00127291" w:rsidRDefault="00127291" w:rsidP="00127291">
      <w:proofErr w:type="gramStart"/>
      <w:r>
        <w:t>where</w:t>
      </w:r>
      <w:proofErr w:type="gramEnd"/>
      <w:r>
        <w:t>:</w:t>
      </w:r>
    </w:p>
    <w:p w:rsidR="00127291" w:rsidRDefault="00127291" w:rsidP="00127291">
      <w:pPr>
        <w:jc w:val="center"/>
      </w:pPr>
      <w:r>
        <w:rPr>
          <w:noProof/>
          <w:lang w:eastAsia="en-CA"/>
        </w:rPr>
        <w:drawing>
          <wp:inline distT="0" distB="0" distL="0" distR="0">
            <wp:extent cx="2686050" cy="204801"/>
            <wp:effectExtent l="19050" t="0" r="0" b="0"/>
            <wp:docPr id="9" name="Picture 4" descr="Weight of Evidence = ln(\frac{Distribution Good_{i}}{Distribution Bad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ight of Evidence = ln(\frac{Distribution Good_{i}}{Distribution Bad_{i}})   "/>
                    <pic:cNvPicPr>
                      <a:picLocks noChangeAspect="1" noChangeArrowheads="1"/>
                    </pic:cNvPicPr>
                  </pic:nvPicPr>
                  <pic:blipFill>
                    <a:blip r:embed="rId7" cstate="print"/>
                    <a:srcRect/>
                    <a:stretch>
                      <a:fillRect/>
                    </a:stretch>
                  </pic:blipFill>
                  <pic:spPr bwMode="auto">
                    <a:xfrm>
                      <a:off x="0" y="0"/>
                      <a:ext cx="2736140" cy="208620"/>
                    </a:xfrm>
                    <a:prstGeom prst="rect">
                      <a:avLst/>
                    </a:prstGeom>
                    <a:noFill/>
                    <a:ln w="9525">
                      <a:noFill/>
                      <a:miter lim="800000"/>
                      <a:headEnd/>
                      <a:tailEnd/>
                    </a:ln>
                  </pic:spPr>
                </pic:pic>
              </a:graphicData>
            </a:graphic>
          </wp:inline>
        </w:drawing>
      </w:r>
    </w:p>
    <w:p w:rsidR="00127291" w:rsidRDefault="00127291" w:rsidP="00127291">
      <w:r>
        <w:t>Briefly, WOE is used to transform a continuous independent variable into a set of groups based on similarity of dependent variable distribution.</w:t>
      </w:r>
      <w:r w:rsidRPr="00920A13">
        <w:rPr>
          <w:vertAlign w:val="superscript"/>
        </w:rPr>
        <w:t xml:space="preserve">6 </w:t>
      </w:r>
      <w:proofErr w:type="gramStart"/>
      <w:r>
        <w:t>The</w:t>
      </w:r>
      <w:proofErr w:type="gramEnd"/>
      <w:r>
        <w:t xml:space="preserve"> continuous independent variables are split into 10 or less bins and WOE calculated for each bin. Adjacent bins with similar scores may be combined.  IV can then be calculated for each independent variable.</w:t>
      </w:r>
    </w:p>
    <w:p w:rsidR="00127291" w:rsidRDefault="00127291" w:rsidP="00127291">
      <w:r>
        <w:t>By convention, the values of the IV statistic can be interpreted by the following table:</w:t>
      </w:r>
    </w:p>
    <w:p w:rsidR="00127291" w:rsidRDefault="00127291" w:rsidP="00127291">
      <w:pPr>
        <w:pStyle w:val="Caption"/>
        <w:keepNext/>
        <w:jc w:val="center"/>
      </w:pPr>
      <w:r>
        <w:t xml:space="preserve">Table </w:t>
      </w:r>
      <w:fldSimple w:instr=" SEQ Table \* ARABIC ">
        <w:r>
          <w:rPr>
            <w:noProof/>
          </w:rPr>
          <w:t>2</w:t>
        </w:r>
      </w:fldSimple>
      <w:r>
        <w:t xml:space="preserve">: </w:t>
      </w:r>
      <w:r w:rsidRPr="005D65D4">
        <w:t xml:space="preserve">IV and variable </w:t>
      </w:r>
      <w:proofErr w:type="spellStart"/>
      <w:r w:rsidRPr="005D65D4">
        <w:t>predictiveness</w:t>
      </w:r>
      <w:proofErr w:type="spellEnd"/>
    </w:p>
    <w:tbl>
      <w:tblPr>
        <w:tblStyle w:val="LightShading-Accent11"/>
        <w:tblW w:w="0" w:type="auto"/>
        <w:jc w:val="center"/>
        <w:tblLook w:val="04A0"/>
      </w:tblPr>
      <w:tblGrid>
        <w:gridCol w:w="1885"/>
        <w:gridCol w:w="2715"/>
      </w:tblGrid>
      <w:tr w:rsidR="00127291" w:rsidTr="00546C3C">
        <w:trPr>
          <w:cnfStyle w:val="100000000000"/>
          <w:jc w:val="center"/>
        </w:trPr>
        <w:tc>
          <w:tcPr>
            <w:cnfStyle w:val="001000000000"/>
            <w:tcW w:w="0" w:type="auto"/>
          </w:tcPr>
          <w:p w:rsidR="00127291" w:rsidRDefault="00127291" w:rsidP="00546C3C">
            <w:r>
              <w:t>Information Value</w:t>
            </w:r>
          </w:p>
        </w:tc>
        <w:tc>
          <w:tcPr>
            <w:tcW w:w="0" w:type="auto"/>
          </w:tcPr>
          <w:p w:rsidR="00127291" w:rsidRDefault="00127291" w:rsidP="00546C3C">
            <w:pPr>
              <w:cnfStyle w:val="100000000000"/>
            </w:pPr>
            <w:r>
              <w:t xml:space="preserve">Variable </w:t>
            </w:r>
            <w:proofErr w:type="spellStart"/>
            <w:r>
              <w:t>Predictiveness</w:t>
            </w:r>
            <w:proofErr w:type="spellEnd"/>
          </w:p>
        </w:tc>
      </w:tr>
      <w:tr w:rsidR="00127291" w:rsidTr="00546C3C">
        <w:trPr>
          <w:cnfStyle w:val="000000100000"/>
          <w:jc w:val="center"/>
        </w:trPr>
        <w:tc>
          <w:tcPr>
            <w:cnfStyle w:val="001000000000"/>
            <w:tcW w:w="0" w:type="auto"/>
          </w:tcPr>
          <w:p w:rsidR="00127291" w:rsidRDefault="00127291" w:rsidP="00546C3C">
            <w:pPr>
              <w:jc w:val="center"/>
            </w:pPr>
            <w:r>
              <w:t>&lt; 0.02</w:t>
            </w:r>
          </w:p>
        </w:tc>
        <w:tc>
          <w:tcPr>
            <w:tcW w:w="0" w:type="auto"/>
          </w:tcPr>
          <w:p w:rsidR="00127291" w:rsidRDefault="00127291" w:rsidP="00546C3C">
            <w:pPr>
              <w:cnfStyle w:val="000000100000"/>
            </w:pPr>
            <w:r>
              <w:t>Not useful for prediction</w:t>
            </w:r>
          </w:p>
        </w:tc>
      </w:tr>
      <w:tr w:rsidR="00127291" w:rsidTr="00546C3C">
        <w:trPr>
          <w:jc w:val="center"/>
        </w:trPr>
        <w:tc>
          <w:tcPr>
            <w:cnfStyle w:val="001000000000"/>
            <w:tcW w:w="0" w:type="auto"/>
          </w:tcPr>
          <w:p w:rsidR="00127291" w:rsidRDefault="00127291" w:rsidP="00546C3C">
            <w:pPr>
              <w:jc w:val="center"/>
            </w:pPr>
            <w:r>
              <w:t>0.02 to 0.1</w:t>
            </w:r>
          </w:p>
        </w:tc>
        <w:tc>
          <w:tcPr>
            <w:tcW w:w="0" w:type="auto"/>
          </w:tcPr>
          <w:p w:rsidR="00127291" w:rsidRDefault="00127291" w:rsidP="00546C3C">
            <w:pPr>
              <w:cnfStyle w:val="000000000000"/>
            </w:pPr>
            <w:r>
              <w:t>Weak predictive power</w:t>
            </w:r>
          </w:p>
        </w:tc>
      </w:tr>
      <w:tr w:rsidR="00127291" w:rsidTr="00546C3C">
        <w:trPr>
          <w:cnfStyle w:val="000000100000"/>
          <w:jc w:val="center"/>
        </w:trPr>
        <w:tc>
          <w:tcPr>
            <w:cnfStyle w:val="001000000000"/>
            <w:tcW w:w="0" w:type="auto"/>
          </w:tcPr>
          <w:p w:rsidR="00127291" w:rsidRDefault="00127291" w:rsidP="00546C3C">
            <w:pPr>
              <w:jc w:val="center"/>
            </w:pPr>
            <w:r>
              <w:t>0.1 to 0.3</w:t>
            </w:r>
          </w:p>
        </w:tc>
        <w:tc>
          <w:tcPr>
            <w:tcW w:w="0" w:type="auto"/>
          </w:tcPr>
          <w:p w:rsidR="00127291" w:rsidRDefault="00127291" w:rsidP="00546C3C">
            <w:pPr>
              <w:cnfStyle w:val="000000100000"/>
            </w:pPr>
            <w:r>
              <w:t>Medium predictive power</w:t>
            </w:r>
          </w:p>
        </w:tc>
      </w:tr>
      <w:tr w:rsidR="00127291" w:rsidTr="00546C3C">
        <w:trPr>
          <w:jc w:val="center"/>
        </w:trPr>
        <w:tc>
          <w:tcPr>
            <w:cnfStyle w:val="001000000000"/>
            <w:tcW w:w="0" w:type="auto"/>
          </w:tcPr>
          <w:p w:rsidR="00127291" w:rsidRDefault="00127291" w:rsidP="00546C3C">
            <w:pPr>
              <w:jc w:val="center"/>
            </w:pPr>
            <w:r>
              <w:t>0.3 to 0.5</w:t>
            </w:r>
          </w:p>
        </w:tc>
        <w:tc>
          <w:tcPr>
            <w:tcW w:w="0" w:type="auto"/>
          </w:tcPr>
          <w:p w:rsidR="00127291" w:rsidRDefault="00127291" w:rsidP="00546C3C">
            <w:pPr>
              <w:cnfStyle w:val="000000000000"/>
            </w:pPr>
            <w:r>
              <w:t>Strong predictive power</w:t>
            </w:r>
          </w:p>
        </w:tc>
      </w:tr>
      <w:tr w:rsidR="00127291" w:rsidTr="00546C3C">
        <w:trPr>
          <w:cnfStyle w:val="000000100000"/>
          <w:jc w:val="center"/>
        </w:trPr>
        <w:tc>
          <w:tcPr>
            <w:cnfStyle w:val="001000000000"/>
            <w:tcW w:w="0" w:type="auto"/>
          </w:tcPr>
          <w:p w:rsidR="00127291" w:rsidRDefault="00127291" w:rsidP="00546C3C">
            <w:pPr>
              <w:jc w:val="center"/>
            </w:pPr>
            <w:r>
              <w:t>&gt;  0.5</w:t>
            </w:r>
          </w:p>
        </w:tc>
        <w:tc>
          <w:tcPr>
            <w:tcW w:w="0" w:type="auto"/>
          </w:tcPr>
          <w:p w:rsidR="00127291" w:rsidRDefault="00127291" w:rsidP="00546C3C">
            <w:pPr>
              <w:cnfStyle w:val="000000100000"/>
            </w:pPr>
            <w:r>
              <w:t>Suspicious predictive power</w:t>
            </w:r>
          </w:p>
        </w:tc>
      </w:tr>
    </w:tbl>
    <w:p w:rsidR="00127291" w:rsidRDefault="00127291" w:rsidP="00127291"/>
    <w:p w:rsidR="00127291" w:rsidRDefault="00127291">
      <w:r>
        <w:br w:type="page"/>
      </w:r>
    </w:p>
    <w:p w:rsidR="00127291" w:rsidRDefault="00127291" w:rsidP="00127291">
      <w:r>
        <w:lastRenderedPageBreak/>
        <w:t>Using the information package, IV was calculated for the numeric variables alone, as well as on a combined set of numeric and categorical variables, both with and without correlated numeric variables identified during correlation analysis. Results were as follows, with highly correlated variables shown in yellow:</w:t>
      </w:r>
    </w:p>
    <w:p w:rsidR="00127291" w:rsidRDefault="00127291" w:rsidP="00127291">
      <w:pPr>
        <w:pStyle w:val="Caption"/>
        <w:keepNext/>
        <w:spacing w:after="120"/>
        <w:jc w:val="center"/>
        <w:sectPr w:rsidR="00127291" w:rsidSect="00127291">
          <w:footerReference w:type="default" r:id="rId8"/>
          <w:pgSz w:w="12240" w:h="15840"/>
          <w:pgMar w:top="907" w:right="907" w:bottom="907" w:left="907" w:header="708" w:footer="708" w:gutter="0"/>
          <w:cols w:space="708"/>
          <w:titlePg/>
          <w:docGrid w:linePitch="360"/>
        </w:sectPr>
      </w:pPr>
    </w:p>
    <w:p w:rsidR="00127291" w:rsidRDefault="00127291" w:rsidP="00127291">
      <w:pPr>
        <w:pStyle w:val="Caption"/>
        <w:keepNext/>
        <w:spacing w:after="120"/>
        <w:jc w:val="center"/>
      </w:pPr>
      <w:r>
        <w:lastRenderedPageBreak/>
        <w:t xml:space="preserve">Table </w:t>
      </w:r>
      <w:fldSimple w:instr=" SEQ Table \* ARABIC ">
        <w:r>
          <w:rPr>
            <w:noProof/>
          </w:rPr>
          <w:t>3</w:t>
        </w:r>
      </w:fldSimple>
      <w:r>
        <w:t>: Numeric variables only, without correlated variables</w:t>
      </w:r>
    </w:p>
    <w:tbl>
      <w:tblPr>
        <w:tblStyle w:val="LightShading-Accent11"/>
        <w:tblW w:w="2330" w:type="dxa"/>
        <w:jc w:val="center"/>
        <w:tblLook w:val="04A0"/>
      </w:tblPr>
      <w:tblGrid>
        <w:gridCol w:w="1100"/>
        <w:gridCol w:w="1276"/>
      </w:tblGrid>
      <w:tr w:rsidR="00127291" w:rsidRPr="00E74184" w:rsidTr="00546C3C">
        <w:trPr>
          <w:cnfStyle w:val="100000000000"/>
          <w:trHeight w:val="315"/>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Variable</w:t>
            </w:r>
          </w:p>
        </w:tc>
        <w:tc>
          <w:tcPr>
            <w:tcW w:w="1230" w:type="dxa"/>
            <w:noWrap/>
            <w:hideMark/>
          </w:tcPr>
          <w:p w:rsidR="00127291" w:rsidRPr="00E74184" w:rsidRDefault="00127291" w:rsidP="00546C3C">
            <w:pPr>
              <w:jc w:val="center"/>
              <w:cnfStyle w:val="100000000000"/>
              <w:rPr>
                <w:lang w:eastAsia="en-CA"/>
              </w:rPr>
            </w:pPr>
            <w:r w:rsidRPr="00E74184">
              <w:rPr>
                <w:lang w:eastAsia="en-CA"/>
              </w:rPr>
              <w:t>IV</w:t>
            </w:r>
          </w:p>
        </w:tc>
      </w:tr>
      <w:tr w:rsidR="00127291" w:rsidRPr="00E74184" w:rsidTr="00546C3C">
        <w:trPr>
          <w:cnfStyle w:val="000000100000"/>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v50</w:t>
            </w:r>
          </w:p>
        </w:tc>
        <w:tc>
          <w:tcPr>
            <w:tcW w:w="1230" w:type="dxa"/>
            <w:noWrap/>
            <w:hideMark/>
          </w:tcPr>
          <w:p w:rsidR="00127291" w:rsidRPr="00E74184" w:rsidRDefault="00127291" w:rsidP="00546C3C">
            <w:pPr>
              <w:jc w:val="center"/>
              <w:cnfStyle w:val="000000100000"/>
              <w:rPr>
                <w:lang w:eastAsia="en-CA"/>
              </w:rPr>
            </w:pPr>
            <w:r w:rsidRPr="00E74184">
              <w:rPr>
                <w:lang w:eastAsia="en-CA"/>
              </w:rPr>
              <w:t>0.46078426</w:t>
            </w:r>
          </w:p>
        </w:tc>
      </w:tr>
      <w:tr w:rsidR="00127291" w:rsidRPr="00E74184" w:rsidTr="00546C3C">
        <w:trPr>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v129</w:t>
            </w:r>
          </w:p>
        </w:tc>
        <w:tc>
          <w:tcPr>
            <w:tcW w:w="1230" w:type="dxa"/>
            <w:noWrap/>
            <w:hideMark/>
          </w:tcPr>
          <w:p w:rsidR="00127291" w:rsidRPr="00E74184" w:rsidRDefault="00127291" w:rsidP="00546C3C">
            <w:pPr>
              <w:jc w:val="center"/>
              <w:cnfStyle w:val="000000000000"/>
              <w:rPr>
                <w:lang w:eastAsia="en-CA"/>
              </w:rPr>
            </w:pPr>
            <w:r w:rsidRPr="00E74184">
              <w:rPr>
                <w:lang w:eastAsia="en-CA"/>
              </w:rPr>
              <w:t>0.17578331</w:t>
            </w:r>
          </w:p>
        </w:tc>
      </w:tr>
      <w:tr w:rsidR="00127291" w:rsidRPr="00E74184" w:rsidTr="00546C3C">
        <w:trPr>
          <w:cnfStyle w:val="000000100000"/>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v62</w:t>
            </w:r>
          </w:p>
        </w:tc>
        <w:tc>
          <w:tcPr>
            <w:tcW w:w="1230" w:type="dxa"/>
            <w:noWrap/>
            <w:hideMark/>
          </w:tcPr>
          <w:p w:rsidR="00127291" w:rsidRPr="00E74184" w:rsidRDefault="00127291" w:rsidP="00546C3C">
            <w:pPr>
              <w:jc w:val="center"/>
              <w:cnfStyle w:val="000000100000"/>
              <w:rPr>
                <w:lang w:eastAsia="en-CA"/>
              </w:rPr>
            </w:pPr>
            <w:r w:rsidRPr="00E74184">
              <w:rPr>
                <w:lang w:eastAsia="en-CA"/>
              </w:rPr>
              <w:t>0.15019944</w:t>
            </w:r>
          </w:p>
        </w:tc>
      </w:tr>
      <w:tr w:rsidR="00127291" w:rsidRPr="00E74184" w:rsidTr="00546C3C">
        <w:trPr>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v12</w:t>
            </w:r>
          </w:p>
        </w:tc>
        <w:tc>
          <w:tcPr>
            <w:tcW w:w="1230" w:type="dxa"/>
            <w:noWrap/>
            <w:hideMark/>
          </w:tcPr>
          <w:p w:rsidR="00127291" w:rsidRPr="00E74184" w:rsidRDefault="00127291" w:rsidP="00546C3C">
            <w:pPr>
              <w:jc w:val="center"/>
              <w:cnfStyle w:val="000000000000"/>
              <w:rPr>
                <w:lang w:eastAsia="en-CA"/>
              </w:rPr>
            </w:pPr>
            <w:r w:rsidRPr="00E74184">
              <w:rPr>
                <w:lang w:eastAsia="en-CA"/>
              </w:rPr>
              <w:t>0.08555659</w:t>
            </w:r>
          </w:p>
        </w:tc>
      </w:tr>
      <w:tr w:rsidR="00127291" w:rsidRPr="00E74184" w:rsidTr="00546C3C">
        <w:trPr>
          <w:cnfStyle w:val="000000100000"/>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v21</w:t>
            </w:r>
          </w:p>
        </w:tc>
        <w:tc>
          <w:tcPr>
            <w:tcW w:w="1230" w:type="dxa"/>
            <w:noWrap/>
            <w:hideMark/>
          </w:tcPr>
          <w:p w:rsidR="00127291" w:rsidRPr="00E74184" w:rsidRDefault="00127291" w:rsidP="00546C3C">
            <w:pPr>
              <w:jc w:val="center"/>
              <w:cnfStyle w:val="000000100000"/>
              <w:rPr>
                <w:lang w:eastAsia="en-CA"/>
              </w:rPr>
            </w:pPr>
            <w:r w:rsidRPr="00E74184">
              <w:rPr>
                <w:lang w:eastAsia="en-CA"/>
              </w:rPr>
              <w:t>0.08513701</w:t>
            </w:r>
          </w:p>
        </w:tc>
      </w:tr>
      <w:tr w:rsidR="00127291" w:rsidRPr="00E74184" w:rsidTr="00546C3C">
        <w:trPr>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v38</w:t>
            </w:r>
          </w:p>
        </w:tc>
        <w:tc>
          <w:tcPr>
            <w:tcW w:w="1230" w:type="dxa"/>
            <w:noWrap/>
            <w:hideMark/>
          </w:tcPr>
          <w:p w:rsidR="00127291" w:rsidRPr="00E74184" w:rsidRDefault="00127291" w:rsidP="00546C3C">
            <w:pPr>
              <w:jc w:val="center"/>
              <w:cnfStyle w:val="000000000000"/>
              <w:rPr>
                <w:lang w:eastAsia="en-CA"/>
              </w:rPr>
            </w:pPr>
            <w:r w:rsidRPr="00E74184">
              <w:rPr>
                <w:lang w:eastAsia="en-CA"/>
              </w:rPr>
              <w:t>0.05434840</w:t>
            </w:r>
          </w:p>
        </w:tc>
      </w:tr>
      <w:tr w:rsidR="00127291" w:rsidRPr="00E74184" w:rsidTr="00546C3C">
        <w:trPr>
          <w:cnfStyle w:val="000000100000"/>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v114</w:t>
            </w:r>
          </w:p>
        </w:tc>
        <w:tc>
          <w:tcPr>
            <w:tcW w:w="1230" w:type="dxa"/>
            <w:noWrap/>
            <w:hideMark/>
          </w:tcPr>
          <w:p w:rsidR="00127291" w:rsidRPr="00E74184" w:rsidRDefault="00127291" w:rsidP="00546C3C">
            <w:pPr>
              <w:jc w:val="center"/>
              <w:cnfStyle w:val="000000100000"/>
              <w:rPr>
                <w:lang w:eastAsia="en-CA"/>
              </w:rPr>
            </w:pPr>
            <w:r w:rsidRPr="00E74184">
              <w:rPr>
                <w:lang w:eastAsia="en-CA"/>
              </w:rPr>
              <w:t>0.03370896</w:t>
            </w:r>
          </w:p>
        </w:tc>
      </w:tr>
      <w:tr w:rsidR="00127291" w:rsidRPr="00E74184" w:rsidTr="00546C3C">
        <w:trPr>
          <w:trHeight w:val="300"/>
          <w:jc w:val="center"/>
        </w:trPr>
        <w:tc>
          <w:tcPr>
            <w:cnfStyle w:val="001000000000"/>
            <w:tcW w:w="1100" w:type="dxa"/>
            <w:noWrap/>
            <w:hideMark/>
          </w:tcPr>
          <w:p w:rsidR="00127291" w:rsidRPr="00E74184" w:rsidRDefault="00127291" w:rsidP="00546C3C">
            <w:pPr>
              <w:jc w:val="center"/>
              <w:rPr>
                <w:lang w:eastAsia="en-CA"/>
              </w:rPr>
            </w:pPr>
            <w:r w:rsidRPr="00E74184">
              <w:rPr>
                <w:lang w:eastAsia="en-CA"/>
              </w:rPr>
              <w:t>v72</w:t>
            </w:r>
          </w:p>
        </w:tc>
        <w:tc>
          <w:tcPr>
            <w:tcW w:w="1230" w:type="dxa"/>
            <w:noWrap/>
            <w:hideMark/>
          </w:tcPr>
          <w:p w:rsidR="00127291" w:rsidRPr="00E74184" w:rsidRDefault="00127291" w:rsidP="00546C3C">
            <w:pPr>
              <w:jc w:val="center"/>
              <w:cnfStyle w:val="000000000000"/>
              <w:rPr>
                <w:lang w:eastAsia="en-CA"/>
              </w:rPr>
            </w:pPr>
            <w:r w:rsidRPr="00E74184">
              <w:rPr>
                <w:lang w:eastAsia="en-CA"/>
              </w:rPr>
              <w:t>0.02830984</w:t>
            </w:r>
          </w:p>
        </w:tc>
      </w:tr>
    </w:tbl>
    <w:p w:rsidR="00127291" w:rsidRDefault="00127291" w:rsidP="00127291"/>
    <w:p w:rsidR="00127291" w:rsidRDefault="00127291" w:rsidP="00127291"/>
    <w:p w:rsidR="00127291" w:rsidRDefault="00127291" w:rsidP="00127291">
      <w:pPr>
        <w:pStyle w:val="Caption"/>
        <w:keepNext/>
        <w:spacing w:after="120"/>
        <w:jc w:val="center"/>
      </w:pPr>
      <w:r>
        <w:lastRenderedPageBreak/>
        <w:t xml:space="preserve">Table </w:t>
      </w:r>
      <w:fldSimple w:instr=" SEQ Table \* ARABIC ">
        <w:r>
          <w:rPr>
            <w:noProof/>
          </w:rPr>
          <w:t>4</w:t>
        </w:r>
      </w:fldSimple>
      <w:r>
        <w:t>: Numeric variables only, with correlated variables</w:t>
      </w:r>
    </w:p>
    <w:tbl>
      <w:tblPr>
        <w:tblStyle w:val="LightShading-Accent11"/>
        <w:tblW w:w="2376" w:type="dxa"/>
        <w:jc w:val="center"/>
        <w:tblLook w:val="04A0"/>
      </w:tblPr>
      <w:tblGrid>
        <w:gridCol w:w="1101"/>
        <w:gridCol w:w="1276"/>
      </w:tblGrid>
      <w:tr w:rsidR="00127291" w:rsidRPr="00E74184" w:rsidTr="00546C3C">
        <w:trPr>
          <w:cnfStyle w:val="100000000000"/>
          <w:trHeight w:val="315"/>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Variable</w:t>
            </w:r>
          </w:p>
        </w:tc>
        <w:tc>
          <w:tcPr>
            <w:tcW w:w="1275" w:type="dxa"/>
            <w:noWrap/>
            <w:hideMark/>
          </w:tcPr>
          <w:p w:rsidR="00127291" w:rsidRPr="004E033E" w:rsidRDefault="00127291" w:rsidP="00546C3C">
            <w:pPr>
              <w:jc w:val="center"/>
              <w:cnfStyle w:val="100000000000"/>
              <w:rPr>
                <w:lang w:eastAsia="en-CA"/>
              </w:rPr>
            </w:pPr>
            <w:r w:rsidRPr="004E033E">
              <w:rPr>
                <w:lang w:eastAsia="en-CA"/>
              </w:rPr>
              <w:t>IV</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v50</w:t>
            </w:r>
          </w:p>
        </w:tc>
        <w:tc>
          <w:tcPr>
            <w:tcW w:w="1275" w:type="dxa"/>
            <w:noWrap/>
            <w:hideMark/>
          </w:tcPr>
          <w:p w:rsidR="00127291" w:rsidRPr="004E033E" w:rsidRDefault="00127291" w:rsidP="00546C3C">
            <w:pPr>
              <w:jc w:val="center"/>
              <w:cnfStyle w:val="000000100000"/>
              <w:rPr>
                <w:lang w:eastAsia="en-CA"/>
              </w:rPr>
            </w:pPr>
            <w:r w:rsidRPr="004E033E">
              <w:rPr>
                <w:lang w:eastAsia="en-CA"/>
              </w:rPr>
              <w:t>0.46078426</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v129</w:t>
            </w:r>
          </w:p>
        </w:tc>
        <w:tc>
          <w:tcPr>
            <w:tcW w:w="1275" w:type="dxa"/>
            <w:noWrap/>
            <w:hideMark/>
          </w:tcPr>
          <w:p w:rsidR="00127291" w:rsidRPr="004E033E" w:rsidRDefault="00127291" w:rsidP="00546C3C">
            <w:pPr>
              <w:jc w:val="center"/>
              <w:cnfStyle w:val="000000000000"/>
              <w:rPr>
                <w:lang w:eastAsia="en-CA"/>
              </w:rPr>
            </w:pPr>
            <w:r w:rsidRPr="004E033E">
              <w:rPr>
                <w:lang w:eastAsia="en-CA"/>
              </w:rPr>
              <w:t>0.17578331</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highlight w:val="yellow"/>
                <w:lang w:eastAsia="en-CA"/>
              </w:rPr>
              <w:t>v10</w:t>
            </w:r>
          </w:p>
        </w:tc>
        <w:tc>
          <w:tcPr>
            <w:tcW w:w="1275" w:type="dxa"/>
            <w:noWrap/>
            <w:hideMark/>
          </w:tcPr>
          <w:p w:rsidR="00127291" w:rsidRPr="004E033E" w:rsidRDefault="00127291" w:rsidP="00546C3C">
            <w:pPr>
              <w:jc w:val="center"/>
              <w:cnfStyle w:val="000000100000"/>
              <w:rPr>
                <w:lang w:eastAsia="en-CA"/>
              </w:rPr>
            </w:pPr>
            <w:r w:rsidRPr="004E033E">
              <w:rPr>
                <w:lang w:eastAsia="en-CA"/>
              </w:rPr>
              <w:t>0.16512801</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v62</w:t>
            </w:r>
          </w:p>
        </w:tc>
        <w:tc>
          <w:tcPr>
            <w:tcW w:w="1275" w:type="dxa"/>
            <w:noWrap/>
            <w:hideMark/>
          </w:tcPr>
          <w:p w:rsidR="00127291" w:rsidRPr="004E033E" w:rsidRDefault="00127291" w:rsidP="00546C3C">
            <w:pPr>
              <w:jc w:val="center"/>
              <w:cnfStyle w:val="000000000000"/>
              <w:rPr>
                <w:lang w:eastAsia="en-CA"/>
              </w:rPr>
            </w:pPr>
            <w:r w:rsidRPr="004E033E">
              <w:rPr>
                <w:lang w:eastAsia="en-CA"/>
              </w:rPr>
              <w:t>0.15019944</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highlight w:val="yellow"/>
                <w:lang w:eastAsia="en-CA"/>
              </w:rPr>
              <w:t>v14</w:t>
            </w:r>
          </w:p>
        </w:tc>
        <w:tc>
          <w:tcPr>
            <w:tcW w:w="1275" w:type="dxa"/>
            <w:noWrap/>
            <w:hideMark/>
          </w:tcPr>
          <w:p w:rsidR="00127291" w:rsidRPr="004E033E" w:rsidRDefault="00127291" w:rsidP="00546C3C">
            <w:pPr>
              <w:jc w:val="center"/>
              <w:cnfStyle w:val="000000100000"/>
              <w:rPr>
                <w:lang w:eastAsia="en-CA"/>
              </w:rPr>
            </w:pPr>
            <w:r w:rsidRPr="004E033E">
              <w:rPr>
                <w:lang w:eastAsia="en-CA"/>
              </w:rPr>
              <w:t>0.13765286</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v12</w:t>
            </w:r>
          </w:p>
        </w:tc>
        <w:tc>
          <w:tcPr>
            <w:tcW w:w="1275" w:type="dxa"/>
            <w:noWrap/>
            <w:hideMark/>
          </w:tcPr>
          <w:p w:rsidR="00127291" w:rsidRPr="004E033E" w:rsidRDefault="00127291" w:rsidP="00546C3C">
            <w:pPr>
              <w:jc w:val="center"/>
              <w:cnfStyle w:val="000000000000"/>
              <w:rPr>
                <w:lang w:eastAsia="en-CA"/>
              </w:rPr>
            </w:pPr>
            <w:r w:rsidRPr="004E033E">
              <w:rPr>
                <w:lang w:eastAsia="en-CA"/>
              </w:rPr>
              <w:t>0.08555659</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v21</w:t>
            </w:r>
          </w:p>
        </w:tc>
        <w:tc>
          <w:tcPr>
            <w:tcW w:w="1275" w:type="dxa"/>
            <w:noWrap/>
            <w:hideMark/>
          </w:tcPr>
          <w:p w:rsidR="00127291" w:rsidRPr="004E033E" w:rsidRDefault="00127291" w:rsidP="00546C3C">
            <w:pPr>
              <w:jc w:val="center"/>
              <w:cnfStyle w:val="000000100000"/>
              <w:rPr>
                <w:lang w:eastAsia="en-CA"/>
              </w:rPr>
            </w:pPr>
            <w:r w:rsidRPr="004E033E">
              <w:rPr>
                <w:lang w:eastAsia="en-CA"/>
              </w:rPr>
              <w:t>0.08513701</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highlight w:val="yellow"/>
                <w:lang w:eastAsia="en-CA"/>
              </w:rPr>
              <w:t>v34</w:t>
            </w:r>
          </w:p>
        </w:tc>
        <w:tc>
          <w:tcPr>
            <w:tcW w:w="1275" w:type="dxa"/>
            <w:noWrap/>
            <w:hideMark/>
          </w:tcPr>
          <w:p w:rsidR="00127291" w:rsidRPr="004E033E" w:rsidRDefault="00127291" w:rsidP="00546C3C">
            <w:pPr>
              <w:jc w:val="center"/>
              <w:cnfStyle w:val="000000000000"/>
              <w:rPr>
                <w:lang w:eastAsia="en-CA"/>
              </w:rPr>
            </w:pPr>
            <w:r w:rsidRPr="004E033E">
              <w:rPr>
                <w:lang w:eastAsia="en-CA"/>
              </w:rPr>
              <w:t>0.05674745</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v38</w:t>
            </w:r>
          </w:p>
        </w:tc>
        <w:tc>
          <w:tcPr>
            <w:tcW w:w="1275" w:type="dxa"/>
            <w:noWrap/>
            <w:hideMark/>
          </w:tcPr>
          <w:p w:rsidR="00127291" w:rsidRPr="004E033E" w:rsidRDefault="00127291" w:rsidP="00546C3C">
            <w:pPr>
              <w:jc w:val="center"/>
              <w:cnfStyle w:val="000000100000"/>
              <w:rPr>
                <w:lang w:eastAsia="en-CA"/>
              </w:rPr>
            </w:pPr>
            <w:r w:rsidRPr="004E033E">
              <w:rPr>
                <w:lang w:eastAsia="en-CA"/>
              </w:rPr>
              <w:t>0.05434840</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v114</w:t>
            </w:r>
          </w:p>
        </w:tc>
        <w:tc>
          <w:tcPr>
            <w:tcW w:w="1275" w:type="dxa"/>
            <w:noWrap/>
            <w:hideMark/>
          </w:tcPr>
          <w:p w:rsidR="00127291" w:rsidRPr="004E033E" w:rsidRDefault="00127291" w:rsidP="00546C3C">
            <w:pPr>
              <w:jc w:val="center"/>
              <w:cnfStyle w:val="000000000000"/>
              <w:rPr>
                <w:lang w:eastAsia="en-CA"/>
              </w:rPr>
            </w:pPr>
            <w:r w:rsidRPr="004E033E">
              <w:rPr>
                <w:lang w:eastAsia="en-CA"/>
              </w:rPr>
              <w:t>0.03370896</w:t>
            </w:r>
          </w:p>
        </w:tc>
      </w:tr>
      <w:tr w:rsidR="00127291" w:rsidRPr="00E74184" w:rsidTr="00546C3C">
        <w:trPr>
          <w:cnfStyle w:val="000000100000"/>
          <w:trHeight w:val="300"/>
          <w:jc w:val="center"/>
        </w:trPr>
        <w:tc>
          <w:tcPr>
            <w:cnfStyle w:val="001000000000"/>
            <w:tcW w:w="1101" w:type="dxa"/>
            <w:noWrap/>
            <w:hideMark/>
          </w:tcPr>
          <w:p w:rsidR="00127291" w:rsidRPr="004E033E" w:rsidRDefault="00127291" w:rsidP="00546C3C">
            <w:pPr>
              <w:jc w:val="center"/>
              <w:rPr>
                <w:lang w:eastAsia="en-CA"/>
              </w:rPr>
            </w:pPr>
            <w:r w:rsidRPr="004E033E">
              <w:rPr>
                <w:lang w:eastAsia="en-CA"/>
              </w:rPr>
              <w:t>v72</w:t>
            </w:r>
          </w:p>
        </w:tc>
        <w:tc>
          <w:tcPr>
            <w:tcW w:w="1275" w:type="dxa"/>
            <w:noWrap/>
            <w:hideMark/>
          </w:tcPr>
          <w:p w:rsidR="00127291" w:rsidRPr="004E033E" w:rsidRDefault="00127291" w:rsidP="00546C3C">
            <w:pPr>
              <w:jc w:val="center"/>
              <w:cnfStyle w:val="000000100000"/>
              <w:rPr>
                <w:lang w:eastAsia="en-CA"/>
              </w:rPr>
            </w:pPr>
            <w:r w:rsidRPr="004E033E">
              <w:rPr>
                <w:lang w:eastAsia="en-CA"/>
              </w:rPr>
              <w:t>0.02830984</w:t>
            </w:r>
          </w:p>
        </w:tc>
      </w:tr>
      <w:tr w:rsidR="00127291" w:rsidRPr="00E74184" w:rsidTr="00546C3C">
        <w:trPr>
          <w:trHeight w:val="300"/>
          <w:jc w:val="center"/>
        </w:trPr>
        <w:tc>
          <w:tcPr>
            <w:cnfStyle w:val="001000000000"/>
            <w:tcW w:w="1101" w:type="dxa"/>
            <w:noWrap/>
            <w:hideMark/>
          </w:tcPr>
          <w:p w:rsidR="00127291" w:rsidRPr="004E033E" w:rsidRDefault="00127291" w:rsidP="00546C3C">
            <w:pPr>
              <w:jc w:val="center"/>
              <w:rPr>
                <w:lang w:eastAsia="en-CA"/>
              </w:rPr>
            </w:pPr>
            <w:r w:rsidRPr="004E033E">
              <w:rPr>
                <w:highlight w:val="yellow"/>
                <w:lang w:eastAsia="en-CA"/>
              </w:rPr>
              <w:t>v40</w:t>
            </w:r>
          </w:p>
        </w:tc>
        <w:tc>
          <w:tcPr>
            <w:tcW w:w="1275" w:type="dxa"/>
            <w:noWrap/>
            <w:hideMark/>
          </w:tcPr>
          <w:p w:rsidR="00127291" w:rsidRPr="004E033E" w:rsidRDefault="00127291" w:rsidP="00546C3C">
            <w:pPr>
              <w:jc w:val="center"/>
              <w:cnfStyle w:val="000000000000"/>
              <w:rPr>
                <w:lang w:eastAsia="en-CA"/>
              </w:rPr>
            </w:pPr>
            <w:r w:rsidRPr="004E033E">
              <w:rPr>
                <w:lang w:eastAsia="en-CA"/>
              </w:rPr>
              <w:t>0.01364609</w:t>
            </w:r>
          </w:p>
        </w:tc>
      </w:tr>
    </w:tbl>
    <w:p w:rsidR="00127291" w:rsidRDefault="00127291" w:rsidP="00127291"/>
    <w:p w:rsidR="00127291" w:rsidRDefault="00127291" w:rsidP="00127291">
      <w:pPr>
        <w:sectPr w:rsidR="00127291" w:rsidSect="00FB3394">
          <w:type w:val="continuous"/>
          <w:pgSz w:w="12240" w:h="15840"/>
          <w:pgMar w:top="1440" w:right="1440" w:bottom="1440" w:left="1440" w:header="708" w:footer="708" w:gutter="0"/>
          <w:cols w:num="2" w:space="708"/>
          <w:titlePg/>
          <w:docGrid w:linePitch="360"/>
        </w:sectPr>
      </w:pPr>
    </w:p>
    <w:p w:rsidR="00127291" w:rsidRDefault="00127291" w:rsidP="00127291">
      <w:pPr>
        <w:pStyle w:val="Caption"/>
        <w:keepNext/>
        <w:spacing w:after="120"/>
        <w:jc w:val="center"/>
      </w:pPr>
      <w:r>
        <w:lastRenderedPageBreak/>
        <w:t xml:space="preserve">Table </w:t>
      </w:r>
      <w:fldSimple w:instr=" SEQ Table \* ARABIC ">
        <w:r>
          <w:rPr>
            <w:noProof/>
          </w:rPr>
          <w:t>5</w:t>
        </w:r>
      </w:fldSimple>
      <w:r>
        <w:t>: Top 15 Numeric and categorical variables, without correlated variables</w:t>
      </w:r>
    </w:p>
    <w:tbl>
      <w:tblPr>
        <w:tblStyle w:val="LightShading-Accent11"/>
        <w:tblW w:w="2411" w:type="dxa"/>
        <w:jc w:val="center"/>
        <w:tblLook w:val="04A0"/>
      </w:tblPr>
      <w:tblGrid>
        <w:gridCol w:w="1135"/>
        <w:gridCol w:w="1276"/>
      </w:tblGrid>
      <w:tr w:rsidR="00127291" w:rsidRPr="00FB3394" w:rsidTr="00546C3C">
        <w:trPr>
          <w:cnfStyle w:val="100000000000"/>
          <w:trHeight w:val="315"/>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Variable</w:t>
            </w:r>
          </w:p>
        </w:tc>
        <w:tc>
          <w:tcPr>
            <w:tcW w:w="1276" w:type="dxa"/>
            <w:noWrap/>
            <w:hideMark/>
          </w:tcPr>
          <w:p w:rsidR="00127291" w:rsidRPr="004E033E" w:rsidRDefault="00127291" w:rsidP="00546C3C">
            <w:pPr>
              <w:jc w:val="center"/>
              <w:cnfStyle w:val="100000000000"/>
              <w:rPr>
                <w:lang w:eastAsia="en-CA"/>
              </w:rPr>
            </w:pPr>
            <w:r w:rsidRPr="004E033E">
              <w:rPr>
                <w:lang w:eastAsia="en-CA"/>
              </w:rPr>
              <w:t>IV</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v50</w:t>
            </w:r>
          </w:p>
        </w:tc>
        <w:tc>
          <w:tcPr>
            <w:tcW w:w="1276" w:type="dxa"/>
            <w:noWrap/>
            <w:hideMark/>
          </w:tcPr>
          <w:p w:rsidR="00127291" w:rsidRPr="004E033E" w:rsidRDefault="00127291" w:rsidP="00546C3C">
            <w:pPr>
              <w:jc w:val="center"/>
              <w:cnfStyle w:val="000000100000"/>
              <w:rPr>
                <w:lang w:eastAsia="en-CA"/>
              </w:rPr>
            </w:pPr>
            <w:r w:rsidRPr="004E033E">
              <w:rPr>
                <w:lang w:eastAsia="en-CA"/>
              </w:rPr>
              <w:t>0.46078430</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v31</w:t>
            </w:r>
          </w:p>
        </w:tc>
        <w:tc>
          <w:tcPr>
            <w:tcW w:w="1276" w:type="dxa"/>
            <w:noWrap/>
            <w:hideMark/>
          </w:tcPr>
          <w:p w:rsidR="00127291" w:rsidRPr="004E033E" w:rsidRDefault="00127291" w:rsidP="00546C3C">
            <w:pPr>
              <w:jc w:val="center"/>
              <w:cnfStyle w:val="000000000000"/>
              <w:rPr>
                <w:lang w:eastAsia="en-CA"/>
              </w:rPr>
            </w:pPr>
            <w:r w:rsidRPr="004E033E">
              <w:rPr>
                <w:lang w:eastAsia="en-CA"/>
              </w:rPr>
              <w:t>0.23007160</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v129</w:t>
            </w:r>
          </w:p>
        </w:tc>
        <w:tc>
          <w:tcPr>
            <w:tcW w:w="1276" w:type="dxa"/>
            <w:noWrap/>
            <w:hideMark/>
          </w:tcPr>
          <w:p w:rsidR="00127291" w:rsidRPr="004E033E" w:rsidRDefault="00127291" w:rsidP="00546C3C">
            <w:pPr>
              <w:jc w:val="center"/>
              <w:cnfStyle w:val="000000100000"/>
              <w:rPr>
                <w:lang w:eastAsia="en-CA"/>
              </w:rPr>
            </w:pPr>
            <w:r w:rsidRPr="004E033E">
              <w:rPr>
                <w:lang w:eastAsia="en-CA"/>
              </w:rPr>
              <w:t>0.17578330</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v47</w:t>
            </w:r>
          </w:p>
        </w:tc>
        <w:tc>
          <w:tcPr>
            <w:tcW w:w="1276" w:type="dxa"/>
            <w:noWrap/>
            <w:hideMark/>
          </w:tcPr>
          <w:p w:rsidR="00127291" w:rsidRPr="004E033E" w:rsidRDefault="00127291" w:rsidP="00546C3C">
            <w:pPr>
              <w:jc w:val="center"/>
              <w:cnfStyle w:val="000000000000"/>
              <w:rPr>
                <w:lang w:eastAsia="en-CA"/>
              </w:rPr>
            </w:pPr>
            <w:r w:rsidRPr="004E033E">
              <w:rPr>
                <w:lang w:eastAsia="en-CA"/>
              </w:rPr>
              <w:t>0.15995130</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v110</w:t>
            </w:r>
          </w:p>
        </w:tc>
        <w:tc>
          <w:tcPr>
            <w:tcW w:w="1276" w:type="dxa"/>
            <w:noWrap/>
            <w:hideMark/>
          </w:tcPr>
          <w:p w:rsidR="00127291" w:rsidRPr="004E033E" w:rsidRDefault="00127291" w:rsidP="00546C3C">
            <w:pPr>
              <w:jc w:val="center"/>
              <w:cnfStyle w:val="000000100000"/>
              <w:rPr>
                <w:lang w:eastAsia="en-CA"/>
              </w:rPr>
            </w:pPr>
            <w:r w:rsidRPr="004E033E">
              <w:rPr>
                <w:lang w:eastAsia="en-CA"/>
              </w:rPr>
              <w:t>0.15103240</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v62</w:t>
            </w:r>
          </w:p>
        </w:tc>
        <w:tc>
          <w:tcPr>
            <w:tcW w:w="1276" w:type="dxa"/>
            <w:noWrap/>
            <w:hideMark/>
          </w:tcPr>
          <w:p w:rsidR="00127291" w:rsidRPr="004E033E" w:rsidRDefault="00127291" w:rsidP="00546C3C">
            <w:pPr>
              <w:jc w:val="center"/>
              <w:cnfStyle w:val="000000000000"/>
              <w:rPr>
                <w:lang w:eastAsia="en-CA"/>
              </w:rPr>
            </w:pPr>
            <w:r w:rsidRPr="004E033E">
              <w:rPr>
                <w:lang w:eastAsia="en-CA"/>
              </w:rPr>
              <w:t>0.15019940</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v66</w:t>
            </w:r>
          </w:p>
        </w:tc>
        <w:tc>
          <w:tcPr>
            <w:tcW w:w="1276" w:type="dxa"/>
            <w:noWrap/>
            <w:hideMark/>
          </w:tcPr>
          <w:p w:rsidR="00127291" w:rsidRPr="004E033E" w:rsidRDefault="00127291" w:rsidP="00546C3C">
            <w:pPr>
              <w:jc w:val="center"/>
              <w:cnfStyle w:val="000000100000"/>
              <w:rPr>
                <w:lang w:eastAsia="en-CA"/>
              </w:rPr>
            </w:pPr>
            <w:r w:rsidRPr="004E033E">
              <w:rPr>
                <w:lang w:eastAsia="en-CA"/>
              </w:rPr>
              <w:t>0.12845110</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v12</w:t>
            </w:r>
          </w:p>
        </w:tc>
        <w:tc>
          <w:tcPr>
            <w:tcW w:w="1276" w:type="dxa"/>
            <w:noWrap/>
            <w:hideMark/>
          </w:tcPr>
          <w:p w:rsidR="00127291" w:rsidRPr="004E033E" w:rsidRDefault="00127291" w:rsidP="00546C3C">
            <w:pPr>
              <w:jc w:val="center"/>
              <w:cnfStyle w:val="000000000000"/>
              <w:rPr>
                <w:lang w:eastAsia="en-CA"/>
              </w:rPr>
            </w:pPr>
            <w:r w:rsidRPr="004E033E">
              <w:rPr>
                <w:lang w:eastAsia="en-CA"/>
              </w:rPr>
              <w:t>0.08555659</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v21</w:t>
            </w:r>
          </w:p>
        </w:tc>
        <w:tc>
          <w:tcPr>
            <w:tcW w:w="1276" w:type="dxa"/>
            <w:noWrap/>
            <w:hideMark/>
          </w:tcPr>
          <w:p w:rsidR="00127291" w:rsidRPr="004E033E" w:rsidRDefault="00127291" w:rsidP="00546C3C">
            <w:pPr>
              <w:jc w:val="center"/>
              <w:cnfStyle w:val="000000100000"/>
              <w:rPr>
                <w:lang w:eastAsia="en-CA"/>
              </w:rPr>
            </w:pPr>
            <w:r w:rsidRPr="004E033E">
              <w:rPr>
                <w:lang w:eastAsia="en-CA"/>
              </w:rPr>
              <w:t>0.08513701</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v38</w:t>
            </w:r>
          </w:p>
        </w:tc>
        <w:tc>
          <w:tcPr>
            <w:tcW w:w="1276" w:type="dxa"/>
            <w:noWrap/>
            <w:hideMark/>
          </w:tcPr>
          <w:p w:rsidR="00127291" w:rsidRPr="004E033E" w:rsidRDefault="00127291" w:rsidP="00546C3C">
            <w:pPr>
              <w:jc w:val="center"/>
              <w:cnfStyle w:val="000000000000"/>
              <w:rPr>
                <w:lang w:eastAsia="en-CA"/>
              </w:rPr>
            </w:pPr>
            <w:r w:rsidRPr="004E033E">
              <w:rPr>
                <w:lang w:eastAsia="en-CA"/>
              </w:rPr>
              <w:t>0.05434840</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v114</w:t>
            </w:r>
          </w:p>
        </w:tc>
        <w:tc>
          <w:tcPr>
            <w:tcW w:w="1276" w:type="dxa"/>
            <w:noWrap/>
            <w:hideMark/>
          </w:tcPr>
          <w:p w:rsidR="00127291" w:rsidRPr="004E033E" w:rsidRDefault="00127291" w:rsidP="00546C3C">
            <w:pPr>
              <w:jc w:val="center"/>
              <w:cnfStyle w:val="000000100000"/>
              <w:rPr>
                <w:lang w:eastAsia="en-CA"/>
              </w:rPr>
            </w:pPr>
            <w:r w:rsidRPr="004E033E">
              <w:rPr>
                <w:lang w:eastAsia="en-CA"/>
              </w:rPr>
              <w:t>0.03370896</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v72</w:t>
            </w:r>
          </w:p>
        </w:tc>
        <w:tc>
          <w:tcPr>
            <w:tcW w:w="1276" w:type="dxa"/>
            <w:noWrap/>
            <w:hideMark/>
          </w:tcPr>
          <w:p w:rsidR="00127291" w:rsidRPr="004E033E" w:rsidRDefault="00127291" w:rsidP="00546C3C">
            <w:pPr>
              <w:jc w:val="center"/>
              <w:cnfStyle w:val="000000000000"/>
              <w:rPr>
                <w:lang w:eastAsia="en-CA"/>
              </w:rPr>
            </w:pPr>
            <w:r w:rsidRPr="004E033E">
              <w:rPr>
                <w:lang w:eastAsia="en-CA"/>
              </w:rPr>
              <w:t>0.02830984</w:t>
            </w:r>
          </w:p>
        </w:tc>
      </w:tr>
      <w:tr w:rsidR="00127291" w:rsidRPr="00FB3394" w:rsidTr="00546C3C">
        <w:trPr>
          <w:cnfStyle w:val="000000100000"/>
          <w:trHeight w:val="315"/>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v24</w:t>
            </w:r>
          </w:p>
        </w:tc>
        <w:tc>
          <w:tcPr>
            <w:tcW w:w="1276" w:type="dxa"/>
            <w:noWrap/>
            <w:hideMark/>
          </w:tcPr>
          <w:p w:rsidR="00127291" w:rsidRPr="004E033E" w:rsidRDefault="00127291" w:rsidP="00546C3C">
            <w:pPr>
              <w:jc w:val="center"/>
              <w:cnfStyle w:val="000000100000"/>
              <w:rPr>
                <w:lang w:eastAsia="en-CA"/>
              </w:rPr>
            </w:pPr>
            <w:r w:rsidRPr="004E033E">
              <w:rPr>
                <w:lang w:eastAsia="en-CA"/>
              </w:rPr>
              <w:t>0.01337383</w:t>
            </w:r>
          </w:p>
        </w:tc>
      </w:tr>
      <w:tr w:rsidR="00127291" w:rsidRPr="00FB3394" w:rsidTr="00546C3C">
        <w:trPr>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v30</w:t>
            </w:r>
          </w:p>
        </w:tc>
        <w:tc>
          <w:tcPr>
            <w:tcW w:w="1276" w:type="dxa"/>
            <w:noWrap/>
            <w:hideMark/>
          </w:tcPr>
          <w:p w:rsidR="00127291" w:rsidRPr="004E033E" w:rsidRDefault="00127291" w:rsidP="00546C3C">
            <w:pPr>
              <w:jc w:val="center"/>
              <w:cnfStyle w:val="000000000000"/>
              <w:rPr>
                <w:lang w:eastAsia="en-CA"/>
              </w:rPr>
            </w:pPr>
            <w:r w:rsidRPr="004E033E">
              <w:rPr>
                <w:lang w:eastAsia="en-CA"/>
              </w:rPr>
              <w:t>0.01130699</w:t>
            </w:r>
          </w:p>
        </w:tc>
      </w:tr>
      <w:tr w:rsidR="00127291" w:rsidRPr="00FB3394" w:rsidTr="00546C3C">
        <w:trPr>
          <w:cnfStyle w:val="000000100000"/>
          <w:trHeight w:val="300"/>
          <w:jc w:val="center"/>
        </w:trPr>
        <w:tc>
          <w:tcPr>
            <w:cnfStyle w:val="001000000000"/>
            <w:tcW w:w="1135" w:type="dxa"/>
            <w:noWrap/>
            <w:hideMark/>
          </w:tcPr>
          <w:p w:rsidR="00127291" w:rsidRPr="004E033E" w:rsidRDefault="00127291" w:rsidP="00546C3C">
            <w:pPr>
              <w:jc w:val="center"/>
              <w:rPr>
                <w:lang w:eastAsia="en-CA"/>
              </w:rPr>
            </w:pPr>
            <w:r w:rsidRPr="004E033E">
              <w:rPr>
                <w:lang w:eastAsia="en-CA"/>
              </w:rPr>
              <w:t>v74</w:t>
            </w:r>
          </w:p>
        </w:tc>
        <w:tc>
          <w:tcPr>
            <w:tcW w:w="1276" w:type="dxa"/>
            <w:noWrap/>
            <w:hideMark/>
          </w:tcPr>
          <w:p w:rsidR="00127291" w:rsidRPr="004E033E" w:rsidRDefault="00127291" w:rsidP="00546C3C">
            <w:pPr>
              <w:jc w:val="center"/>
              <w:cnfStyle w:val="000000100000"/>
              <w:rPr>
                <w:lang w:eastAsia="en-CA"/>
              </w:rPr>
            </w:pPr>
            <w:r w:rsidRPr="004E033E">
              <w:rPr>
                <w:lang w:eastAsia="en-CA"/>
              </w:rPr>
              <w:t>0.00765538</w:t>
            </w:r>
          </w:p>
        </w:tc>
      </w:tr>
    </w:tbl>
    <w:p w:rsidR="00127291" w:rsidRDefault="00127291" w:rsidP="00127291">
      <w:pPr>
        <w:jc w:val="center"/>
      </w:pPr>
    </w:p>
    <w:p w:rsidR="00127291" w:rsidRDefault="00127291" w:rsidP="00127291">
      <w:pPr>
        <w:jc w:val="center"/>
      </w:pPr>
    </w:p>
    <w:p w:rsidR="00127291" w:rsidRDefault="00127291" w:rsidP="00127291">
      <w:pPr>
        <w:jc w:val="center"/>
      </w:pPr>
    </w:p>
    <w:p w:rsidR="00127291" w:rsidRDefault="00127291" w:rsidP="00127291">
      <w:pPr>
        <w:pStyle w:val="Caption"/>
        <w:keepNext/>
        <w:spacing w:after="120"/>
        <w:jc w:val="center"/>
      </w:pPr>
      <w:r>
        <w:lastRenderedPageBreak/>
        <w:t xml:space="preserve">Table </w:t>
      </w:r>
      <w:fldSimple w:instr=" SEQ Table \* ARABIC ">
        <w:r>
          <w:rPr>
            <w:noProof/>
          </w:rPr>
          <w:t>6</w:t>
        </w:r>
      </w:fldSimple>
      <w:r>
        <w:t>: Top 15 Numeric and categorical variables, with correlated variables</w:t>
      </w:r>
    </w:p>
    <w:tbl>
      <w:tblPr>
        <w:tblStyle w:val="LightShading-Accent11"/>
        <w:tblW w:w="2511" w:type="dxa"/>
        <w:jc w:val="center"/>
        <w:tblLook w:val="04A0"/>
      </w:tblPr>
      <w:tblGrid>
        <w:gridCol w:w="1124"/>
        <w:gridCol w:w="1387"/>
      </w:tblGrid>
      <w:tr w:rsidR="00127291" w:rsidRPr="00FB3394" w:rsidTr="00546C3C">
        <w:trPr>
          <w:cnfStyle w:val="100000000000"/>
          <w:trHeight w:val="315"/>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Variable</w:t>
            </w:r>
          </w:p>
        </w:tc>
        <w:tc>
          <w:tcPr>
            <w:tcW w:w="1387" w:type="dxa"/>
            <w:noWrap/>
            <w:hideMark/>
          </w:tcPr>
          <w:p w:rsidR="00127291" w:rsidRPr="004E033E" w:rsidRDefault="00127291" w:rsidP="00546C3C">
            <w:pPr>
              <w:jc w:val="center"/>
              <w:cnfStyle w:val="100000000000"/>
              <w:rPr>
                <w:rFonts w:cstheme="minorHAnsi"/>
                <w:lang w:eastAsia="en-CA"/>
              </w:rPr>
            </w:pPr>
            <w:r w:rsidRPr="004E033E">
              <w:rPr>
                <w:rFonts w:cstheme="minorHAnsi"/>
                <w:lang w:eastAsia="en-CA"/>
              </w:rPr>
              <w:t>IV</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v50</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0.467982813</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v31</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0.226882245</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v129</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0.177234292</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v47</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0.160790125</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v62</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0.157678475</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v110</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0.152982998</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v66</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0.129938822</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v12</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0.09030852</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v21</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0.088635846</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v38</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0.049081143</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v114</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0.032781355</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v72</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0.031632212</w:t>
            </w:r>
          </w:p>
        </w:tc>
      </w:tr>
      <w:tr w:rsidR="00127291" w:rsidRPr="00FB3394" w:rsidTr="00546C3C">
        <w:trPr>
          <w:cnfStyle w:val="000000100000"/>
          <w:trHeight w:val="315"/>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v30</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0.013698502</w:t>
            </w:r>
          </w:p>
        </w:tc>
      </w:tr>
      <w:tr w:rsidR="00127291" w:rsidRPr="00FB3394" w:rsidTr="00546C3C">
        <w:trPr>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v24</w:t>
            </w:r>
          </w:p>
        </w:tc>
        <w:tc>
          <w:tcPr>
            <w:tcW w:w="1387" w:type="dxa"/>
            <w:noWrap/>
            <w:hideMark/>
          </w:tcPr>
          <w:p w:rsidR="00127291" w:rsidRPr="004E033E" w:rsidRDefault="00127291" w:rsidP="00546C3C">
            <w:pPr>
              <w:jc w:val="center"/>
              <w:cnfStyle w:val="000000000000"/>
              <w:rPr>
                <w:rFonts w:cstheme="minorHAnsi"/>
                <w:lang w:eastAsia="en-CA"/>
              </w:rPr>
            </w:pPr>
            <w:r w:rsidRPr="004E033E">
              <w:rPr>
                <w:rFonts w:cstheme="minorHAnsi"/>
                <w:lang w:eastAsia="en-CA"/>
              </w:rPr>
              <w:t>0.011741035</w:t>
            </w:r>
          </w:p>
        </w:tc>
      </w:tr>
      <w:tr w:rsidR="00127291" w:rsidRPr="00FB3394" w:rsidTr="00546C3C">
        <w:trPr>
          <w:cnfStyle w:val="000000100000"/>
          <w:trHeight w:val="300"/>
          <w:jc w:val="center"/>
        </w:trPr>
        <w:tc>
          <w:tcPr>
            <w:cnfStyle w:val="001000000000"/>
            <w:tcW w:w="1124" w:type="dxa"/>
            <w:noWrap/>
            <w:hideMark/>
          </w:tcPr>
          <w:p w:rsidR="00127291" w:rsidRPr="004E033E" w:rsidRDefault="00127291" w:rsidP="00546C3C">
            <w:pPr>
              <w:jc w:val="center"/>
              <w:rPr>
                <w:rFonts w:cstheme="minorHAnsi"/>
                <w:lang w:eastAsia="en-CA"/>
              </w:rPr>
            </w:pPr>
            <w:r w:rsidRPr="004E033E">
              <w:rPr>
                <w:rFonts w:cstheme="minorHAnsi"/>
                <w:lang w:eastAsia="en-CA"/>
              </w:rPr>
              <w:t>v71</w:t>
            </w:r>
          </w:p>
        </w:tc>
        <w:tc>
          <w:tcPr>
            <w:tcW w:w="1387" w:type="dxa"/>
            <w:noWrap/>
            <w:hideMark/>
          </w:tcPr>
          <w:p w:rsidR="00127291" w:rsidRPr="004E033E" w:rsidRDefault="00127291" w:rsidP="00546C3C">
            <w:pPr>
              <w:jc w:val="center"/>
              <w:cnfStyle w:val="000000100000"/>
              <w:rPr>
                <w:rFonts w:cstheme="minorHAnsi"/>
                <w:lang w:eastAsia="en-CA"/>
              </w:rPr>
            </w:pPr>
            <w:r w:rsidRPr="004E033E">
              <w:rPr>
                <w:rFonts w:cstheme="minorHAnsi"/>
                <w:lang w:eastAsia="en-CA"/>
              </w:rPr>
              <w:t>0.007115383</w:t>
            </w:r>
          </w:p>
        </w:tc>
      </w:tr>
    </w:tbl>
    <w:p w:rsidR="00127291" w:rsidRDefault="00127291" w:rsidP="00127291">
      <w:pPr>
        <w:sectPr w:rsidR="00127291" w:rsidSect="00FB3394">
          <w:type w:val="continuous"/>
          <w:pgSz w:w="12240" w:h="15840"/>
          <w:pgMar w:top="1440" w:right="1440" w:bottom="1440" w:left="1440" w:header="708" w:footer="708" w:gutter="0"/>
          <w:cols w:num="2" w:space="708"/>
          <w:titlePg/>
          <w:docGrid w:linePitch="360"/>
        </w:sectPr>
      </w:pPr>
    </w:p>
    <w:p w:rsidR="00127291" w:rsidRDefault="00127291" w:rsidP="00127291"/>
    <w:sectPr w:rsidR="00127291" w:rsidSect="00A12B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416470"/>
      <w:docPartObj>
        <w:docPartGallery w:val="Page Numbers (Bottom of Page)"/>
        <w:docPartUnique/>
      </w:docPartObj>
    </w:sdtPr>
    <w:sdtEndPr/>
    <w:sdtContent>
      <w:p w:rsidR="008C22CF" w:rsidRDefault="00127291">
        <w:pPr>
          <w:pStyle w:val="Footer"/>
          <w:jc w:val="center"/>
        </w:pPr>
        <w:r>
          <w:fldChar w:fldCharType="begin"/>
        </w:r>
        <w:r>
          <w:instrText xml:space="preserve"> PAGE   \* MERGEFORMAT </w:instrText>
        </w:r>
        <w:r>
          <w:fldChar w:fldCharType="separate"/>
        </w:r>
        <w:r>
          <w:rPr>
            <w:noProof/>
          </w:rPr>
          <w:t>2</w:t>
        </w:r>
        <w:r>
          <w:fldChar w:fldCharType="end"/>
        </w:r>
      </w:p>
    </w:sdtContent>
  </w:sdt>
  <w:p w:rsidR="008C22CF" w:rsidRDefault="00127291">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7291"/>
    <w:rsid w:val="00127291"/>
    <w:rsid w:val="002B4264"/>
    <w:rsid w:val="002C630E"/>
    <w:rsid w:val="00A12BB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91"/>
  </w:style>
  <w:style w:type="paragraph" w:styleId="Heading1">
    <w:name w:val="heading 1"/>
    <w:basedOn w:val="Normal"/>
    <w:next w:val="Normal"/>
    <w:link w:val="Heading1Char"/>
    <w:uiPriority w:val="9"/>
    <w:qFormat/>
    <w:rsid w:val="00127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2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291"/>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27291"/>
    <w:pPr>
      <w:spacing w:line="240" w:lineRule="auto"/>
    </w:pPr>
    <w:rPr>
      <w:b/>
      <w:bCs/>
      <w:color w:val="4F81BD" w:themeColor="accent1"/>
      <w:sz w:val="18"/>
      <w:szCs w:val="18"/>
    </w:rPr>
  </w:style>
  <w:style w:type="table" w:customStyle="1" w:styleId="LightShading-Accent11">
    <w:name w:val="Light Shading - Accent 11"/>
    <w:basedOn w:val="TableNormal"/>
    <w:uiPriority w:val="60"/>
    <w:rsid w:val="00127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2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291"/>
    <w:rPr>
      <w:rFonts w:ascii="Tahoma" w:hAnsi="Tahoma" w:cs="Tahoma"/>
      <w:sz w:val="16"/>
      <w:szCs w:val="16"/>
    </w:rPr>
  </w:style>
  <w:style w:type="paragraph" w:styleId="Footer">
    <w:name w:val="footer"/>
    <w:basedOn w:val="Normal"/>
    <w:link w:val="FooterChar"/>
    <w:uiPriority w:val="99"/>
    <w:unhideWhenUsed/>
    <w:rsid w:val="0012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291"/>
  </w:style>
  <w:style w:type="character" w:customStyle="1" w:styleId="Heading1Char">
    <w:name w:val="Heading 1 Char"/>
    <w:basedOn w:val="DefaultParagraphFont"/>
    <w:link w:val="Heading1"/>
    <w:uiPriority w:val="9"/>
    <w:rsid w:val="001272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2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1</cp:revision>
  <dcterms:created xsi:type="dcterms:W3CDTF">2017-11-09T04:19:00Z</dcterms:created>
  <dcterms:modified xsi:type="dcterms:W3CDTF">2017-11-09T04:26:00Z</dcterms:modified>
</cp:coreProperties>
</file>